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58" w:rsidRPr="006045CB" w:rsidRDefault="003D7A58" w:rsidP="003D7A58">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Pr="006045CB">
        <w:rPr>
          <w:rFonts w:ascii="Times New Roman" w:eastAsia="Times New Roman" w:hAnsi="Times New Roman" w:cs="Times New Roman"/>
          <w:b/>
          <w:sz w:val="28"/>
          <w:szCs w:val="28"/>
          <w:lang w:eastAsia="sk-SK"/>
        </w:rPr>
        <w:t>oložka vybraných vplyvov</w:t>
      </w:r>
    </w:p>
    <w:p w:rsidR="003D7A58" w:rsidRDefault="003D7A58" w:rsidP="003D7A58">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D7A58" w:rsidRPr="00B043B4" w:rsidTr="008D53DB">
        <w:tc>
          <w:tcPr>
            <w:tcW w:w="9180" w:type="dxa"/>
            <w:gridSpan w:val="11"/>
            <w:tcBorders>
              <w:bottom w:val="single" w:sz="4" w:space="0" w:color="FFFFFF"/>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3D7A58" w:rsidRPr="00B043B4" w:rsidTr="008D53DB">
        <w:tc>
          <w:tcPr>
            <w:tcW w:w="9180" w:type="dxa"/>
            <w:gridSpan w:val="11"/>
            <w:tcBorders>
              <w:bottom w:val="single" w:sz="4" w:space="0" w:color="FFFFFF"/>
            </w:tcBorders>
            <w:shd w:val="clear" w:color="auto" w:fill="E2E2E2"/>
          </w:tcPr>
          <w:p w:rsidR="003D7A58" w:rsidRPr="00B043B4" w:rsidRDefault="003D7A58" w:rsidP="008D53D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3D7A58" w:rsidRPr="00B043B4" w:rsidTr="008D53DB">
        <w:tc>
          <w:tcPr>
            <w:tcW w:w="9180" w:type="dxa"/>
            <w:gridSpan w:val="11"/>
            <w:tcBorders>
              <w:top w:val="single" w:sz="4" w:space="0" w:color="FFFFFF"/>
              <w:bottom w:val="single" w:sz="4" w:space="0" w:color="auto"/>
            </w:tcBorders>
          </w:tcPr>
          <w:p w:rsidR="003D7A58" w:rsidRPr="00B043B4" w:rsidRDefault="003D7A58" w:rsidP="008D53DB">
            <w:pPr>
              <w:rPr>
                <w:rFonts w:ascii="Times New Roman" w:eastAsia="Times New Roman" w:hAnsi="Times New Roman" w:cs="Times New Roman"/>
                <w:sz w:val="20"/>
                <w:szCs w:val="20"/>
                <w:lang w:eastAsia="sk-SK"/>
              </w:rPr>
            </w:pPr>
            <w:r w:rsidRPr="00464457">
              <w:rPr>
                <w:rFonts w:ascii="Times New Roman" w:eastAsia="Times New Roman" w:hAnsi="Times New Roman" w:cs="Times New Roman"/>
                <w:sz w:val="20"/>
                <w:szCs w:val="20"/>
                <w:lang w:eastAsia="sk-SK"/>
              </w:rPr>
              <w:t>Zákon, ktorým sa mení a dopĺňa zákon č. 480/2002 Z. z. o azyle a o zmene a doplnení niektorých zákonov v znení neskorších predpisov</w:t>
            </w:r>
          </w:p>
          <w:p w:rsidR="003D7A58" w:rsidRPr="00B043B4" w:rsidRDefault="003D7A58" w:rsidP="008D53DB">
            <w:pPr>
              <w:rPr>
                <w:rFonts w:ascii="Times New Roman" w:eastAsia="Times New Roman" w:hAnsi="Times New Roman" w:cs="Times New Roman"/>
                <w:sz w:val="20"/>
                <w:szCs w:val="20"/>
                <w:lang w:eastAsia="sk-SK"/>
              </w:rPr>
            </w:pPr>
          </w:p>
        </w:tc>
      </w:tr>
      <w:tr w:rsidR="003D7A58" w:rsidRPr="00B043B4" w:rsidTr="008D53DB">
        <w:tc>
          <w:tcPr>
            <w:tcW w:w="9180" w:type="dxa"/>
            <w:gridSpan w:val="11"/>
            <w:tcBorders>
              <w:top w:val="single" w:sz="4" w:space="0" w:color="auto"/>
              <w:left w:val="single" w:sz="4" w:space="0" w:color="auto"/>
              <w:bottom w:val="single" w:sz="4" w:space="0" w:color="FFFFFF"/>
            </w:tcBorders>
            <w:shd w:val="clear" w:color="auto" w:fill="E2E2E2"/>
          </w:tcPr>
          <w:p w:rsidR="003D7A58" w:rsidRPr="00B043B4" w:rsidRDefault="003D7A58" w:rsidP="008D53D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3D7A58" w:rsidRPr="00B043B4" w:rsidTr="008D53DB">
        <w:tc>
          <w:tcPr>
            <w:tcW w:w="9180" w:type="dxa"/>
            <w:gridSpan w:val="11"/>
            <w:tcBorders>
              <w:top w:val="single" w:sz="4" w:space="0" w:color="FFFFFF"/>
              <w:left w:val="single" w:sz="4" w:space="0" w:color="auto"/>
              <w:bottom w:val="single" w:sz="4" w:space="0" w:color="auto"/>
            </w:tcBorders>
            <w:shd w:val="clear" w:color="auto" w:fill="FFFFFF"/>
          </w:tcPr>
          <w:p w:rsidR="003D7A58" w:rsidRPr="00B043B4" w:rsidRDefault="003D7A58" w:rsidP="008D53DB">
            <w:pPr>
              <w:rPr>
                <w:rFonts w:ascii="Times New Roman" w:eastAsia="Times New Roman" w:hAnsi="Times New Roman" w:cs="Times New Roman"/>
                <w:sz w:val="20"/>
                <w:szCs w:val="20"/>
                <w:lang w:eastAsia="sk-SK"/>
              </w:rPr>
            </w:pPr>
            <w:r w:rsidRPr="00464457">
              <w:rPr>
                <w:rFonts w:ascii="Times New Roman" w:eastAsia="Times New Roman" w:hAnsi="Times New Roman" w:cs="Times New Roman"/>
                <w:sz w:val="20"/>
                <w:szCs w:val="20"/>
                <w:lang w:eastAsia="sk-SK"/>
              </w:rPr>
              <w:t>Ministerstvo vnútra Slovenskej republiky</w:t>
            </w:r>
          </w:p>
          <w:p w:rsidR="003D7A58" w:rsidRPr="00B043B4" w:rsidRDefault="003D7A58" w:rsidP="008D53DB">
            <w:pPr>
              <w:rPr>
                <w:rFonts w:ascii="Times New Roman" w:eastAsia="Times New Roman" w:hAnsi="Times New Roman" w:cs="Times New Roman"/>
                <w:sz w:val="20"/>
                <w:szCs w:val="20"/>
                <w:lang w:eastAsia="sk-SK"/>
              </w:rPr>
            </w:pPr>
          </w:p>
        </w:tc>
      </w:tr>
      <w:tr w:rsidR="003D7A58" w:rsidRPr="00B043B4" w:rsidTr="008D53D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D7A58" w:rsidRPr="00B043B4" w:rsidRDefault="003D7A58" w:rsidP="008D53D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3D7A58" w:rsidRPr="00B043B4" w:rsidRDefault="003D7A58" w:rsidP="008D53D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3D7A58" w:rsidRPr="00B043B4" w:rsidTr="008D53DB">
        <w:tc>
          <w:tcPr>
            <w:tcW w:w="4212" w:type="dxa"/>
            <w:gridSpan w:val="2"/>
            <w:vMerge/>
            <w:tcBorders>
              <w:top w:val="nil"/>
              <w:left w:val="single" w:sz="4" w:space="0" w:color="auto"/>
              <w:bottom w:val="single" w:sz="4" w:space="0" w:color="FFFFFF"/>
            </w:tcBorders>
            <w:shd w:val="clear" w:color="auto" w:fill="E2E2E2"/>
          </w:tcPr>
          <w:p w:rsidR="003D7A58" w:rsidRPr="00B043B4" w:rsidRDefault="003D7A58" w:rsidP="008D53D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D7A58" w:rsidRPr="00B043B4" w:rsidRDefault="003D7A58" w:rsidP="008D53DB">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3D7A58" w:rsidRPr="00B043B4" w:rsidTr="008D53DB">
        <w:tc>
          <w:tcPr>
            <w:tcW w:w="4212" w:type="dxa"/>
            <w:gridSpan w:val="2"/>
            <w:vMerge/>
            <w:tcBorders>
              <w:top w:val="nil"/>
              <w:left w:val="single" w:sz="4" w:space="0" w:color="auto"/>
              <w:bottom w:val="single" w:sz="4" w:space="0" w:color="auto"/>
            </w:tcBorders>
            <w:shd w:val="clear" w:color="auto" w:fill="E2E2E2"/>
          </w:tcPr>
          <w:p w:rsidR="003D7A58" w:rsidRPr="00B043B4" w:rsidRDefault="003D7A58" w:rsidP="008D53D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D7A58" w:rsidRPr="00B043B4" w:rsidRDefault="003D7A58" w:rsidP="008D53DB">
            <w:pPr>
              <w:rPr>
                <w:rFonts w:ascii="Times New Roman" w:eastAsia="Times New Roman" w:hAnsi="Times New Roman" w:cs="Times New Roman"/>
                <w:sz w:val="20"/>
                <w:szCs w:val="20"/>
                <w:lang w:eastAsia="sk-SK"/>
              </w:rPr>
            </w:pPr>
            <w:r w:rsidRPr="006B1653">
              <w:rPr>
                <w:rFonts w:ascii="Times New Roman" w:eastAsia="Times New Roman" w:hAnsi="Times New Roman" w:cs="Times New Roman"/>
                <w:sz w:val="20"/>
                <w:szCs w:val="20"/>
                <w:lang w:eastAsia="sk-SK"/>
              </w:rPr>
              <w:t>Transpozícia práva EÚ</w:t>
            </w:r>
          </w:p>
        </w:tc>
      </w:tr>
      <w:tr w:rsidR="003D7A58" w:rsidRPr="00B043B4" w:rsidTr="008D53DB">
        <w:tc>
          <w:tcPr>
            <w:tcW w:w="9180" w:type="dxa"/>
            <w:gridSpan w:val="11"/>
            <w:tcBorders>
              <w:top w:val="single" w:sz="4" w:space="0" w:color="auto"/>
              <w:left w:val="single" w:sz="4" w:space="0" w:color="auto"/>
              <w:bottom w:val="single" w:sz="4" w:space="0" w:color="FFFFFF"/>
            </w:tcBorders>
            <w:shd w:val="clear" w:color="auto" w:fill="FFFFFF"/>
          </w:tcPr>
          <w:p w:rsidR="003D7A58" w:rsidRDefault="003D7A58" w:rsidP="008D53DB">
            <w:pPr>
              <w:rPr>
                <w:rFonts w:ascii="Times New Roman" w:eastAsia="Times New Roman" w:hAnsi="Times New Roman" w:cs="Times New Roman"/>
                <w:i/>
                <w:sz w:val="20"/>
                <w:szCs w:val="20"/>
                <w:lang w:eastAsia="sk-SK"/>
              </w:rPr>
            </w:pPr>
            <w:r w:rsidRPr="006B1653">
              <w:rPr>
                <w:rFonts w:ascii="Times New Roman" w:eastAsia="Times New Roman" w:hAnsi="Times New Roman" w:cs="Times New Roman"/>
                <w:i/>
                <w:sz w:val="20"/>
                <w:szCs w:val="20"/>
                <w:lang w:eastAsia="sk-SK"/>
              </w:rPr>
              <w:t>V prípade transpozície uveďte zoznam transponovaných predpisov:</w:t>
            </w:r>
          </w:p>
          <w:p w:rsidR="003D7A58" w:rsidRPr="00B043B4" w:rsidRDefault="003D7A58" w:rsidP="008D53DB">
            <w:pPr>
              <w:rPr>
                <w:rFonts w:ascii="Times New Roman" w:eastAsia="Times New Roman" w:hAnsi="Times New Roman" w:cs="Times New Roman"/>
                <w:sz w:val="20"/>
                <w:szCs w:val="20"/>
                <w:lang w:eastAsia="sk-SK"/>
              </w:rPr>
            </w:pPr>
          </w:p>
        </w:tc>
      </w:tr>
      <w:tr w:rsidR="003D7A58" w:rsidRPr="00B043B4" w:rsidTr="008D53D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3D7A58" w:rsidRPr="00B043B4" w:rsidRDefault="003D7A58" w:rsidP="008D53DB">
            <w:pPr>
              <w:spacing w:after="200" w:line="276" w:lineRule="auto"/>
              <w:ind w:left="142"/>
              <w:contextualSpacing/>
              <w:rPr>
                <w:rFonts w:ascii="Times New Roman" w:eastAsia="Calibri" w:hAnsi="Times New Roman" w:cs="Times New Roman"/>
                <w:b/>
              </w:rPr>
            </w:pPr>
            <w:r w:rsidRPr="00BE6CFF">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3D7A58" w:rsidRPr="00B043B4" w:rsidRDefault="002A0CF1" w:rsidP="008D53D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27.9.2021 – 5.10.2021</w:t>
            </w:r>
          </w:p>
        </w:tc>
      </w:tr>
      <w:tr w:rsidR="003D7A58" w:rsidRPr="00B043B4" w:rsidTr="008D53D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spacing w:after="200" w:line="276" w:lineRule="auto"/>
              <w:ind w:left="142"/>
              <w:contextualSpacing/>
              <w:rPr>
                <w:rFonts w:ascii="Times New Roman" w:eastAsia="Calibri" w:hAnsi="Times New Roman" w:cs="Times New Roman"/>
                <w:b/>
              </w:rPr>
            </w:pPr>
            <w:r w:rsidRPr="00BE6CFF">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3D7A58" w:rsidRPr="00B043B4" w:rsidRDefault="008F2E9C" w:rsidP="00286EE0">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18. 10. –</w:t>
            </w:r>
            <w:r w:rsidR="003D7A58">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8.11.</w:t>
            </w:r>
            <w:r w:rsidR="003D7A58">
              <w:rPr>
                <w:rFonts w:ascii="Times New Roman" w:eastAsia="Times New Roman" w:hAnsi="Times New Roman" w:cs="Times New Roman"/>
                <w:i/>
                <w:sz w:val="20"/>
                <w:szCs w:val="20"/>
                <w:lang w:eastAsia="sk-SK"/>
              </w:rPr>
              <w:t>2021</w:t>
            </w:r>
          </w:p>
        </w:tc>
      </w:tr>
      <w:tr w:rsidR="003D7A58" w:rsidRPr="00B043B4" w:rsidTr="008D53D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spacing w:line="276" w:lineRule="auto"/>
              <w:ind w:left="142"/>
              <w:contextualSpacing/>
              <w:rPr>
                <w:rFonts w:ascii="Calibri" w:eastAsia="Calibri" w:hAnsi="Calibri" w:cs="Times New Roman"/>
                <w:b/>
              </w:rPr>
            </w:pPr>
            <w:r w:rsidRPr="00BE6CFF">
              <w:rPr>
                <w:rFonts w:ascii="Times New Roman" w:eastAsia="Calibri" w:hAnsi="Times New Roman" w:cs="Times New Roman"/>
                <w:b/>
              </w:rPr>
              <w:t>Predpokladaný termín začiatku a ukončenia ZP</w:t>
            </w:r>
            <w:r w:rsidRPr="00B043B4">
              <w:rPr>
                <w:rFonts w:ascii="Times New Roman" w:eastAsia="Calibri" w:hAnsi="Times New Roman" w:cs="Times New Roman"/>
                <w:b/>
              </w:rPr>
              <w:t>**</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D7A58" w:rsidRPr="00B043B4" w:rsidRDefault="003D7A58" w:rsidP="008D53DB">
            <w:pPr>
              <w:rPr>
                <w:rFonts w:ascii="Times New Roman" w:eastAsia="Times New Roman" w:hAnsi="Times New Roman" w:cs="Times New Roman"/>
                <w:i/>
                <w:sz w:val="20"/>
                <w:szCs w:val="20"/>
                <w:lang w:eastAsia="sk-SK"/>
              </w:rPr>
            </w:pPr>
          </w:p>
        </w:tc>
      </w:tr>
      <w:tr w:rsidR="003D7A58" w:rsidRPr="00B043B4" w:rsidTr="008D53D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D7A58" w:rsidRPr="00721711" w:rsidRDefault="003D7A58" w:rsidP="008D53DB">
            <w:pPr>
              <w:spacing w:after="200" w:line="276" w:lineRule="auto"/>
              <w:ind w:left="142"/>
              <w:contextualSpacing/>
              <w:jc w:val="both"/>
              <w:rPr>
                <w:rFonts w:ascii="Times New Roman" w:eastAsia="Calibri" w:hAnsi="Times New Roman" w:cs="Times New Roman"/>
                <w:b/>
              </w:rPr>
            </w:pPr>
            <w:r w:rsidRPr="00721711">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D7A58" w:rsidRPr="00B043B4" w:rsidRDefault="008F2E9C" w:rsidP="008D53D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w:t>
            </w:r>
            <w:r w:rsidR="002A0CF1">
              <w:rPr>
                <w:rFonts w:ascii="Times New Roman" w:eastAsia="Times New Roman" w:hAnsi="Times New Roman" w:cs="Times New Roman"/>
                <w:i/>
                <w:sz w:val="20"/>
                <w:szCs w:val="20"/>
                <w:lang w:eastAsia="sk-SK"/>
              </w:rPr>
              <w:t>ember 2021</w:t>
            </w:r>
          </w:p>
        </w:tc>
      </w:tr>
      <w:tr w:rsidR="003D7A58" w:rsidRPr="00B043B4" w:rsidTr="008D53DB">
        <w:tc>
          <w:tcPr>
            <w:tcW w:w="9180" w:type="dxa"/>
            <w:gridSpan w:val="11"/>
            <w:tcBorders>
              <w:top w:val="single" w:sz="4" w:space="0" w:color="auto"/>
              <w:left w:val="nil"/>
              <w:bottom w:val="single" w:sz="4" w:space="0" w:color="auto"/>
              <w:right w:val="nil"/>
            </w:tcBorders>
            <w:shd w:val="clear" w:color="auto" w:fill="FFFFFF"/>
          </w:tcPr>
          <w:p w:rsidR="003D7A58" w:rsidRPr="00B043B4" w:rsidRDefault="003D7A58" w:rsidP="008D53DB">
            <w:pPr>
              <w:rPr>
                <w:rFonts w:ascii="Times New Roman" w:eastAsia="Times New Roman" w:hAnsi="Times New Roman" w:cs="Times New Roman"/>
                <w:sz w:val="20"/>
                <w:szCs w:val="20"/>
                <w:lang w:eastAsia="sk-SK"/>
              </w:rPr>
            </w:pPr>
          </w:p>
        </w:tc>
      </w:tr>
      <w:tr w:rsidR="003D7A58" w:rsidRPr="00B043B4" w:rsidTr="008D53D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3D7A58" w:rsidRPr="00B043B4" w:rsidTr="008D53DB">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D7A58" w:rsidRDefault="003D7A58" w:rsidP="008D53DB">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w:t>
            </w:r>
            <w:r w:rsidRPr="00E23997">
              <w:rPr>
                <w:rFonts w:ascii="Times New Roman" w:eastAsia="Times New Roman" w:hAnsi="Times New Roman" w:cs="Times New Roman"/>
                <w:i/>
                <w:sz w:val="20"/>
                <w:szCs w:val="20"/>
                <w:lang w:eastAsia="sk-SK"/>
              </w:rPr>
              <w:t xml:space="preserve">a základe poznatkov vyplývajúcich z aplikačnej praxe </w:t>
            </w:r>
            <w:r>
              <w:rPr>
                <w:rFonts w:ascii="Times New Roman" w:eastAsia="Times New Roman" w:hAnsi="Times New Roman" w:cs="Times New Roman"/>
                <w:i/>
                <w:sz w:val="20"/>
                <w:szCs w:val="20"/>
                <w:lang w:eastAsia="sk-SK"/>
              </w:rPr>
              <w:t xml:space="preserve">vyplynula potreba systematicky upraviť prvotnú integráciu osôb, ktorým bola poskytnutá ochrana. Súčasná právna úprava nepozná inštitút prvotnej integrácie, navyše postavenie azylantov a cudzincov, ktorým </w:t>
            </w:r>
            <w:r w:rsidR="00B56CD9">
              <w:rPr>
                <w:rFonts w:ascii="Times New Roman" w:eastAsia="Times New Roman" w:hAnsi="Times New Roman" w:cs="Times New Roman"/>
                <w:i/>
                <w:sz w:val="20"/>
                <w:szCs w:val="20"/>
                <w:lang w:eastAsia="sk-SK"/>
              </w:rPr>
              <w:t>sa</w:t>
            </w:r>
            <w:r>
              <w:rPr>
                <w:rFonts w:ascii="Times New Roman" w:eastAsia="Times New Roman" w:hAnsi="Times New Roman" w:cs="Times New Roman"/>
                <w:i/>
                <w:sz w:val="20"/>
                <w:szCs w:val="20"/>
                <w:lang w:eastAsia="sk-SK"/>
              </w:rPr>
              <w:t xml:space="preserve"> poskyt</w:t>
            </w:r>
            <w:r w:rsidR="00B56CD9">
              <w:rPr>
                <w:rFonts w:ascii="Times New Roman" w:eastAsia="Times New Roman" w:hAnsi="Times New Roman" w:cs="Times New Roman"/>
                <w:i/>
                <w:sz w:val="20"/>
                <w:szCs w:val="20"/>
                <w:lang w:eastAsia="sk-SK"/>
              </w:rPr>
              <w:t>la</w:t>
            </w:r>
            <w:r>
              <w:rPr>
                <w:rFonts w:ascii="Times New Roman" w:eastAsia="Times New Roman" w:hAnsi="Times New Roman" w:cs="Times New Roman"/>
                <w:i/>
                <w:sz w:val="20"/>
                <w:szCs w:val="20"/>
                <w:lang w:eastAsia="sk-SK"/>
              </w:rPr>
              <w:t xml:space="preserve"> doplnková ochrana</w:t>
            </w:r>
            <w:r w:rsidR="002A0CF1">
              <w:rPr>
                <w:rFonts w:ascii="Times New Roman" w:eastAsia="Times New Roman" w:hAnsi="Times New Roman" w:cs="Times New Roman"/>
                <w:i/>
                <w:sz w:val="20"/>
                <w:szCs w:val="20"/>
                <w:lang w:eastAsia="sk-SK"/>
              </w:rPr>
              <w:t>,</w:t>
            </w:r>
            <w:r>
              <w:rPr>
                <w:rFonts w:ascii="Times New Roman" w:eastAsia="Times New Roman" w:hAnsi="Times New Roman" w:cs="Times New Roman"/>
                <w:i/>
                <w:sz w:val="20"/>
                <w:szCs w:val="20"/>
                <w:lang w:eastAsia="sk-SK"/>
              </w:rPr>
              <w:t xml:space="preserve"> pri integrácii je odlišné. Návrh tiež transponuje niektoré ustanovenia EU legislatívy, mení napr. hierarchiu statusov, skracuje lehotu na </w:t>
            </w:r>
            <w:r w:rsidRPr="00E23997">
              <w:rPr>
                <w:rFonts w:ascii="Times New Roman" w:eastAsia="Times New Roman" w:hAnsi="Times New Roman" w:cs="Times New Roman"/>
                <w:i/>
                <w:sz w:val="20"/>
                <w:szCs w:val="20"/>
                <w:lang w:eastAsia="sk-SK"/>
              </w:rPr>
              <w:t>prístup žiadateľov na trh práce, zav</w:t>
            </w:r>
            <w:r>
              <w:rPr>
                <w:rFonts w:ascii="Times New Roman" w:eastAsia="Times New Roman" w:hAnsi="Times New Roman" w:cs="Times New Roman"/>
                <w:i/>
                <w:sz w:val="20"/>
                <w:szCs w:val="20"/>
                <w:lang w:eastAsia="sk-SK"/>
              </w:rPr>
              <w:t>ádza</w:t>
            </w:r>
            <w:r w:rsidRPr="00E23997">
              <w:rPr>
                <w:rFonts w:ascii="Times New Roman" w:eastAsia="Times New Roman" w:hAnsi="Times New Roman" w:cs="Times New Roman"/>
                <w:i/>
                <w:sz w:val="20"/>
                <w:szCs w:val="20"/>
                <w:lang w:eastAsia="sk-SK"/>
              </w:rPr>
              <w:t xml:space="preserve"> maximálnu dĺžku povolenia na pobyt mimo pobytového tábora</w:t>
            </w:r>
            <w:r>
              <w:rPr>
                <w:rFonts w:ascii="Times New Roman" w:eastAsia="Times New Roman" w:hAnsi="Times New Roman" w:cs="Times New Roman"/>
                <w:i/>
                <w:sz w:val="20"/>
                <w:szCs w:val="20"/>
                <w:lang w:eastAsia="sk-SK"/>
              </w:rPr>
              <w:t>,</w:t>
            </w:r>
            <w:r w:rsidRPr="00E23997">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upravuje</w:t>
            </w:r>
            <w:r w:rsidRPr="00E23997">
              <w:rPr>
                <w:rFonts w:ascii="Times New Roman" w:eastAsia="Times New Roman" w:hAnsi="Times New Roman" w:cs="Times New Roman"/>
                <w:i/>
                <w:sz w:val="20"/>
                <w:szCs w:val="20"/>
                <w:lang w:eastAsia="sk-SK"/>
              </w:rPr>
              <w:t xml:space="preserve"> poskytovanie poradenstva a kurzov pre žiadateľov a osoby s</w:t>
            </w:r>
            <w:r>
              <w:rPr>
                <w:rFonts w:ascii="Times New Roman" w:eastAsia="Times New Roman" w:hAnsi="Times New Roman" w:cs="Times New Roman"/>
                <w:i/>
                <w:sz w:val="20"/>
                <w:szCs w:val="20"/>
                <w:lang w:eastAsia="sk-SK"/>
              </w:rPr>
              <w:t> </w:t>
            </w:r>
            <w:r w:rsidRPr="00E23997">
              <w:rPr>
                <w:rFonts w:ascii="Times New Roman" w:eastAsia="Times New Roman" w:hAnsi="Times New Roman" w:cs="Times New Roman"/>
                <w:i/>
                <w:sz w:val="20"/>
                <w:szCs w:val="20"/>
                <w:lang w:eastAsia="sk-SK"/>
              </w:rPr>
              <w:t>ochranou</w:t>
            </w:r>
            <w:r>
              <w:rPr>
                <w:rFonts w:ascii="Times New Roman" w:eastAsia="Times New Roman" w:hAnsi="Times New Roman" w:cs="Times New Roman"/>
                <w:i/>
                <w:sz w:val="20"/>
                <w:szCs w:val="20"/>
                <w:lang w:eastAsia="sk-SK"/>
              </w:rPr>
              <w:t xml:space="preserve"> atď.</w:t>
            </w:r>
          </w:p>
          <w:p w:rsidR="003D7A58" w:rsidRPr="005F5715" w:rsidRDefault="003D7A58" w:rsidP="008D53DB">
            <w:pPr>
              <w:jc w:val="both"/>
              <w:rPr>
                <w:rFonts w:ascii="Times New Roman" w:eastAsia="Times New Roman" w:hAnsi="Times New Roman" w:cs="Times New Roman"/>
                <w:i/>
                <w:sz w:val="20"/>
                <w:szCs w:val="20"/>
                <w:lang w:eastAsia="sk-SK"/>
              </w:rPr>
            </w:pPr>
          </w:p>
        </w:tc>
      </w:tr>
      <w:tr w:rsidR="003D7A58" w:rsidRPr="00B043B4" w:rsidTr="008D53DB">
        <w:tc>
          <w:tcPr>
            <w:tcW w:w="9180" w:type="dxa"/>
            <w:gridSpan w:val="11"/>
            <w:tcBorders>
              <w:top w:val="single" w:sz="4" w:space="0" w:color="auto"/>
              <w:left w:val="single" w:sz="4" w:space="0" w:color="auto"/>
              <w:bottom w:val="nil"/>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3D7A58" w:rsidRPr="00B043B4" w:rsidTr="008D53D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D7A58" w:rsidRDefault="003D7A58" w:rsidP="008D53DB">
            <w:pPr>
              <w:jc w:val="both"/>
              <w:rPr>
                <w:rFonts w:ascii="Times New Roman" w:eastAsia="Times New Roman" w:hAnsi="Times New Roman" w:cs="Times New Roman"/>
                <w:sz w:val="20"/>
                <w:szCs w:val="20"/>
                <w:lang w:eastAsia="sk-SK"/>
              </w:rPr>
            </w:pPr>
            <w:r>
              <w:rPr>
                <w:rFonts w:ascii="Times New Roman" w:eastAsia="Times New Roman" w:hAnsi="Times New Roman" w:cs="Times New Roman"/>
                <w:i/>
                <w:sz w:val="20"/>
                <w:szCs w:val="20"/>
                <w:lang w:eastAsia="sk-SK"/>
              </w:rPr>
              <w:t xml:space="preserve">Cieľom návrhu je systémovo upraviť prvotnú integráciu azylantov a cudzincov, ktorým </w:t>
            </w:r>
            <w:r w:rsidR="00B56CD9">
              <w:rPr>
                <w:rFonts w:ascii="Times New Roman" w:eastAsia="Times New Roman" w:hAnsi="Times New Roman" w:cs="Times New Roman"/>
                <w:i/>
                <w:sz w:val="20"/>
                <w:szCs w:val="20"/>
                <w:lang w:eastAsia="sk-SK"/>
              </w:rPr>
              <w:t>sa</w:t>
            </w:r>
            <w:r>
              <w:rPr>
                <w:rFonts w:ascii="Times New Roman" w:eastAsia="Times New Roman" w:hAnsi="Times New Roman" w:cs="Times New Roman"/>
                <w:i/>
                <w:sz w:val="20"/>
                <w:szCs w:val="20"/>
                <w:lang w:eastAsia="sk-SK"/>
              </w:rPr>
              <w:t xml:space="preserve"> poskyt</w:t>
            </w:r>
            <w:r w:rsidR="00B56CD9">
              <w:rPr>
                <w:rFonts w:ascii="Times New Roman" w:eastAsia="Times New Roman" w:hAnsi="Times New Roman" w:cs="Times New Roman"/>
                <w:i/>
                <w:sz w:val="20"/>
                <w:szCs w:val="20"/>
                <w:lang w:eastAsia="sk-SK"/>
              </w:rPr>
              <w:t>la</w:t>
            </w:r>
            <w:r>
              <w:rPr>
                <w:rFonts w:ascii="Times New Roman" w:eastAsia="Times New Roman" w:hAnsi="Times New Roman" w:cs="Times New Roman"/>
                <w:i/>
                <w:sz w:val="20"/>
                <w:szCs w:val="20"/>
                <w:lang w:eastAsia="sk-SK"/>
              </w:rPr>
              <w:t xml:space="preserve"> doplnková ochrana a zároveň zjednotiť ich postavenie. Navrhovaná úprava zvýši jednorazový príspevok pre azylantov a zavedie tento príspevok aj pre cudzincov, ktorým </w:t>
            </w:r>
            <w:r w:rsidR="00B56CD9">
              <w:rPr>
                <w:rFonts w:ascii="Times New Roman" w:eastAsia="Times New Roman" w:hAnsi="Times New Roman" w:cs="Times New Roman"/>
                <w:i/>
                <w:sz w:val="20"/>
                <w:szCs w:val="20"/>
                <w:lang w:eastAsia="sk-SK"/>
              </w:rPr>
              <w:t>sa</w:t>
            </w:r>
            <w:r>
              <w:rPr>
                <w:rFonts w:ascii="Times New Roman" w:eastAsia="Times New Roman" w:hAnsi="Times New Roman" w:cs="Times New Roman"/>
                <w:i/>
                <w:sz w:val="20"/>
                <w:szCs w:val="20"/>
                <w:lang w:eastAsia="sk-SK"/>
              </w:rPr>
              <w:t xml:space="preserve"> poskyt</w:t>
            </w:r>
            <w:r w:rsidR="00B56CD9">
              <w:rPr>
                <w:rFonts w:ascii="Times New Roman" w:eastAsia="Times New Roman" w:hAnsi="Times New Roman" w:cs="Times New Roman"/>
                <w:i/>
                <w:sz w:val="20"/>
                <w:szCs w:val="20"/>
                <w:lang w:eastAsia="sk-SK"/>
              </w:rPr>
              <w:t>la</w:t>
            </w:r>
            <w:r>
              <w:rPr>
                <w:rFonts w:ascii="Times New Roman" w:eastAsia="Times New Roman" w:hAnsi="Times New Roman" w:cs="Times New Roman"/>
                <w:i/>
                <w:sz w:val="20"/>
                <w:szCs w:val="20"/>
                <w:lang w:eastAsia="sk-SK"/>
              </w:rPr>
              <w:t xml:space="preserve"> doplnková ochrana, zavedie integračný príspevok pre obe kategórie a tiež im poskytne sociálne a psychologické poradenstvo a kurz kultúrnej orientácie. </w:t>
            </w:r>
            <w:r w:rsidRPr="00E23997">
              <w:rPr>
                <w:rFonts w:ascii="Times New Roman" w:eastAsia="Times New Roman" w:hAnsi="Times New Roman" w:cs="Times New Roman"/>
                <w:i/>
                <w:sz w:val="20"/>
                <w:szCs w:val="20"/>
                <w:lang w:eastAsia="sk-SK"/>
              </w:rPr>
              <w:t xml:space="preserve">Systematická úprava prvotnej integrácie v zákone o azyle zabezpečí okrem iného tiež udržateľnosť tohto systému v prípade nedostupnosti prostriedkov </w:t>
            </w:r>
            <w:r>
              <w:rPr>
                <w:rFonts w:ascii="Times New Roman" w:eastAsia="Times New Roman" w:hAnsi="Times New Roman" w:cs="Times New Roman"/>
                <w:i/>
                <w:sz w:val="20"/>
                <w:szCs w:val="20"/>
                <w:lang w:eastAsia="sk-SK"/>
              </w:rPr>
              <w:t>z fondov EU</w:t>
            </w:r>
            <w:r w:rsidRPr="00E23997">
              <w:rPr>
                <w:rFonts w:ascii="Times New Roman" w:eastAsia="Times New Roman" w:hAnsi="Times New Roman" w:cs="Times New Roman"/>
                <w:i/>
                <w:sz w:val="20"/>
                <w:szCs w:val="20"/>
                <w:lang w:eastAsia="sk-SK"/>
              </w:rPr>
              <w:t>.</w:t>
            </w:r>
            <w:r>
              <w:rPr>
                <w:rFonts w:ascii="Times New Roman" w:eastAsia="Times New Roman" w:hAnsi="Times New Roman" w:cs="Times New Roman"/>
                <w:i/>
                <w:sz w:val="20"/>
                <w:szCs w:val="20"/>
                <w:lang w:eastAsia="sk-SK"/>
              </w:rPr>
              <w:t xml:space="preserve"> V súlade s právom EÚ sa mení hierarchia statusov tak, že sa najskôr posúdi potreba</w:t>
            </w:r>
            <w:r w:rsidRPr="000256F0">
              <w:rPr>
                <w:rFonts w:ascii="Times New Roman" w:eastAsia="Times New Roman" w:hAnsi="Times New Roman" w:cs="Times New Roman"/>
                <w:i/>
                <w:sz w:val="20"/>
                <w:szCs w:val="20"/>
                <w:lang w:eastAsia="sk-SK"/>
              </w:rPr>
              <w:t xml:space="preserve"> medzinárodnej ochrany</w:t>
            </w:r>
            <w:r w:rsidR="002A0CF1">
              <w:rPr>
                <w:rFonts w:ascii="Times New Roman" w:eastAsia="Times New Roman" w:hAnsi="Times New Roman" w:cs="Times New Roman"/>
                <w:i/>
                <w:sz w:val="20"/>
                <w:szCs w:val="20"/>
                <w:lang w:eastAsia="sk-SK"/>
              </w:rPr>
              <w:t>,</w:t>
            </w:r>
            <w:r w:rsidRPr="000256F0">
              <w:rPr>
                <w:rFonts w:ascii="Times New Roman" w:eastAsia="Times New Roman" w:hAnsi="Times New Roman" w:cs="Times New Roman"/>
                <w:i/>
                <w:sz w:val="20"/>
                <w:szCs w:val="20"/>
                <w:lang w:eastAsia="sk-SK"/>
              </w:rPr>
              <w:t xml:space="preserve"> a až v prípade nesp</w:t>
            </w:r>
            <w:r>
              <w:rPr>
                <w:rFonts w:ascii="Times New Roman" w:eastAsia="Times New Roman" w:hAnsi="Times New Roman" w:cs="Times New Roman"/>
                <w:i/>
                <w:sz w:val="20"/>
                <w:szCs w:val="20"/>
                <w:lang w:eastAsia="sk-SK"/>
              </w:rPr>
              <w:t>lnenia podmienok na jej udelenie</w:t>
            </w:r>
            <w:r w:rsidRPr="000256F0">
              <w:rPr>
                <w:rFonts w:ascii="Times New Roman" w:eastAsia="Times New Roman" w:hAnsi="Times New Roman" w:cs="Times New Roman"/>
                <w:i/>
                <w:sz w:val="20"/>
                <w:szCs w:val="20"/>
                <w:lang w:eastAsia="sk-SK"/>
              </w:rPr>
              <w:t xml:space="preserve"> sa bude </w:t>
            </w:r>
            <w:r>
              <w:rPr>
                <w:rFonts w:ascii="Times New Roman" w:eastAsia="Times New Roman" w:hAnsi="Times New Roman" w:cs="Times New Roman"/>
                <w:i/>
                <w:sz w:val="20"/>
                <w:szCs w:val="20"/>
                <w:lang w:eastAsia="sk-SK"/>
              </w:rPr>
              <w:t>posudzovať možnosť</w:t>
            </w:r>
            <w:r w:rsidRPr="000256F0">
              <w:rPr>
                <w:rFonts w:ascii="Times New Roman" w:eastAsia="Times New Roman" w:hAnsi="Times New Roman" w:cs="Times New Roman"/>
                <w:i/>
                <w:sz w:val="20"/>
                <w:szCs w:val="20"/>
                <w:lang w:eastAsia="sk-SK"/>
              </w:rPr>
              <w:t xml:space="preserve"> poskytnutia národného statusu</w:t>
            </w:r>
            <w:r>
              <w:rPr>
                <w:rFonts w:ascii="Times New Roman" w:eastAsia="Times New Roman" w:hAnsi="Times New Roman" w:cs="Times New Roman"/>
                <w:i/>
                <w:sz w:val="20"/>
                <w:szCs w:val="20"/>
                <w:lang w:eastAsia="sk-SK"/>
              </w:rPr>
              <w:t>.</w:t>
            </w:r>
            <w:r w:rsidRPr="00E23997">
              <w:rPr>
                <w:rFonts w:ascii="Times New Roman" w:eastAsia="Times New Roman" w:hAnsi="Times New Roman" w:cs="Times New Roman"/>
                <w:i/>
                <w:sz w:val="20"/>
                <w:szCs w:val="20"/>
                <w:lang w:eastAsia="sk-SK"/>
              </w:rPr>
              <w:t xml:space="preserve">  </w:t>
            </w:r>
            <w:r w:rsidRPr="00B043B4">
              <w:rPr>
                <w:rFonts w:ascii="Times New Roman" w:eastAsia="Times New Roman" w:hAnsi="Times New Roman" w:cs="Times New Roman"/>
                <w:sz w:val="20"/>
                <w:szCs w:val="20"/>
                <w:lang w:eastAsia="sk-SK"/>
              </w:rPr>
              <w:t xml:space="preserve"> </w:t>
            </w:r>
          </w:p>
          <w:p w:rsidR="003D7A58" w:rsidRPr="000256F0" w:rsidRDefault="003D7A58" w:rsidP="008D53DB">
            <w:pPr>
              <w:jc w:val="both"/>
              <w:rPr>
                <w:rFonts w:ascii="Times New Roman" w:eastAsia="Times New Roman" w:hAnsi="Times New Roman" w:cs="Times New Roman"/>
                <w:i/>
                <w:sz w:val="20"/>
                <w:szCs w:val="20"/>
                <w:lang w:eastAsia="sk-SK"/>
              </w:rPr>
            </w:pPr>
          </w:p>
        </w:tc>
      </w:tr>
      <w:tr w:rsidR="003D7A58" w:rsidRPr="00B043B4" w:rsidTr="008D53DB">
        <w:tc>
          <w:tcPr>
            <w:tcW w:w="9180" w:type="dxa"/>
            <w:gridSpan w:val="11"/>
            <w:tcBorders>
              <w:top w:val="single" w:sz="4" w:space="0" w:color="auto"/>
              <w:left w:val="single" w:sz="4" w:space="0" w:color="auto"/>
              <w:bottom w:val="nil"/>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E9058B">
              <w:rPr>
                <w:rFonts w:ascii="Times New Roman" w:eastAsia="Calibri" w:hAnsi="Times New Roman" w:cs="Times New Roman"/>
                <w:b/>
              </w:rPr>
              <w:t>Dotknuté subjekty</w:t>
            </w:r>
          </w:p>
        </w:tc>
      </w:tr>
      <w:tr w:rsidR="003D7A58" w:rsidRPr="00B043B4" w:rsidTr="008D53DB">
        <w:tc>
          <w:tcPr>
            <w:tcW w:w="9180" w:type="dxa"/>
            <w:gridSpan w:val="11"/>
            <w:tcBorders>
              <w:top w:val="nil"/>
              <w:left w:val="single" w:sz="4" w:space="0" w:color="auto"/>
              <w:bottom w:val="single" w:sz="4" w:space="0" w:color="auto"/>
              <w:right w:val="single" w:sz="4" w:space="0" w:color="auto"/>
            </w:tcBorders>
            <w:shd w:val="clear" w:color="auto" w:fill="FFFFFF"/>
          </w:tcPr>
          <w:p w:rsidR="003D7A58" w:rsidRPr="00B043B4" w:rsidRDefault="003D7A58" w:rsidP="008D53DB">
            <w:pPr>
              <w:rPr>
                <w:rFonts w:ascii="Times New Roman" w:eastAsia="Times New Roman" w:hAnsi="Times New Roman" w:cs="Times New Roman"/>
                <w:b/>
                <w:sz w:val="20"/>
                <w:szCs w:val="20"/>
                <w:lang w:eastAsia="sk-SK"/>
              </w:rPr>
            </w:pPr>
            <w:r>
              <w:rPr>
                <w:rFonts w:ascii="Times New Roman" w:eastAsia="Times New Roman" w:hAnsi="Times New Roman" w:cs="Times New Roman"/>
                <w:i/>
                <w:sz w:val="20"/>
                <w:szCs w:val="20"/>
                <w:lang w:eastAsia="sk-SK"/>
              </w:rPr>
              <w:t xml:space="preserve">Žiadatelia </w:t>
            </w:r>
            <w:r w:rsidRPr="00E9058B">
              <w:rPr>
                <w:rFonts w:ascii="Times New Roman" w:eastAsia="Times New Roman" w:hAnsi="Times New Roman" w:cs="Times New Roman"/>
                <w:i/>
                <w:sz w:val="20"/>
                <w:szCs w:val="20"/>
                <w:lang w:eastAsia="sk-SK"/>
              </w:rPr>
              <w:t>o udelenie azylu</w:t>
            </w:r>
            <w:r>
              <w:rPr>
                <w:rFonts w:ascii="Times New Roman" w:eastAsia="Times New Roman" w:hAnsi="Times New Roman" w:cs="Times New Roman"/>
                <w:i/>
                <w:sz w:val="20"/>
                <w:szCs w:val="20"/>
                <w:lang w:eastAsia="sk-SK"/>
              </w:rPr>
              <w:t>, azylanti</w:t>
            </w:r>
            <w:r w:rsidR="002A0CF1">
              <w:rPr>
                <w:rFonts w:ascii="Times New Roman" w:eastAsia="Times New Roman" w:hAnsi="Times New Roman" w:cs="Times New Roman"/>
                <w:i/>
                <w:sz w:val="20"/>
                <w:szCs w:val="20"/>
                <w:lang w:eastAsia="sk-SK"/>
              </w:rPr>
              <w:t xml:space="preserve"> a</w:t>
            </w:r>
            <w:r>
              <w:rPr>
                <w:rFonts w:ascii="Times New Roman" w:eastAsia="Times New Roman" w:hAnsi="Times New Roman" w:cs="Times New Roman"/>
                <w:i/>
                <w:sz w:val="20"/>
                <w:szCs w:val="20"/>
                <w:lang w:eastAsia="sk-SK"/>
              </w:rPr>
              <w:t xml:space="preserve"> cudzinci, </w:t>
            </w:r>
            <w:r w:rsidRPr="00E9058B">
              <w:rPr>
                <w:rFonts w:ascii="Times New Roman" w:eastAsia="Times New Roman" w:hAnsi="Times New Roman" w:cs="Times New Roman"/>
                <w:i/>
                <w:sz w:val="20"/>
                <w:szCs w:val="20"/>
                <w:lang w:eastAsia="sk-SK"/>
              </w:rPr>
              <w:t>ktorým sa poskytla doplnková ochrana</w:t>
            </w:r>
          </w:p>
          <w:p w:rsidR="003D7A58" w:rsidRPr="00B043B4" w:rsidRDefault="003D7A58" w:rsidP="008D53DB">
            <w:pPr>
              <w:rPr>
                <w:rFonts w:ascii="Times New Roman" w:eastAsia="Times New Roman" w:hAnsi="Times New Roman" w:cs="Times New Roman"/>
                <w:i/>
                <w:sz w:val="20"/>
                <w:szCs w:val="20"/>
                <w:lang w:eastAsia="sk-SK"/>
              </w:rPr>
            </w:pPr>
          </w:p>
        </w:tc>
      </w:tr>
      <w:tr w:rsidR="003D7A58" w:rsidRPr="00B043B4" w:rsidTr="008D53DB">
        <w:tc>
          <w:tcPr>
            <w:tcW w:w="9180" w:type="dxa"/>
            <w:gridSpan w:val="11"/>
            <w:tcBorders>
              <w:top w:val="single" w:sz="4" w:space="0" w:color="auto"/>
              <w:left w:val="single" w:sz="4" w:space="0" w:color="auto"/>
              <w:bottom w:val="nil"/>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BE6CFF">
              <w:rPr>
                <w:rFonts w:ascii="Times New Roman" w:eastAsia="Calibri" w:hAnsi="Times New Roman" w:cs="Times New Roman"/>
                <w:b/>
              </w:rPr>
              <w:t>Alternatívne riešenia</w:t>
            </w:r>
          </w:p>
        </w:tc>
      </w:tr>
      <w:tr w:rsidR="003D7A58" w:rsidRPr="00B043B4" w:rsidTr="008D53DB">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3D7A58" w:rsidRPr="00B043B4" w:rsidRDefault="003D7A58" w:rsidP="008D53DB">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prípade nulového variantu vzhľadom na reálny predpoklad, že nebudú na seba nadväzovať súčasný a budúci Fond pre azyl, migráciu a integráciu nebude možné garantovať poskytovanie príspevku pre azylantov a cudzincov, ktorým sa poskytla doplnková ochrana. Taktiež nebude zabezpečené zrovnoprávnenie azylantov a cudzincov s poskytnutou doplnkovou ochranou v rámci prvotnej integrácie (poskytovanie jednorazového príspevku, možnosť poskytovania ubytovania v integračnom stredisku). Rovnako by v prípade ponechania súčasnej právnej úpravy vo vzťahu k hierarchii statusov nedošlo k uprednostneniu doplnkovej ochrany z dôvodu vážneho bezprávia (forma medzinárodnej ochrany) pred národnými statusmi (azyl na účel zlúčenia rodiny, humanitný azyl), tak ako to vyžaduje príslušná smernica.</w:t>
            </w:r>
          </w:p>
        </w:tc>
      </w:tr>
      <w:tr w:rsidR="003D7A58" w:rsidRPr="00B043B4" w:rsidTr="008D53D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721711">
              <w:rPr>
                <w:rFonts w:ascii="Times New Roman" w:eastAsia="Calibri" w:hAnsi="Times New Roman" w:cs="Times New Roman"/>
                <w:b/>
              </w:rPr>
              <w:t>Vykonávacie predpisy</w:t>
            </w:r>
          </w:p>
        </w:tc>
      </w:tr>
      <w:tr w:rsidR="003D7A58" w:rsidRPr="00B043B4" w:rsidTr="008D53DB">
        <w:tc>
          <w:tcPr>
            <w:tcW w:w="6203" w:type="dxa"/>
            <w:gridSpan w:val="7"/>
            <w:tcBorders>
              <w:top w:val="single" w:sz="4" w:space="0" w:color="FFFFFF"/>
              <w:left w:val="single" w:sz="4" w:space="0" w:color="auto"/>
              <w:bottom w:val="nil"/>
              <w:right w:val="nil"/>
            </w:tcBorders>
            <w:shd w:val="clear" w:color="auto" w:fill="FFFFFF"/>
          </w:tcPr>
          <w:p w:rsidR="003D7A58" w:rsidRPr="00B043B4" w:rsidRDefault="003D7A58" w:rsidP="008D53DB">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D7A58" w:rsidRPr="00B043B4" w:rsidRDefault="008D53DB" w:rsidP="008D53D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Content>
                <w:r w:rsidR="003D7A58">
                  <w:rPr>
                    <w:rFonts w:ascii="MS Gothic" w:eastAsia="MS Gothic" w:hAnsi="MS Gothic" w:cs="Times New Roman" w:hint="eastAsia"/>
                    <w:b/>
                    <w:sz w:val="20"/>
                    <w:szCs w:val="20"/>
                    <w:lang w:eastAsia="sk-SK"/>
                  </w:rPr>
                  <w:t>☐</w:t>
                </w:r>
              </w:sdtContent>
            </w:sdt>
            <w:r w:rsidR="003D7A58"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3D7A58" w:rsidRPr="00B043B4" w:rsidRDefault="008D53DB" w:rsidP="008D53D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Content>
                <w:r w:rsidR="003D7A58">
                  <w:rPr>
                    <w:rFonts w:ascii="MS Gothic" w:eastAsia="MS Gothic" w:hAnsi="MS Gothic" w:cs="Times New Roman" w:hint="eastAsia"/>
                    <w:b/>
                    <w:sz w:val="20"/>
                    <w:szCs w:val="20"/>
                    <w:lang w:eastAsia="sk-SK"/>
                  </w:rPr>
                  <w:t>☒</w:t>
                </w:r>
              </w:sdtContent>
            </w:sdt>
            <w:r w:rsidR="003D7A58" w:rsidRPr="00B043B4">
              <w:rPr>
                <w:rFonts w:ascii="Times New Roman" w:eastAsia="Times New Roman" w:hAnsi="Times New Roman" w:cs="Times New Roman"/>
                <w:b/>
                <w:sz w:val="20"/>
                <w:szCs w:val="20"/>
                <w:lang w:eastAsia="sk-SK"/>
              </w:rPr>
              <w:t xml:space="preserve">  Nie</w:t>
            </w:r>
          </w:p>
        </w:tc>
      </w:tr>
      <w:tr w:rsidR="003D7A58" w:rsidRPr="00B043B4" w:rsidTr="008D53DB">
        <w:tc>
          <w:tcPr>
            <w:tcW w:w="9180" w:type="dxa"/>
            <w:gridSpan w:val="11"/>
            <w:tcBorders>
              <w:top w:val="nil"/>
              <w:left w:val="single" w:sz="4" w:space="0" w:color="auto"/>
              <w:bottom w:val="single" w:sz="4" w:space="0" w:color="auto"/>
              <w:right w:val="single" w:sz="4" w:space="0" w:color="auto"/>
            </w:tcBorders>
            <w:shd w:val="clear" w:color="auto" w:fill="FFFFFF"/>
          </w:tcPr>
          <w:p w:rsidR="003D7A58" w:rsidRPr="008D53DB" w:rsidRDefault="003D7A58" w:rsidP="008D53DB">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tc>
      </w:tr>
      <w:tr w:rsidR="003D7A58" w:rsidRPr="00B043B4" w:rsidTr="008D53D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BE6CFF">
              <w:rPr>
                <w:rFonts w:ascii="Times New Roman" w:eastAsia="Calibri" w:hAnsi="Times New Roman" w:cs="Times New Roman"/>
                <w:b/>
              </w:rPr>
              <w:t>Transpozícia práva EÚ</w:t>
            </w:r>
            <w:r w:rsidRPr="00B043B4">
              <w:rPr>
                <w:rFonts w:ascii="Times New Roman" w:eastAsia="Calibri" w:hAnsi="Times New Roman" w:cs="Times New Roman"/>
                <w:b/>
              </w:rPr>
              <w:t xml:space="preserve"> </w:t>
            </w:r>
          </w:p>
        </w:tc>
      </w:tr>
      <w:tr w:rsidR="003D7A58" w:rsidRPr="00B043B4" w:rsidTr="008D53D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3D7A58" w:rsidRPr="00B043B4" w:rsidRDefault="003D7A58" w:rsidP="008D53DB">
            <w:pPr>
              <w:rPr>
                <w:rFonts w:ascii="Times New Roman" w:eastAsia="Times New Roman" w:hAnsi="Times New Roman" w:cs="Times New Roman"/>
                <w:sz w:val="20"/>
                <w:szCs w:val="20"/>
                <w:lang w:eastAsia="sk-SK"/>
              </w:rPr>
            </w:pPr>
          </w:p>
        </w:tc>
      </w:tr>
      <w:tr w:rsidR="003D7A58" w:rsidRPr="00B043B4" w:rsidTr="008D53D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E9058B">
              <w:rPr>
                <w:rFonts w:ascii="Times New Roman" w:eastAsia="Calibri" w:hAnsi="Times New Roman" w:cs="Times New Roman"/>
                <w:b/>
              </w:rPr>
              <w:lastRenderedPageBreak/>
              <w:t>Preskúmanie účelnosti</w:t>
            </w:r>
          </w:p>
        </w:tc>
      </w:tr>
      <w:tr w:rsidR="003D7A58" w:rsidRPr="00B043B4" w:rsidTr="008D53D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D7A58" w:rsidRPr="00B043B4" w:rsidRDefault="003D7A58" w:rsidP="008346A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K preskúmaniu </w:t>
            </w:r>
            <w:r w:rsidR="008B47B4">
              <w:rPr>
                <w:rFonts w:ascii="Times New Roman" w:eastAsia="Times New Roman" w:hAnsi="Times New Roman" w:cs="Times New Roman"/>
                <w:i/>
                <w:sz w:val="20"/>
                <w:szCs w:val="20"/>
                <w:lang w:eastAsia="sk-SK"/>
              </w:rPr>
              <w:t xml:space="preserve">účinnosti a </w:t>
            </w:r>
            <w:r>
              <w:rPr>
                <w:rFonts w:ascii="Times New Roman" w:eastAsia="Times New Roman" w:hAnsi="Times New Roman" w:cs="Times New Roman"/>
                <w:i/>
                <w:sz w:val="20"/>
                <w:szCs w:val="20"/>
                <w:lang w:eastAsia="sk-SK"/>
              </w:rPr>
              <w:t xml:space="preserve">účelnosti predkladaného materiálu by malo dôjsť 3 roky od účinnosti predkladaného návrhu. Vzhľadom na to, že účinnosť predkladaného návrhu sa navrhuje k 1. júnu 2022, k preskúmaniu </w:t>
            </w:r>
            <w:r w:rsidR="008B47B4">
              <w:rPr>
                <w:rFonts w:ascii="Times New Roman" w:eastAsia="Times New Roman" w:hAnsi="Times New Roman" w:cs="Times New Roman"/>
                <w:i/>
                <w:sz w:val="20"/>
                <w:szCs w:val="20"/>
                <w:lang w:eastAsia="sk-SK"/>
              </w:rPr>
              <w:t xml:space="preserve">účinnosti a </w:t>
            </w:r>
            <w:r>
              <w:rPr>
                <w:rFonts w:ascii="Times New Roman" w:eastAsia="Times New Roman" w:hAnsi="Times New Roman" w:cs="Times New Roman"/>
                <w:i/>
                <w:sz w:val="20"/>
                <w:szCs w:val="20"/>
                <w:lang w:eastAsia="sk-SK"/>
              </w:rPr>
              <w:t>účelnosti by malo dôjsť v treťom kvartáli 2025 na základe získaných poznatkov z aplikačnej praxe. Prijaté zmeny budú vyhodnocované prostredníctvom indikátora, ktorým bude stabilita pri zabezpečovaní prvotnej integrácie azylanta alebo cudzinca s poskytnutou doplnkovou ochranou.</w:t>
            </w:r>
          </w:p>
        </w:tc>
      </w:tr>
      <w:tr w:rsidR="003D7A58" w:rsidRPr="00B043B4" w:rsidTr="008D53DB">
        <w:tc>
          <w:tcPr>
            <w:tcW w:w="9180" w:type="dxa"/>
            <w:gridSpan w:val="11"/>
            <w:tcBorders>
              <w:top w:val="nil"/>
              <w:left w:val="nil"/>
              <w:bottom w:val="single" w:sz="4" w:space="0" w:color="auto"/>
              <w:right w:val="nil"/>
            </w:tcBorders>
            <w:shd w:val="clear" w:color="auto" w:fill="FFFFFF"/>
          </w:tcPr>
          <w:p w:rsidR="003D7A58" w:rsidRPr="00B043B4" w:rsidRDefault="003D7A58" w:rsidP="008D53DB">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3D7A58" w:rsidRDefault="003D7A58" w:rsidP="008D53D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3D7A58" w:rsidRPr="00B043B4" w:rsidRDefault="003D7A58" w:rsidP="008D53DB">
            <w:pPr>
              <w:rPr>
                <w:rFonts w:ascii="Times New Roman" w:eastAsia="Times New Roman" w:hAnsi="Times New Roman" w:cs="Times New Roman"/>
                <w:b/>
                <w:sz w:val="20"/>
                <w:szCs w:val="20"/>
                <w:lang w:eastAsia="sk-SK"/>
              </w:rPr>
            </w:pPr>
          </w:p>
        </w:tc>
      </w:tr>
      <w:tr w:rsidR="003D7A58" w:rsidRPr="00B043B4" w:rsidTr="008D53DB">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3D7A58" w:rsidRPr="00B043B4" w:rsidRDefault="003D7A58" w:rsidP="008D53DB">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3D7A58" w:rsidRPr="00B043B4" w:rsidTr="008D53DB">
        <w:tc>
          <w:tcPr>
            <w:tcW w:w="3812" w:type="dxa"/>
            <w:tcBorders>
              <w:top w:val="single" w:sz="4" w:space="0" w:color="auto"/>
              <w:left w:val="single" w:sz="4" w:space="0" w:color="auto"/>
              <w:bottom w:val="nil"/>
              <w:right w:val="single" w:sz="4" w:space="0" w:color="auto"/>
            </w:tcBorders>
            <w:shd w:val="clear" w:color="auto" w:fill="E2E2E2"/>
          </w:tcPr>
          <w:p w:rsidR="003D7A58" w:rsidRPr="00BE6CFF" w:rsidRDefault="003D7A58" w:rsidP="008D53DB">
            <w:pPr>
              <w:rPr>
                <w:rFonts w:ascii="Times New Roman" w:eastAsia="Times New Roman" w:hAnsi="Times New Roman" w:cs="Times New Roman"/>
                <w:b/>
                <w:sz w:val="20"/>
                <w:szCs w:val="20"/>
                <w:lang w:eastAsia="sk-SK"/>
              </w:rPr>
            </w:pPr>
            <w:r w:rsidRPr="00BE6CFF">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rsidR="003D7A58" w:rsidRPr="00B043B4" w:rsidRDefault="003D7A58" w:rsidP="008D53DB">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3D7A58" w:rsidRPr="00B043B4" w:rsidRDefault="003D7A58" w:rsidP="008D53DB">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D7A58" w:rsidRPr="00B043B4" w:rsidTr="008D53DB">
        <w:tc>
          <w:tcPr>
            <w:tcW w:w="3812" w:type="dxa"/>
            <w:tcBorders>
              <w:top w:val="nil"/>
              <w:left w:val="single" w:sz="4" w:space="0" w:color="auto"/>
              <w:bottom w:val="single" w:sz="4" w:space="0" w:color="000000"/>
              <w:right w:val="single" w:sz="4" w:space="0" w:color="auto"/>
            </w:tcBorders>
            <w:shd w:val="clear" w:color="auto" w:fill="E2E2E2"/>
          </w:tcPr>
          <w:p w:rsidR="003D7A58" w:rsidRPr="00BE6CFF" w:rsidRDefault="003D7A58" w:rsidP="008D53DB">
            <w:pPr>
              <w:rPr>
                <w:rFonts w:ascii="Times New Roman" w:eastAsia="Times New Roman" w:hAnsi="Times New Roman" w:cs="Times New Roman"/>
                <w:sz w:val="20"/>
                <w:szCs w:val="20"/>
                <w:lang w:eastAsia="sk-SK"/>
              </w:rPr>
            </w:pPr>
            <w:r w:rsidRPr="00BE6CFF">
              <w:rPr>
                <w:rFonts w:ascii="Times New Roman" w:eastAsia="Times New Roman" w:hAnsi="Times New Roman" w:cs="Times New Roman"/>
                <w:sz w:val="20"/>
                <w:szCs w:val="20"/>
                <w:lang w:eastAsia="sk-SK"/>
              </w:rPr>
              <w:t xml:space="preserve">    z toho rozpočtovo zabezpečené vplyvy,         </w:t>
            </w:r>
          </w:p>
          <w:p w:rsidR="003D7A58" w:rsidRPr="00BE6CFF" w:rsidRDefault="003D7A58" w:rsidP="008D53DB">
            <w:pPr>
              <w:rPr>
                <w:rFonts w:ascii="Times New Roman" w:eastAsia="Times New Roman" w:hAnsi="Times New Roman" w:cs="Times New Roman"/>
                <w:sz w:val="20"/>
                <w:szCs w:val="20"/>
                <w:lang w:eastAsia="sk-SK"/>
              </w:rPr>
            </w:pPr>
            <w:r w:rsidRPr="00BE6CFF">
              <w:rPr>
                <w:rFonts w:ascii="Times New Roman" w:eastAsia="Times New Roman" w:hAnsi="Times New Roman" w:cs="Times New Roman"/>
                <w:sz w:val="20"/>
                <w:szCs w:val="20"/>
                <w:lang w:eastAsia="sk-SK"/>
              </w:rPr>
              <w:t xml:space="preserve">    v prípade identifikovaného negatívneho </w:t>
            </w:r>
          </w:p>
          <w:p w:rsidR="003D7A58" w:rsidRPr="00BE6CFF" w:rsidRDefault="003D7A58" w:rsidP="008D53DB">
            <w:pPr>
              <w:rPr>
                <w:rFonts w:ascii="Times New Roman" w:eastAsia="Times New Roman" w:hAnsi="Times New Roman" w:cs="Times New Roman"/>
                <w:sz w:val="20"/>
                <w:szCs w:val="20"/>
                <w:lang w:eastAsia="sk-SK"/>
              </w:rPr>
            </w:pPr>
            <w:r w:rsidRPr="00BE6CFF">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D7A58" w:rsidRPr="00B043B4" w:rsidRDefault="003D7A58" w:rsidP="008D53D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D7A58" w:rsidRPr="00B043B4" w:rsidRDefault="003D7A58" w:rsidP="008D53D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3D7A58" w:rsidRPr="00B043B4" w:rsidRDefault="003D7A58" w:rsidP="008D53DB">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D7A58" w:rsidRPr="00B043B4" w:rsidRDefault="003D7A58" w:rsidP="008D53DB">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D7A58" w:rsidRPr="00B043B4" w:rsidTr="008D53DB">
        <w:tc>
          <w:tcPr>
            <w:tcW w:w="3812" w:type="dxa"/>
            <w:tcBorders>
              <w:top w:val="single" w:sz="4" w:space="0" w:color="000000"/>
              <w:left w:val="single" w:sz="4" w:space="0" w:color="auto"/>
              <w:bottom w:val="nil"/>
              <w:right w:val="single" w:sz="4" w:space="0" w:color="auto"/>
            </w:tcBorders>
            <w:shd w:val="clear" w:color="auto" w:fill="E2E2E2"/>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D7A58" w:rsidRPr="00B043B4" w:rsidRDefault="003D7A58" w:rsidP="008D53D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D7A58" w:rsidRPr="00B043B4" w:rsidRDefault="003D7A58" w:rsidP="008D53D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D7A58" w:rsidRPr="00B043B4" w:rsidTr="008D53DB">
        <w:tc>
          <w:tcPr>
            <w:tcW w:w="3812" w:type="dxa"/>
            <w:tcBorders>
              <w:top w:val="nil"/>
              <w:left w:val="single" w:sz="4" w:space="0" w:color="000000"/>
              <w:bottom w:val="nil"/>
              <w:right w:val="single" w:sz="4" w:space="0" w:color="000000"/>
            </w:tcBorders>
            <w:shd w:val="clear" w:color="auto" w:fill="E2E2E2"/>
          </w:tcPr>
          <w:p w:rsidR="003D7A58" w:rsidRPr="00B043B4" w:rsidRDefault="003D7A58" w:rsidP="008D53D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D7A58" w:rsidRPr="00B043B4" w:rsidRDefault="003D7A58" w:rsidP="008D53D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D7A58" w:rsidRPr="00B043B4" w:rsidRDefault="003D7A58" w:rsidP="008D53DB">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D7A58" w:rsidRPr="00B043B4" w:rsidRDefault="003D7A58" w:rsidP="008D53DB">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3D7A58" w:rsidRPr="00B043B4" w:rsidRDefault="003D7A58" w:rsidP="008D53D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D7A58" w:rsidRPr="00B043B4" w:rsidRDefault="003D7A58" w:rsidP="008D53DB">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D7A58" w:rsidRPr="00B043B4" w:rsidTr="008D53DB">
        <w:tc>
          <w:tcPr>
            <w:tcW w:w="3812" w:type="dxa"/>
            <w:tcBorders>
              <w:top w:val="nil"/>
              <w:left w:val="single" w:sz="4" w:space="0" w:color="auto"/>
              <w:bottom w:val="single" w:sz="4" w:space="0" w:color="auto"/>
              <w:right w:val="single" w:sz="4" w:space="0" w:color="auto"/>
            </w:tcBorders>
            <w:shd w:val="clear" w:color="auto" w:fill="E2E2E2"/>
          </w:tcPr>
          <w:p w:rsidR="003D7A58" w:rsidRDefault="003D7A58" w:rsidP="008D53DB">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D7A58" w:rsidRPr="00B043B4" w:rsidRDefault="003D7A58" w:rsidP="008D53DB">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D7A58" w:rsidRPr="00B043B4" w:rsidRDefault="003D7A58" w:rsidP="008D53D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D7A58" w:rsidRPr="00B043B4" w:rsidRDefault="003D7A58" w:rsidP="008D53D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D7A58" w:rsidRPr="00B043B4" w:rsidTr="008D53DB">
        <w:tc>
          <w:tcPr>
            <w:tcW w:w="3812" w:type="dxa"/>
            <w:tcBorders>
              <w:top w:val="single" w:sz="4" w:space="0" w:color="000000"/>
              <w:left w:val="single" w:sz="4" w:space="0" w:color="auto"/>
              <w:bottom w:val="single" w:sz="4" w:space="0" w:color="auto"/>
              <w:right w:val="single" w:sz="4" w:space="0" w:color="auto"/>
            </w:tcBorders>
            <w:shd w:val="clear" w:color="auto" w:fill="E2E2E2"/>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D7A58" w:rsidRPr="00B043B4" w:rsidRDefault="003D7A58" w:rsidP="008D53D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D7A58" w:rsidRPr="00B043B4" w:rsidRDefault="003D7A58" w:rsidP="008D53D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D7A58" w:rsidRPr="00B043B4" w:rsidTr="008D53DB">
        <w:tc>
          <w:tcPr>
            <w:tcW w:w="3812" w:type="dxa"/>
            <w:tcBorders>
              <w:top w:val="single" w:sz="4" w:space="0" w:color="auto"/>
              <w:left w:val="single" w:sz="4" w:space="0" w:color="auto"/>
              <w:bottom w:val="single" w:sz="4" w:space="0" w:color="auto"/>
              <w:right w:val="single" w:sz="4" w:space="0" w:color="auto"/>
            </w:tcBorders>
            <w:shd w:val="clear" w:color="auto" w:fill="E2E2E2"/>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D7A58" w:rsidRPr="00B043B4" w:rsidRDefault="003D7A58" w:rsidP="008D53D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D7A58" w:rsidRPr="00B043B4" w:rsidRDefault="003D7A58" w:rsidP="008D53D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D7A58" w:rsidRPr="00B043B4" w:rsidTr="008D53DB">
        <w:tc>
          <w:tcPr>
            <w:tcW w:w="3812" w:type="dxa"/>
            <w:tcBorders>
              <w:top w:val="single" w:sz="4" w:space="0" w:color="auto"/>
              <w:left w:val="single" w:sz="4" w:space="0" w:color="auto"/>
              <w:bottom w:val="single" w:sz="4" w:space="0" w:color="auto"/>
              <w:right w:val="single" w:sz="4" w:space="0" w:color="auto"/>
            </w:tcBorders>
            <w:shd w:val="clear" w:color="auto" w:fill="E2E2E2"/>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D7A58" w:rsidRPr="00B043B4" w:rsidRDefault="003D7A58" w:rsidP="008D53D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D7A58" w:rsidRPr="00B043B4" w:rsidRDefault="003D7A58" w:rsidP="008D53D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D7A58" w:rsidRPr="00B043B4" w:rsidTr="008D53DB">
        <w:tc>
          <w:tcPr>
            <w:tcW w:w="3812" w:type="dxa"/>
            <w:tcBorders>
              <w:top w:val="single" w:sz="4" w:space="0" w:color="auto"/>
              <w:left w:val="single" w:sz="4" w:space="0" w:color="auto"/>
              <w:bottom w:val="nil"/>
              <w:right w:val="single" w:sz="4" w:space="0" w:color="auto"/>
            </w:tcBorders>
            <w:shd w:val="clear" w:color="auto" w:fill="E2E2E2"/>
          </w:tcPr>
          <w:p w:rsidR="003D7A58" w:rsidRPr="00B043B4" w:rsidRDefault="003D7A58" w:rsidP="008D53DB">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3D7A58" w:rsidRPr="00B043B4" w:rsidRDefault="003D7A58" w:rsidP="008D53DB">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3D7A58" w:rsidRPr="00B043B4" w:rsidRDefault="003D7A58" w:rsidP="008D53DB">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3D7A58" w:rsidRPr="00B043B4" w:rsidRDefault="003D7A58" w:rsidP="008D53DB">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3D7A58" w:rsidRPr="00B043B4" w:rsidRDefault="003D7A58" w:rsidP="008D53DB">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3D7A58" w:rsidRPr="00B043B4" w:rsidRDefault="003D7A58" w:rsidP="008D53DB">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3D7A58" w:rsidRPr="00B043B4" w:rsidRDefault="003D7A58" w:rsidP="008D53DB">
            <w:pPr>
              <w:spacing w:after="0" w:line="240" w:lineRule="auto"/>
              <w:ind w:left="54"/>
              <w:rPr>
                <w:rFonts w:ascii="Times New Roman" w:eastAsia="Times New Roman" w:hAnsi="Times New Roman" w:cs="Times New Roman"/>
                <w:b/>
                <w:sz w:val="20"/>
                <w:szCs w:val="20"/>
                <w:lang w:eastAsia="sk-SK"/>
              </w:rPr>
            </w:pPr>
          </w:p>
        </w:tc>
      </w:tr>
      <w:tr w:rsidR="003D7A58" w:rsidRPr="00B043B4" w:rsidTr="008D53DB">
        <w:tc>
          <w:tcPr>
            <w:tcW w:w="3812" w:type="dxa"/>
            <w:tcBorders>
              <w:top w:val="nil"/>
              <w:left w:val="single" w:sz="4" w:space="0" w:color="auto"/>
              <w:bottom w:val="nil"/>
              <w:right w:val="single" w:sz="4" w:space="0" w:color="auto"/>
            </w:tcBorders>
            <w:shd w:val="clear" w:color="auto" w:fill="E2E2E2"/>
          </w:tcPr>
          <w:p w:rsidR="003D7A58" w:rsidRPr="00B043B4" w:rsidRDefault="003D7A58" w:rsidP="008D53DB">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rsidR="003D7A58" w:rsidRPr="00B043B4" w:rsidRDefault="003D7A58" w:rsidP="008D53DB">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3D7A58" w:rsidRPr="00B043B4" w:rsidRDefault="003D7A58" w:rsidP="008D53DB">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rsidR="003D7A58" w:rsidRPr="00B043B4" w:rsidRDefault="003D7A58" w:rsidP="008D53DB">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3D7A58" w:rsidRPr="00B043B4" w:rsidRDefault="003D7A58" w:rsidP="008D53DB">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rsidR="003D7A58" w:rsidRPr="00B043B4" w:rsidRDefault="003D7A58" w:rsidP="008D53DB">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3D7A58" w:rsidRPr="00B043B4" w:rsidRDefault="003D7A58" w:rsidP="008D53DB">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D7A58" w:rsidRPr="00B043B4" w:rsidTr="008D53DB">
        <w:tc>
          <w:tcPr>
            <w:tcW w:w="3812" w:type="dxa"/>
            <w:tcBorders>
              <w:top w:val="nil"/>
              <w:left w:val="single" w:sz="4" w:space="0" w:color="auto"/>
              <w:bottom w:val="nil"/>
              <w:right w:val="single" w:sz="4" w:space="0" w:color="auto"/>
            </w:tcBorders>
            <w:shd w:val="clear" w:color="auto" w:fill="E2E2E2"/>
          </w:tcPr>
          <w:p w:rsidR="003D7A58" w:rsidRPr="00B043B4" w:rsidRDefault="003D7A58" w:rsidP="008D53DB">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w:t>
            </w:r>
            <w:r w:rsidRPr="00BE6CFF">
              <w:rPr>
                <w:rFonts w:ascii="Times New Roman" w:eastAsia="Calibri" w:hAnsi="Times New Roman" w:cs="Times New Roman"/>
                <w:b/>
                <w:sz w:val="20"/>
                <w:szCs w:val="20"/>
              </w:rPr>
              <w:t>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rsidR="003D7A58" w:rsidRPr="00B043B4" w:rsidRDefault="003D7A58" w:rsidP="008D53DB">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3D7A58" w:rsidRPr="00B043B4" w:rsidRDefault="003D7A58" w:rsidP="008D53DB">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rsidR="003D7A58" w:rsidRPr="00B043B4" w:rsidRDefault="003D7A58" w:rsidP="008D53DB">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3D7A58" w:rsidRPr="00B043B4" w:rsidRDefault="003D7A58" w:rsidP="008D53DB">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rsidR="003D7A58" w:rsidRPr="00B043B4" w:rsidRDefault="003D7A58" w:rsidP="008D53DB">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3D7A58" w:rsidRPr="00B043B4" w:rsidRDefault="003D7A58" w:rsidP="008D53DB">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D7A58" w:rsidRPr="00B043B4" w:rsidTr="008D53DB">
        <w:tc>
          <w:tcPr>
            <w:tcW w:w="3812" w:type="dxa"/>
            <w:tcBorders>
              <w:top w:val="single" w:sz="4" w:space="0" w:color="000000"/>
              <w:left w:val="single" w:sz="4" w:space="0" w:color="auto"/>
              <w:bottom w:val="single" w:sz="4" w:space="0" w:color="auto"/>
              <w:right w:val="single" w:sz="4" w:space="0" w:color="auto"/>
            </w:tcBorders>
            <w:shd w:val="clear" w:color="auto" w:fill="E2E2E2"/>
          </w:tcPr>
          <w:p w:rsidR="003D7A58" w:rsidRPr="00B043B4" w:rsidRDefault="003D7A58" w:rsidP="008D53D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3D7A58" w:rsidRPr="00B043B4" w:rsidRDefault="003D7A58" w:rsidP="008D53D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3D7A58" w:rsidRPr="00B043B4" w:rsidRDefault="003D7A58" w:rsidP="008D53D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rsidR="003D7A58" w:rsidRPr="00B043B4" w:rsidRDefault="003D7A58" w:rsidP="008D53D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3D7A58" w:rsidRPr="00B043B4" w:rsidRDefault="003D7A58" w:rsidP="008D53D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3D7A58" w:rsidRPr="00B043B4" w:rsidRDefault="003D7A58" w:rsidP="003D7A58">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D7A58" w:rsidRPr="00B043B4" w:rsidTr="008D53DB">
        <w:tc>
          <w:tcPr>
            <w:tcW w:w="9176" w:type="dxa"/>
            <w:tcBorders>
              <w:top w:val="single" w:sz="4" w:space="0" w:color="auto"/>
              <w:left w:val="single" w:sz="4" w:space="0" w:color="auto"/>
              <w:bottom w:val="nil"/>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3D7A58" w:rsidRPr="00B043B4" w:rsidTr="008D53DB">
        <w:trPr>
          <w:trHeight w:val="713"/>
        </w:trPr>
        <w:tc>
          <w:tcPr>
            <w:tcW w:w="9176" w:type="dxa"/>
            <w:tcBorders>
              <w:top w:val="nil"/>
              <w:left w:val="single" w:sz="4" w:space="0" w:color="auto"/>
              <w:bottom w:val="single" w:sz="4" w:space="0" w:color="FFFFFF"/>
              <w:right w:val="single" w:sz="4" w:space="0" w:color="auto"/>
            </w:tcBorders>
            <w:shd w:val="clear" w:color="auto" w:fill="auto"/>
          </w:tcPr>
          <w:p w:rsidR="00286CED" w:rsidRPr="00286CED" w:rsidRDefault="00286CED" w:rsidP="00286CED">
            <w:pPr>
              <w:jc w:val="both"/>
              <w:rPr>
                <w:rFonts w:ascii="Times New Roman" w:hAnsi="Times New Roman"/>
                <w:i/>
                <w:sz w:val="20"/>
                <w:szCs w:val="20"/>
                <w:lang w:eastAsia="sk-SK"/>
              </w:rPr>
            </w:pPr>
            <w:r w:rsidRPr="00286CED">
              <w:rPr>
                <w:rFonts w:ascii="Times New Roman" w:hAnsi="Times New Roman"/>
                <w:i/>
                <w:sz w:val="20"/>
                <w:szCs w:val="20"/>
              </w:rPr>
              <w:t xml:space="preserve">Berúc do úvahy dlhodobú potrebu zahraničných zamestnancov, možno skorší prístup žiadateľov o udelenie azylu na trh práce považovať za prínosný pre trh zamestnanosti na Slovensku. Uvedené by mohlo prípadne priniesť potencionálne vplyvy na </w:t>
            </w:r>
            <w:r w:rsidRPr="00286CED">
              <w:rPr>
                <w:rFonts w:ascii="Times New Roman" w:hAnsi="Times New Roman"/>
                <w:i/>
                <w:sz w:val="20"/>
                <w:szCs w:val="20"/>
                <w:lang w:eastAsia="sk-SK"/>
              </w:rPr>
              <w:t>podnikateľské prostredie, a to  pozitívne vplyvy na zamestnávateľov.  Vzhľadom na súčasné počty žiadostí o udelenie azylu podaných na území Slovenskej republiky ide však skôr o zanedbateľný vplyv.</w:t>
            </w:r>
          </w:p>
          <w:p w:rsidR="003D7A58" w:rsidRPr="00B043B4" w:rsidRDefault="003D7A58" w:rsidP="008D53DB">
            <w:pPr>
              <w:jc w:val="both"/>
              <w:rPr>
                <w:rFonts w:ascii="Times New Roman" w:eastAsia="Calibri" w:hAnsi="Times New Roman" w:cs="Times New Roman"/>
                <w:b/>
              </w:rPr>
            </w:pPr>
          </w:p>
        </w:tc>
      </w:tr>
      <w:tr w:rsidR="003D7A58" w:rsidRPr="00B043B4" w:rsidTr="008D53DB">
        <w:tc>
          <w:tcPr>
            <w:tcW w:w="9176" w:type="dxa"/>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6B1653">
              <w:rPr>
                <w:rFonts w:ascii="Times New Roman" w:eastAsia="Calibri" w:hAnsi="Times New Roman" w:cs="Times New Roman"/>
                <w:b/>
              </w:rPr>
              <w:t>Kontakt na spracovateľa</w:t>
            </w:r>
          </w:p>
        </w:tc>
      </w:tr>
      <w:tr w:rsidR="003D7A58" w:rsidRPr="00B043B4" w:rsidTr="008D53D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D7A58" w:rsidRDefault="003D7A58" w:rsidP="008D53D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Nina Sečíková, organizačný a právny odbor,</w:t>
            </w:r>
            <w:r w:rsidRPr="00E9058B">
              <w:rPr>
                <w:rFonts w:ascii="Times New Roman" w:eastAsia="Times New Roman" w:hAnsi="Times New Roman" w:cs="Times New Roman"/>
                <w:i/>
                <w:sz w:val="20"/>
                <w:szCs w:val="20"/>
                <w:lang w:eastAsia="sk-SK"/>
              </w:rPr>
              <w:t xml:space="preserve"> migračný úrad</w:t>
            </w:r>
            <w:r>
              <w:rPr>
                <w:rFonts w:ascii="Times New Roman" w:eastAsia="Times New Roman" w:hAnsi="Times New Roman" w:cs="Times New Roman"/>
                <w:i/>
                <w:sz w:val="20"/>
                <w:szCs w:val="20"/>
                <w:lang w:eastAsia="sk-SK"/>
              </w:rPr>
              <w:t xml:space="preserve"> </w:t>
            </w:r>
            <w:r w:rsidRPr="00E9058B">
              <w:rPr>
                <w:rFonts w:ascii="Times New Roman" w:eastAsia="Times New Roman" w:hAnsi="Times New Roman" w:cs="Times New Roman"/>
                <w:i/>
                <w:sz w:val="20"/>
                <w:szCs w:val="20"/>
                <w:lang w:eastAsia="sk-SK"/>
              </w:rPr>
              <w:t>Ministerstva vnútra SR</w:t>
            </w:r>
            <w:r>
              <w:rPr>
                <w:rFonts w:ascii="Times New Roman" w:eastAsia="Times New Roman" w:hAnsi="Times New Roman" w:cs="Times New Roman"/>
                <w:i/>
                <w:sz w:val="20"/>
                <w:szCs w:val="20"/>
                <w:lang w:eastAsia="sk-SK"/>
              </w:rPr>
              <w:t xml:space="preserve">, </w:t>
            </w:r>
          </w:p>
          <w:p w:rsidR="003D7A58" w:rsidRDefault="008D53DB" w:rsidP="008D53DB">
            <w:pPr>
              <w:rPr>
                <w:rFonts w:ascii="Times New Roman" w:eastAsia="Times New Roman" w:hAnsi="Times New Roman" w:cs="Times New Roman"/>
                <w:i/>
                <w:sz w:val="20"/>
                <w:szCs w:val="20"/>
                <w:lang w:eastAsia="sk-SK"/>
              </w:rPr>
            </w:pPr>
            <w:hyperlink r:id="rId7" w:history="1">
              <w:r w:rsidR="003D7A58" w:rsidRPr="009C5681">
                <w:rPr>
                  <w:rStyle w:val="Hypertextovprepojenie"/>
                  <w:rFonts w:ascii="Times New Roman" w:eastAsia="Times New Roman" w:hAnsi="Times New Roman" w:cs="Times New Roman"/>
                  <w:i/>
                  <w:sz w:val="20"/>
                  <w:szCs w:val="20"/>
                  <w:lang w:eastAsia="sk-SK"/>
                </w:rPr>
                <w:t>nina.secikova@minv.sk</w:t>
              </w:r>
            </w:hyperlink>
          </w:p>
          <w:p w:rsidR="00937517" w:rsidRDefault="00937517" w:rsidP="0093751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Lenka Bradáčová, organizačný a právny odbor,</w:t>
            </w:r>
            <w:r w:rsidRPr="00E9058B">
              <w:rPr>
                <w:rFonts w:ascii="Times New Roman" w:eastAsia="Times New Roman" w:hAnsi="Times New Roman" w:cs="Times New Roman"/>
                <w:i/>
                <w:sz w:val="20"/>
                <w:szCs w:val="20"/>
                <w:lang w:eastAsia="sk-SK"/>
              </w:rPr>
              <w:t xml:space="preserve"> migračný úrad</w:t>
            </w:r>
            <w:r>
              <w:rPr>
                <w:rFonts w:ascii="Times New Roman" w:eastAsia="Times New Roman" w:hAnsi="Times New Roman" w:cs="Times New Roman"/>
                <w:i/>
                <w:sz w:val="20"/>
                <w:szCs w:val="20"/>
                <w:lang w:eastAsia="sk-SK"/>
              </w:rPr>
              <w:t xml:space="preserve"> </w:t>
            </w:r>
            <w:r w:rsidRPr="00E9058B">
              <w:rPr>
                <w:rFonts w:ascii="Times New Roman" w:eastAsia="Times New Roman" w:hAnsi="Times New Roman" w:cs="Times New Roman"/>
                <w:i/>
                <w:sz w:val="20"/>
                <w:szCs w:val="20"/>
                <w:lang w:eastAsia="sk-SK"/>
              </w:rPr>
              <w:t>Ministerstva vnútra SR</w:t>
            </w:r>
            <w:r>
              <w:rPr>
                <w:rFonts w:ascii="Times New Roman" w:eastAsia="Times New Roman" w:hAnsi="Times New Roman" w:cs="Times New Roman"/>
                <w:i/>
                <w:sz w:val="20"/>
                <w:szCs w:val="20"/>
                <w:lang w:eastAsia="sk-SK"/>
              </w:rPr>
              <w:t xml:space="preserve">, </w:t>
            </w:r>
          </w:p>
          <w:p w:rsidR="003D7A58" w:rsidRDefault="008D53DB" w:rsidP="008D53DB">
            <w:pPr>
              <w:rPr>
                <w:rFonts w:ascii="Times New Roman" w:eastAsia="Times New Roman" w:hAnsi="Times New Roman" w:cs="Times New Roman"/>
                <w:i/>
                <w:sz w:val="20"/>
                <w:szCs w:val="20"/>
                <w:lang w:eastAsia="sk-SK"/>
              </w:rPr>
            </w:pPr>
            <w:hyperlink r:id="rId8" w:history="1">
              <w:r w:rsidR="00937517" w:rsidRPr="00540D01">
                <w:rPr>
                  <w:rStyle w:val="Hypertextovprepojenie"/>
                  <w:rFonts w:ascii="Times New Roman" w:eastAsia="Times New Roman" w:hAnsi="Times New Roman" w:cs="Times New Roman"/>
                  <w:i/>
                  <w:sz w:val="20"/>
                  <w:szCs w:val="20"/>
                  <w:lang w:eastAsia="sk-SK"/>
                </w:rPr>
                <w:t>lenka.bradacova@minv.sk</w:t>
              </w:r>
            </w:hyperlink>
          </w:p>
          <w:p w:rsidR="00937517" w:rsidRPr="00B043B4" w:rsidRDefault="00937517" w:rsidP="008D53DB">
            <w:pPr>
              <w:rPr>
                <w:rFonts w:ascii="Times New Roman" w:eastAsia="Times New Roman" w:hAnsi="Times New Roman" w:cs="Times New Roman"/>
                <w:i/>
                <w:sz w:val="20"/>
                <w:szCs w:val="20"/>
                <w:lang w:eastAsia="sk-SK"/>
              </w:rPr>
            </w:pPr>
          </w:p>
        </w:tc>
      </w:tr>
      <w:tr w:rsidR="003D7A58" w:rsidRPr="00B043B4" w:rsidTr="008D53DB">
        <w:tc>
          <w:tcPr>
            <w:tcW w:w="9176" w:type="dxa"/>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numPr>
                <w:ilvl w:val="0"/>
                <w:numId w:val="1"/>
              </w:numPr>
              <w:ind w:left="426"/>
              <w:contextualSpacing/>
              <w:rPr>
                <w:rFonts w:ascii="Times New Roman" w:eastAsia="Calibri" w:hAnsi="Times New Roman" w:cs="Times New Roman"/>
                <w:b/>
              </w:rPr>
            </w:pPr>
            <w:r w:rsidRPr="00B80CCD">
              <w:rPr>
                <w:rFonts w:ascii="Times New Roman" w:eastAsia="Calibri" w:hAnsi="Times New Roman" w:cs="Times New Roman"/>
                <w:b/>
              </w:rPr>
              <w:t>Zdroje</w:t>
            </w:r>
          </w:p>
        </w:tc>
      </w:tr>
      <w:tr w:rsidR="003D7A58" w:rsidRPr="00B043B4" w:rsidTr="008D53D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D7A58" w:rsidRDefault="003D7A58" w:rsidP="008D53DB">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Štatistické údaje migračného úradu Ministerstva vnútra SR</w:t>
            </w:r>
          </w:p>
          <w:p w:rsidR="003D7A58" w:rsidRPr="00B043B4" w:rsidRDefault="008D53DB" w:rsidP="008D53DB">
            <w:pPr>
              <w:rPr>
                <w:rFonts w:ascii="Times New Roman" w:eastAsia="Times New Roman" w:hAnsi="Times New Roman" w:cs="Times New Roman"/>
                <w:i/>
                <w:sz w:val="20"/>
                <w:szCs w:val="20"/>
                <w:lang w:eastAsia="sk-SK"/>
              </w:rPr>
            </w:pPr>
            <w:hyperlink r:id="rId9" w:history="1">
              <w:r w:rsidR="003D7A58" w:rsidRPr="009C5681">
                <w:rPr>
                  <w:rStyle w:val="Hypertextovprepojenie"/>
                  <w:rFonts w:ascii="Times New Roman" w:eastAsia="Times New Roman" w:hAnsi="Times New Roman" w:cs="Times New Roman"/>
                  <w:i/>
                  <w:sz w:val="20"/>
                  <w:szCs w:val="20"/>
                  <w:lang w:eastAsia="sk-SK"/>
                </w:rPr>
                <w:t>https://www.minv.sk/?statistiky-20</w:t>
              </w:r>
            </w:hyperlink>
            <w:r w:rsidR="003D7A58">
              <w:rPr>
                <w:rFonts w:ascii="Times New Roman" w:eastAsia="Times New Roman" w:hAnsi="Times New Roman" w:cs="Times New Roman"/>
                <w:i/>
                <w:sz w:val="20"/>
                <w:szCs w:val="20"/>
                <w:lang w:eastAsia="sk-SK"/>
              </w:rPr>
              <w:t xml:space="preserve"> </w:t>
            </w:r>
          </w:p>
          <w:p w:rsidR="003D7A58" w:rsidRPr="00B043B4" w:rsidRDefault="003D7A58" w:rsidP="008D53DB">
            <w:pPr>
              <w:rPr>
                <w:rFonts w:ascii="Times New Roman" w:eastAsia="Times New Roman" w:hAnsi="Times New Roman" w:cs="Times New Roman"/>
                <w:b/>
                <w:sz w:val="20"/>
                <w:szCs w:val="20"/>
                <w:lang w:eastAsia="sk-SK"/>
              </w:rPr>
            </w:pPr>
          </w:p>
        </w:tc>
      </w:tr>
      <w:tr w:rsidR="003D7A58" w:rsidRPr="00B043B4" w:rsidTr="008D53DB">
        <w:tc>
          <w:tcPr>
            <w:tcW w:w="9176" w:type="dxa"/>
            <w:tcBorders>
              <w:top w:val="single" w:sz="4" w:space="0" w:color="auto"/>
              <w:left w:val="single" w:sz="4" w:space="0" w:color="auto"/>
              <w:bottom w:val="single" w:sz="4" w:space="0" w:color="FFFFFF"/>
              <w:right w:val="single" w:sz="4" w:space="0" w:color="auto"/>
            </w:tcBorders>
            <w:shd w:val="clear" w:color="auto" w:fill="E2E2E2"/>
          </w:tcPr>
          <w:p w:rsidR="003D7A58" w:rsidRPr="00B043B4" w:rsidRDefault="003D7A58" w:rsidP="008D53DB">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w:t>
            </w:r>
            <w:r w:rsidR="00286CED">
              <w:rPr>
                <w:rFonts w:ascii="Times New Roman" w:eastAsia="Calibri" w:hAnsi="Times New Roman" w:cs="Times New Roman"/>
                <w:b/>
              </w:rPr>
              <w:t>nie vybraných vplyvov z PPK č. 187/2021</w:t>
            </w:r>
            <w:r w:rsidRPr="00B043B4">
              <w:rPr>
                <w:rFonts w:ascii="Calibri" w:eastAsia="Calibri" w:hAnsi="Calibri" w:cs="Times New Roman"/>
              </w:rPr>
              <w:t xml:space="preserve"> </w:t>
            </w:r>
          </w:p>
          <w:p w:rsidR="003D7A58" w:rsidRPr="00B043B4" w:rsidRDefault="003D7A58" w:rsidP="008D53DB">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3D7A58" w:rsidRPr="00B043B4" w:rsidTr="008D53DB">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D7A58" w:rsidRPr="00B043B4" w:rsidRDefault="003D7A58" w:rsidP="008D53D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D7A58" w:rsidRPr="00B043B4" w:rsidTr="008D53DB">
              <w:trPr>
                <w:trHeight w:val="396"/>
              </w:trPr>
              <w:tc>
                <w:tcPr>
                  <w:tcW w:w="2552" w:type="dxa"/>
                </w:tcPr>
                <w:p w:rsidR="003D7A58" w:rsidRPr="00B043B4" w:rsidRDefault="008D53DB" w:rsidP="008D53D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Content>
                      <w:r w:rsidR="003D7A58">
                        <w:rPr>
                          <w:rFonts w:ascii="MS Gothic" w:eastAsia="MS Gothic" w:hAnsi="MS Gothic" w:cs="Times New Roman" w:hint="eastAsia"/>
                          <w:b/>
                          <w:sz w:val="20"/>
                          <w:szCs w:val="20"/>
                          <w:lang w:eastAsia="sk-SK"/>
                        </w:rPr>
                        <w:t>☐</w:t>
                      </w:r>
                    </w:sdtContent>
                  </w:sdt>
                  <w:r w:rsidR="003D7A58">
                    <w:rPr>
                      <w:rFonts w:ascii="Times New Roman" w:eastAsia="Times New Roman" w:hAnsi="Times New Roman" w:cs="Times New Roman"/>
                      <w:b/>
                      <w:sz w:val="20"/>
                      <w:szCs w:val="20"/>
                      <w:lang w:eastAsia="sk-SK"/>
                    </w:rPr>
                    <w:t xml:space="preserve">  </w:t>
                  </w:r>
                  <w:r w:rsidR="003D7A58" w:rsidRPr="00B043B4">
                    <w:rPr>
                      <w:rFonts w:ascii="Times New Roman" w:eastAsia="Times New Roman" w:hAnsi="Times New Roman" w:cs="Times New Roman"/>
                      <w:b/>
                      <w:sz w:val="20"/>
                      <w:szCs w:val="20"/>
                      <w:lang w:eastAsia="sk-SK"/>
                    </w:rPr>
                    <w:t xml:space="preserve">Súhlasné </w:t>
                  </w:r>
                </w:p>
              </w:tc>
              <w:tc>
                <w:tcPr>
                  <w:tcW w:w="3827" w:type="dxa"/>
                </w:tcPr>
                <w:p w:rsidR="003D7A58" w:rsidRPr="00B043B4" w:rsidRDefault="008D53DB" w:rsidP="008D53D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Content>
                      <w:r w:rsidR="003D7A58">
                        <w:rPr>
                          <w:rFonts w:ascii="MS Gothic" w:eastAsia="MS Gothic" w:hAnsi="MS Gothic" w:cs="Times New Roman" w:hint="eastAsia"/>
                          <w:b/>
                          <w:sz w:val="20"/>
                          <w:szCs w:val="20"/>
                          <w:lang w:eastAsia="sk-SK"/>
                        </w:rPr>
                        <w:t>☐</w:t>
                      </w:r>
                    </w:sdtContent>
                  </w:sdt>
                  <w:r w:rsidR="003D7A58">
                    <w:rPr>
                      <w:rFonts w:ascii="Times New Roman" w:eastAsia="Times New Roman" w:hAnsi="Times New Roman" w:cs="Times New Roman"/>
                      <w:b/>
                      <w:sz w:val="20"/>
                      <w:szCs w:val="20"/>
                      <w:lang w:eastAsia="sk-SK"/>
                    </w:rPr>
                    <w:t xml:space="preserve">  </w:t>
                  </w:r>
                  <w:r w:rsidR="003D7A58" w:rsidRPr="00B043B4">
                    <w:rPr>
                      <w:rFonts w:ascii="Times New Roman" w:eastAsia="Times New Roman" w:hAnsi="Times New Roman" w:cs="Times New Roman"/>
                      <w:b/>
                      <w:sz w:val="20"/>
                      <w:szCs w:val="20"/>
                      <w:lang w:eastAsia="sk-SK"/>
                    </w:rPr>
                    <w:t>Súhlasné s návrhom na dopracovanie</w:t>
                  </w:r>
                </w:p>
              </w:tc>
              <w:tc>
                <w:tcPr>
                  <w:tcW w:w="2534" w:type="dxa"/>
                </w:tcPr>
                <w:p w:rsidR="003D7A58" w:rsidRPr="00B043B4" w:rsidRDefault="008D53DB" w:rsidP="008D53D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Content>
                      <w:r w:rsidR="00286CED">
                        <w:rPr>
                          <w:rFonts w:ascii="MS Gothic" w:eastAsia="MS Gothic" w:hAnsi="MS Gothic" w:cs="Times New Roman" w:hint="eastAsia"/>
                          <w:b/>
                          <w:sz w:val="20"/>
                          <w:szCs w:val="20"/>
                          <w:lang w:eastAsia="sk-SK"/>
                        </w:rPr>
                        <w:t>☒</w:t>
                      </w:r>
                    </w:sdtContent>
                  </w:sdt>
                  <w:r w:rsidR="003D7A58">
                    <w:rPr>
                      <w:rFonts w:ascii="Times New Roman" w:eastAsia="Times New Roman" w:hAnsi="Times New Roman" w:cs="Times New Roman"/>
                      <w:b/>
                      <w:sz w:val="20"/>
                      <w:szCs w:val="20"/>
                      <w:lang w:eastAsia="sk-SK"/>
                    </w:rPr>
                    <w:t xml:space="preserve">  </w:t>
                  </w:r>
                  <w:r w:rsidR="003D7A58" w:rsidRPr="00B043B4">
                    <w:rPr>
                      <w:rFonts w:ascii="Times New Roman" w:eastAsia="Times New Roman" w:hAnsi="Times New Roman" w:cs="Times New Roman"/>
                      <w:b/>
                      <w:sz w:val="20"/>
                      <w:szCs w:val="20"/>
                      <w:lang w:eastAsia="sk-SK"/>
                    </w:rPr>
                    <w:t>Nesúhlasné</w:t>
                  </w:r>
                </w:p>
              </w:tc>
            </w:tr>
          </w:tbl>
          <w:p w:rsidR="003D7A58" w:rsidRDefault="003D7A58" w:rsidP="008D53DB">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286CED" w:rsidRPr="00B043B4" w:rsidRDefault="00286CED" w:rsidP="008D53DB">
            <w:pPr>
              <w:jc w:val="both"/>
              <w:rPr>
                <w:rFonts w:ascii="Times New Roman" w:eastAsia="Times New Roman" w:hAnsi="Times New Roman" w:cs="Times New Roman"/>
                <w:b/>
                <w:sz w:val="20"/>
                <w:szCs w:val="20"/>
                <w:lang w:eastAsia="sk-SK"/>
              </w:rPr>
            </w:pPr>
          </w:p>
          <w:p w:rsidR="0073033D" w:rsidRPr="00322769" w:rsidRDefault="0073033D" w:rsidP="0073033D">
            <w:pPr>
              <w:jc w:val="both"/>
              <w:rPr>
                <w:rFonts w:ascii="Times New Roman" w:eastAsia="Times New Roman" w:hAnsi="Times New Roman" w:cs="Times New Roman"/>
                <w:i/>
                <w:sz w:val="20"/>
                <w:szCs w:val="20"/>
                <w:lang w:eastAsia="sk-SK"/>
              </w:rPr>
            </w:pPr>
            <w:r w:rsidRPr="00322769">
              <w:rPr>
                <w:rFonts w:ascii="Times New Roman" w:eastAsia="Times New Roman" w:hAnsi="Times New Roman" w:cs="Times New Roman"/>
                <w:i/>
                <w:sz w:val="20"/>
                <w:szCs w:val="20"/>
                <w:lang w:eastAsia="sk-SK"/>
              </w:rPr>
              <w:t xml:space="preserve">Stála pracovná komisia na posudzovanie vybraných vplyvov vyjadruje nesúhlasné stanovisko s materiálom predloženým na predbežné pripomienkové konanie s odporúčaním na jeho dopracovanie podľa pripomienok v </w:t>
            </w:r>
            <w:r w:rsidRPr="00322769">
              <w:rPr>
                <w:rFonts w:ascii="Times New Roman" w:eastAsia="Times New Roman" w:hAnsi="Times New Roman" w:cs="Times New Roman"/>
                <w:i/>
                <w:sz w:val="20"/>
                <w:szCs w:val="20"/>
                <w:lang w:eastAsia="sk-SK"/>
              </w:rPr>
              <w:lastRenderedPageBreak/>
              <w:t>bode II.</w:t>
            </w:r>
          </w:p>
          <w:p w:rsidR="0073033D" w:rsidRDefault="0073033D" w:rsidP="0073033D">
            <w:pPr>
              <w:jc w:val="both"/>
              <w:rPr>
                <w:rFonts w:ascii="Times New Roman" w:eastAsia="Times New Roman" w:hAnsi="Times New Roman" w:cs="Times New Roman"/>
                <w:b/>
                <w:sz w:val="20"/>
                <w:szCs w:val="20"/>
                <w:lang w:eastAsia="sk-SK"/>
              </w:rPr>
            </w:pPr>
          </w:p>
          <w:p w:rsidR="003D7A58" w:rsidRDefault="004B5BAA" w:rsidP="0073033D">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II. </w:t>
            </w:r>
            <w:r w:rsidRPr="004B5BAA">
              <w:rPr>
                <w:rFonts w:ascii="Times New Roman" w:eastAsia="Times New Roman" w:hAnsi="Times New Roman" w:cs="Times New Roman"/>
                <w:b/>
                <w:sz w:val="20"/>
                <w:szCs w:val="20"/>
                <w:lang w:eastAsia="sk-SK"/>
              </w:rPr>
              <w:t xml:space="preserve">Pripomienky a návrhy zmien: </w:t>
            </w:r>
            <w:r w:rsidRPr="004B5BAA">
              <w:rPr>
                <w:rFonts w:ascii="Times New Roman" w:eastAsia="Times New Roman" w:hAnsi="Times New Roman" w:cs="Times New Roman"/>
                <w:i/>
                <w:sz w:val="20"/>
                <w:szCs w:val="20"/>
                <w:lang w:eastAsia="sk-SK"/>
              </w:rPr>
              <w:t>Komisia uplatňuje k materiálu nasledovné pripomienky a odporúčania:</w:t>
            </w:r>
            <w:r>
              <w:rPr>
                <w:rFonts w:ascii="Times New Roman" w:eastAsia="Times New Roman" w:hAnsi="Times New Roman" w:cs="Times New Roman"/>
                <w:b/>
                <w:sz w:val="20"/>
                <w:szCs w:val="20"/>
                <w:lang w:eastAsia="sk-SK"/>
              </w:rPr>
              <w:t xml:space="preserve">   </w:t>
            </w:r>
          </w:p>
          <w:p w:rsidR="00286CED" w:rsidRDefault="00286CED" w:rsidP="0073033D">
            <w:pPr>
              <w:jc w:val="both"/>
              <w:rPr>
                <w:rFonts w:ascii="Times New Roman" w:eastAsia="Times New Roman" w:hAnsi="Times New Roman" w:cs="Times New Roman"/>
                <w:b/>
                <w:sz w:val="20"/>
                <w:szCs w:val="20"/>
                <w:lang w:eastAsia="sk-SK"/>
              </w:rPr>
            </w:pPr>
          </w:p>
          <w:p w:rsidR="00286CED" w:rsidRPr="00286CED" w:rsidRDefault="00286CED" w:rsidP="0073033D">
            <w:pPr>
              <w:pStyle w:val="norm00e1lny"/>
              <w:spacing w:line="240" w:lineRule="atLeast"/>
              <w:jc w:val="both"/>
              <w:rPr>
                <w:b/>
                <w:bCs/>
                <w:i/>
                <w:lang w:eastAsia="ar-SA"/>
              </w:rPr>
            </w:pPr>
            <w:r w:rsidRPr="00286CED">
              <w:rPr>
                <w:b/>
                <w:bCs/>
                <w:i/>
                <w:lang w:eastAsia="ar-SA"/>
              </w:rPr>
              <w:t>K doložke vybraných vplyvov</w:t>
            </w:r>
          </w:p>
          <w:p w:rsidR="00286CED" w:rsidRPr="00286CED" w:rsidRDefault="00286CED" w:rsidP="0073033D">
            <w:pPr>
              <w:jc w:val="both"/>
              <w:rPr>
                <w:rFonts w:ascii="Times New Roman" w:hAnsi="Times New Roman" w:cs="Times New Roman"/>
                <w:i/>
                <w:color w:val="000000"/>
                <w:sz w:val="20"/>
                <w:szCs w:val="20"/>
                <w:lang w:eastAsia="sk-SK"/>
              </w:rPr>
            </w:pPr>
            <w:r w:rsidRPr="00286CED">
              <w:rPr>
                <w:rFonts w:ascii="Times New Roman" w:hAnsi="Times New Roman" w:cs="Times New Roman"/>
                <w:i/>
                <w:color w:val="000000"/>
                <w:sz w:val="20"/>
                <w:szCs w:val="20"/>
              </w:rPr>
              <w:t>Komisia odporúča do časti </w:t>
            </w:r>
            <w:r w:rsidRPr="00286CED">
              <w:rPr>
                <w:rFonts w:ascii="Times New Roman" w:hAnsi="Times New Roman" w:cs="Times New Roman"/>
                <w:i/>
                <w:color w:val="000000"/>
                <w:sz w:val="20"/>
                <w:szCs w:val="20"/>
                <w:shd w:val="clear" w:color="auto" w:fill="FFFFFF"/>
              </w:rPr>
              <w:t>10. Poznámky popísať </w:t>
            </w:r>
            <w:r w:rsidRPr="00286CED">
              <w:rPr>
                <w:rFonts w:ascii="Times New Roman" w:hAnsi="Times New Roman" w:cs="Times New Roman"/>
                <w:i/>
                <w:color w:val="000000"/>
                <w:sz w:val="20"/>
                <w:szCs w:val="20"/>
              </w:rPr>
              <w:t>potencionálne vplyvy  na podnikateľské prostredie, a to  pozitívne vplyvy na zamestnávateľov.  </w:t>
            </w:r>
          </w:p>
          <w:p w:rsidR="00286CED" w:rsidRPr="00286CED" w:rsidRDefault="00286CED" w:rsidP="0073033D">
            <w:pPr>
              <w:jc w:val="both"/>
              <w:rPr>
                <w:rFonts w:ascii="Times New Roman" w:hAnsi="Times New Roman" w:cs="Times New Roman"/>
                <w:i/>
                <w:color w:val="000000"/>
                <w:sz w:val="20"/>
                <w:szCs w:val="20"/>
                <w:lang w:eastAsia="ar-SA"/>
              </w:rPr>
            </w:pPr>
            <w:r w:rsidRPr="00286CED">
              <w:rPr>
                <w:rFonts w:ascii="Times New Roman" w:hAnsi="Times New Roman" w:cs="Times New Roman"/>
                <w:i/>
                <w:color w:val="000000"/>
                <w:sz w:val="20"/>
                <w:szCs w:val="20"/>
                <w:u w:val="single"/>
              </w:rPr>
              <w:t xml:space="preserve">Odôvodnenie: </w:t>
            </w:r>
            <w:r w:rsidRPr="00286CED">
              <w:rPr>
                <w:rFonts w:ascii="Times New Roman" w:hAnsi="Times New Roman" w:cs="Times New Roman"/>
                <w:i/>
                <w:color w:val="000000"/>
                <w:sz w:val="20"/>
                <w:szCs w:val="20"/>
                <w:shd w:val="clear" w:color="auto" w:fill="FFFFFF"/>
              </w:rPr>
              <w:t>Skorší  prístup na trh pre azylantov a cudzincov, ktorý sa  mení z 9 na 6 mesiacov, prinesie do budúceho obdobia pre zamestnávateľov a aj zamestnancov  prínos (</w:t>
            </w:r>
            <w:r w:rsidRPr="00286CED">
              <w:rPr>
                <w:rFonts w:ascii="Times New Roman" w:hAnsi="Times New Roman" w:cs="Times New Roman"/>
                <w:i/>
                <w:color w:val="000000"/>
                <w:sz w:val="20"/>
                <w:szCs w:val="20"/>
              </w:rPr>
              <w:t>bod 34, § 23, odst.6.).</w:t>
            </w:r>
          </w:p>
          <w:p w:rsidR="00286CED" w:rsidRDefault="00286CED" w:rsidP="0073033D">
            <w:pPr>
              <w:pStyle w:val="norm00e1lny"/>
              <w:spacing w:line="240" w:lineRule="atLeast"/>
              <w:jc w:val="both"/>
              <w:rPr>
                <w:b/>
                <w:bCs/>
                <w:i/>
                <w:lang w:eastAsia="ar-SA"/>
              </w:rPr>
            </w:pPr>
          </w:p>
          <w:p w:rsidR="00565439" w:rsidRDefault="00565439" w:rsidP="0073033D">
            <w:pPr>
              <w:jc w:val="both"/>
              <w:rPr>
                <w:rFonts w:ascii="Times New Roman" w:eastAsia="Times New Roman" w:hAnsi="Times New Roman" w:cs="Times New Roman"/>
                <w:b/>
                <w:sz w:val="20"/>
                <w:szCs w:val="20"/>
                <w:u w:val="single"/>
                <w:lang w:eastAsia="sk-SK"/>
              </w:rPr>
            </w:pPr>
            <w:r w:rsidRPr="002F2A58">
              <w:rPr>
                <w:rFonts w:ascii="Times New Roman" w:eastAsia="Times New Roman" w:hAnsi="Times New Roman" w:cs="Times New Roman"/>
                <w:b/>
                <w:sz w:val="20"/>
                <w:szCs w:val="20"/>
                <w:u w:val="single"/>
                <w:lang w:eastAsia="sk-SK"/>
              </w:rPr>
              <w:t>Vyhodnotenie:</w:t>
            </w:r>
          </w:p>
          <w:p w:rsidR="00565439" w:rsidRDefault="00565439" w:rsidP="0073033D">
            <w:pPr>
              <w:pStyle w:val="norm00e1lny"/>
              <w:spacing w:line="240" w:lineRule="atLeast"/>
              <w:jc w:val="both"/>
              <w:rPr>
                <w:bCs/>
                <w:i/>
                <w:lang w:eastAsia="ar-SA"/>
              </w:rPr>
            </w:pPr>
            <w:r>
              <w:rPr>
                <w:bCs/>
                <w:i/>
                <w:lang w:eastAsia="ar-SA"/>
              </w:rPr>
              <w:t>Pripomienka bola akceptovaná. V doložke vybraných vplyvov bol doplnený text v časti 10. Poznámky.</w:t>
            </w:r>
          </w:p>
          <w:p w:rsidR="00565439" w:rsidRPr="002F2A58" w:rsidRDefault="00565439" w:rsidP="0073033D">
            <w:pPr>
              <w:jc w:val="both"/>
              <w:rPr>
                <w:rFonts w:ascii="Times New Roman" w:eastAsia="Times New Roman" w:hAnsi="Times New Roman" w:cs="Times New Roman"/>
                <w:b/>
                <w:sz w:val="20"/>
                <w:szCs w:val="20"/>
                <w:u w:val="single"/>
                <w:lang w:eastAsia="sk-SK"/>
              </w:rPr>
            </w:pPr>
          </w:p>
          <w:p w:rsidR="00286CED" w:rsidRPr="00286CED" w:rsidRDefault="00286CED" w:rsidP="0073033D">
            <w:pPr>
              <w:pStyle w:val="norm00e1lny"/>
              <w:spacing w:line="240" w:lineRule="atLeast"/>
              <w:jc w:val="both"/>
              <w:rPr>
                <w:b/>
                <w:bCs/>
                <w:i/>
                <w:lang w:eastAsia="ar-SA"/>
              </w:rPr>
            </w:pPr>
            <w:r w:rsidRPr="00286CED">
              <w:rPr>
                <w:b/>
                <w:bCs/>
                <w:i/>
                <w:lang w:eastAsia="ar-SA"/>
              </w:rPr>
              <w:t>K vplyvom na rozpočet verejnej správy</w:t>
            </w:r>
          </w:p>
          <w:p w:rsidR="00286CED" w:rsidRPr="00286CED" w:rsidRDefault="00286CED" w:rsidP="0073033D">
            <w:pPr>
              <w:autoSpaceDE w:val="0"/>
              <w:autoSpaceDN w:val="0"/>
              <w:spacing w:line="240" w:lineRule="atLeast"/>
              <w:jc w:val="both"/>
              <w:rPr>
                <w:rFonts w:ascii="Times New Roman" w:hAnsi="Times New Roman" w:cs="Times New Roman"/>
                <w:i/>
                <w:sz w:val="20"/>
                <w:szCs w:val="20"/>
                <w:lang w:eastAsia="sk-SK"/>
              </w:rPr>
            </w:pPr>
            <w:r w:rsidRPr="00286CED">
              <w:rPr>
                <w:rFonts w:ascii="Times New Roman" w:hAnsi="Times New Roman" w:cs="Times New Roman"/>
                <w:i/>
                <w:sz w:val="20"/>
                <w:szCs w:val="20"/>
                <w:lang w:eastAsia="sk-SK"/>
              </w:rPr>
              <w:t xml:space="preserve">V doložke vybraných vplyvov je označený negatívny, rozpočtovo zabezpečený vplyv na rozpočet verejnej správy. V analýze vplyvov je v tabuľke č. 1 kvantifikovaný celkový nárast výdavkov (vyplatenie jednorazových príspevkov pre azylantov a cudzincov a poskytnutie integračného príspevku pre azylantov a cudzincov) v sume 65 418 eur v roku 2022 a v sume 130 836 eur v roku 2023 a 2024. V časti 2.1.1. Financovanie návrhu predkladateľ uvádza, že výdavky v rámci návrhu zákona pokryje Ministerstvo vnútra SR v rámci svojej rozpočtovej kapitoly. </w:t>
            </w:r>
          </w:p>
          <w:p w:rsidR="00286CED" w:rsidRPr="00286CED" w:rsidRDefault="00286CED" w:rsidP="0073033D">
            <w:pPr>
              <w:jc w:val="both"/>
              <w:rPr>
                <w:rFonts w:ascii="Times New Roman" w:hAnsi="Times New Roman" w:cs="Times New Roman"/>
                <w:i/>
                <w:sz w:val="20"/>
                <w:szCs w:val="20"/>
                <w:lang w:eastAsia="sk-SK"/>
              </w:rPr>
            </w:pPr>
          </w:p>
          <w:p w:rsidR="00286CED" w:rsidRPr="00286CED" w:rsidRDefault="00286CED" w:rsidP="0073033D">
            <w:pPr>
              <w:jc w:val="both"/>
              <w:rPr>
                <w:rFonts w:ascii="Times New Roman" w:hAnsi="Times New Roman" w:cs="Times New Roman"/>
                <w:i/>
                <w:sz w:val="20"/>
                <w:szCs w:val="20"/>
              </w:rPr>
            </w:pPr>
            <w:r w:rsidRPr="00286CED">
              <w:rPr>
                <w:rFonts w:ascii="Times New Roman" w:hAnsi="Times New Roman" w:cs="Times New Roman"/>
                <w:i/>
                <w:sz w:val="20"/>
                <w:szCs w:val="20"/>
              </w:rPr>
              <w:t>Komisia navrhuje, aby predkladateľ v analýze vplyvov na rozpočet verejnej správy zohľadnil valorizáciu životného minima, ktoré sa používa pri výpočte príspevkov. Nižšie je priložená tabuľka hodnôt životného minima na ďalšie roky. Pri výpočte bol použitý predpoklad nízkopríjmovej inflácie na roky 2022 až 2024 podľa makroekonomickej prognózy IFP zo septembra 2021, ktorá je uverejnená na stránke MF SR.</w:t>
            </w:r>
          </w:p>
          <w:p w:rsidR="00286CED" w:rsidRPr="00286CED" w:rsidRDefault="00286CED" w:rsidP="0073033D">
            <w:pPr>
              <w:jc w:val="both"/>
              <w:rPr>
                <w:rFonts w:ascii="Times New Roman" w:hAnsi="Times New Roman" w:cs="Times New Roman"/>
                <w:i/>
                <w:sz w:val="20"/>
                <w:szCs w:val="20"/>
                <w:lang w:eastAsia="ar-SA"/>
              </w:rPr>
            </w:pPr>
            <w:r w:rsidRPr="00286CED">
              <w:rPr>
                <w:rFonts w:ascii="Times New Roman" w:hAnsi="Times New Roman" w:cs="Times New Roman"/>
                <w:i/>
                <w:sz w:val="20"/>
                <w:szCs w:val="20"/>
              </w:rPr>
              <w:t xml:space="preserve">Link na prognózu: </w:t>
            </w:r>
            <w:hyperlink r:id="rId10" w:history="1">
              <w:r w:rsidRPr="00286CED">
                <w:rPr>
                  <w:rStyle w:val="Hypertextovprepojenie"/>
                  <w:rFonts w:ascii="Times New Roman" w:hAnsi="Times New Roman" w:cs="Times New Roman"/>
                  <w:i/>
                  <w:sz w:val="20"/>
                  <w:szCs w:val="20"/>
                </w:rPr>
                <w:t>https://www.mfsr.sk/sk/financie/institut-financnej-politiky/ekonomicke-prognozy/makroekonomicke-prognozy/57-zasadnutie-vyboru-makroekonomicke-prognozy-september-2021.html</w:t>
              </w:r>
            </w:hyperlink>
          </w:p>
          <w:p w:rsidR="00286CED" w:rsidRPr="00286CED" w:rsidRDefault="00286CED" w:rsidP="00286CED">
            <w:pPr>
              <w:rPr>
                <w:rFonts w:ascii="Times New Roman" w:hAnsi="Times New Roman" w:cs="Times New Roman"/>
                <w:i/>
              </w:rPr>
            </w:pPr>
          </w:p>
          <w:p w:rsidR="00286CED" w:rsidRPr="00286CED" w:rsidRDefault="00286CED" w:rsidP="00286CED">
            <w:pPr>
              <w:rPr>
                <w:rFonts w:ascii="Times New Roman" w:hAnsi="Times New Roman" w:cs="Times New Roman"/>
                <w:i/>
                <w:color w:val="1F4E79"/>
                <w:u w:val="single"/>
              </w:rPr>
            </w:pPr>
          </w:p>
          <w:tbl>
            <w:tblPr>
              <w:tblW w:w="7081" w:type="dxa"/>
              <w:tblLayout w:type="fixed"/>
              <w:tblCellMar>
                <w:left w:w="0" w:type="dxa"/>
                <w:right w:w="0" w:type="dxa"/>
              </w:tblCellMar>
              <w:tblLook w:val="04A0" w:firstRow="1" w:lastRow="0" w:firstColumn="1" w:lastColumn="0" w:noHBand="0" w:noVBand="1"/>
            </w:tblPr>
            <w:tblGrid>
              <w:gridCol w:w="2559"/>
              <w:gridCol w:w="1301"/>
              <w:gridCol w:w="1301"/>
              <w:gridCol w:w="960"/>
              <w:gridCol w:w="960"/>
            </w:tblGrid>
            <w:tr w:rsidR="00286CED" w:rsidRPr="00286CED" w:rsidTr="00286CED">
              <w:trPr>
                <w:trHeight w:val="300"/>
              </w:trPr>
              <w:tc>
                <w:tcPr>
                  <w:tcW w:w="5161" w:type="dxa"/>
                  <w:gridSpan w:val="3"/>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b/>
                      <w:bCs/>
                      <w:color w:val="000000"/>
                      <w:lang w:eastAsia="sk-SK"/>
                    </w:rPr>
                  </w:pPr>
                  <w:r w:rsidRPr="00286CED">
                    <w:rPr>
                      <w:rFonts w:ascii="Times New Roman" w:hAnsi="Times New Roman" w:cs="Times New Roman"/>
                      <w:b/>
                      <w:bCs/>
                      <w:color w:val="000000"/>
                      <w:lang w:eastAsia="sk-SK"/>
                    </w:rPr>
                    <w:t>Valorizované sumy životného minima od júla 2022</w:t>
                  </w:r>
                </w:p>
              </w:tc>
              <w:tc>
                <w:tcPr>
                  <w:tcW w:w="960" w:type="dxa"/>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b/>
                      <w:bCs/>
                      <w:color w:val="000000"/>
                      <w:lang w:eastAsia="sk-SK"/>
                    </w:rPr>
                  </w:pPr>
                </w:p>
              </w:tc>
              <w:tc>
                <w:tcPr>
                  <w:tcW w:w="960" w:type="dxa"/>
                  <w:noWrap/>
                  <w:tcMar>
                    <w:top w:w="0" w:type="dxa"/>
                    <w:left w:w="70" w:type="dxa"/>
                    <w:bottom w:w="0" w:type="dxa"/>
                    <w:right w:w="70" w:type="dxa"/>
                  </w:tcMar>
                  <w:vAlign w:val="bottom"/>
                  <w:hideMark/>
                </w:tcPr>
                <w:p w:rsidR="00286CED" w:rsidRPr="00286CED" w:rsidRDefault="00286CED" w:rsidP="00286CED">
                  <w:pPr>
                    <w:spacing w:line="256" w:lineRule="auto"/>
                    <w:rPr>
                      <w:rFonts w:ascii="Times New Roman" w:hAnsi="Times New Roman" w:cs="Times New Roman"/>
                      <w:lang w:eastAsia="sk-SK"/>
                    </w:rPr>
                  </w:pPr>
                </w:p>
              </w:tc>
            </w:tr>
            <w:tr w:rsidR="00286CED" w:rsidRPr="00286CED" w:rsidTr="00286CED">
              <w:trPr>
                <w:trHeight w:val="300"/>
              </w:trPr>
              <w:tc>
                <w:tcPr>
                  <w:tcW w:w="2559"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color w:val="000000"/>
                      <w:lang w:eastAsia="sk-SK"/>
                    </w:rPr>
                  </w:pPr>
                  <w:r w:rsidRPr="00286CED">
                    <w:rPr>
                      <w:rFonts w:ascii="Times New Roman" w:hAnsi="Times New Roman" w:cs="Times New Roman"/>
                      <w:color w:val="000000"/>
                      <w:lang w:eastAsia="sk-SK"/>
                    </w:rPr>
                    <w:t> </w:t>
                  </w:r>
                </w:p>
              </w:tc>
              <w:tc>
                <w:tcPr>
                  <w:tcW w:w="1301"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eastAsia="Times New Roman" w:hAnsi="Times New Roman" w:cs="Times New Roman"/>
                      <w:b/>
                      <w:bCs/>
                      <w:color w:val="000000"/>
                      <w:lang w:eastAsia="sk-SK"/>
                    </w:rPr>
                  </w:pPr>
                  <w:r w:rsidRPr="00286CED">
                    <w:rPr>
                      <w:rFonts w:ascii="Times New Roman" w:hAnsi="Times New Roman" w:cs="Times New Roman"/>
                      <w:b/>
                      <w:bCs/>
                      <w:color w:val="000000"/>
                      <w:lang w:eastAsia="sk-SK"/>
                    </w:rPr>
                    <w:t>1.7.2021</w:t>
                  </w:r>
                </w:p>
              </w:tc>
              <w:tc>
                <w:tcPr>
                  <w:tcW w:w="1301"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b/>
                      <w:bCs/>
                      <w:color w:val="000000"/>
                      <w:lang w:eastAsia="sk-SK"/>
                    </w:rPr>
                  </w:pPr>
                  <w:r w:rsidRPr="00286CED">
                    <w:rPr>
                      <w:rFonts w:ascii="Times New Roman" w:hAnsi="Times New Roman" w:cs="Times New Roman"/>
                      <w:b/>
                      <w:bCs/>
                      <w:color w:val="000000"/>
                      <w:lang w:eastAsia="sk-SK"/>
                    </w:rPr>
                    <w:t>1.7.2022</w:t>
                  </w:r>
                </w:p>
              </w:tc>
              <w:tc>
                <w:tcPr>
                  <w:tcW w:w="96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b/>
                      <w:bCs/>
                      <w:color w:val="000000"/>
                      <w:lang w:eastAsia="sk-SK"/>
                    </w:rPr>
                  </w:pPr>
                  <w:r w:rsidRPr="00286CED">
                    <w:rPr>
                      <w:rFonts w:ascii="Times New Roman" w:hAnsi="Times New Roman" w:cs="Times New Roman"/>
                      <w:b/>
                      <w:bCs/>
                      <w:color w:val="000000"/>
                      <w:lang w:eastAsia="sk-SK"/>
                    </w:rPr>
                    <w:t>1.7.2023</w:t>
                  </w:r>
                </w:p>
              </w:tc>
              <w:tc>
                <w:tcPr>
                  <w:tcW w:w="96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b/>
                      <w:bCs/>
                      <w:color w:val="000000"/>
                      <w:lang w:eastAsia="sk-SK"/>
                    </w:rPr>
                  </w:pPr>
                  <w:r w:rsidRPr="00286CED">
                    <w:rPr>
                      <w:rFonts w:ascii="Times New Roman" w:hAnsi="Times New Roman" w:cs="Times New Roman"/>
                      <w:b/>
                      <w:bCs/>
                      <w:color w:val="000000"/>
                      <w:lang w:eastAsia="sk-SK"/>
                    </w:rPr>
                    <w:t>1.7.2024</w:t>
                  </w:r>
                </w:p>
              </w:tc>
            </w:tr>
            <w:tr w:rsidR="00286CED" w:rsidRPr="00286CED" w:rsidTr="00286CED">
              <w:trPr>
                <w:trHeight w:val="300"/>
              </w:trPr>
              <w:tc>
                <w:tcPr>
                  <w:tcW w:w="2559" w:type="dxa"/>
                  <w:tcBorders>
                    <w:top w:val="nil"/>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color w:val="000000"/>
                      <w:lang w:eastAsia="sk-SK"/>
                    </w:rPr>
                  </w:pPr>
                  <w:r w:rsidRPr="00286CED">
                    <w:rPr>
                      <w:rFonts w:ascii="Times New Roman" w:hAnsi="Times New Roman" w:cs="Times New Roman"/>
                      <w:color w:val="000000"/>
                      <w:lang w:eastAsia="sk-SK"/>
                    </w:rPr>
                    <w:t>Životné minimum</w:t>
                  </w:r>
                </w:p>
              </w:tc>
              <w:tc>
                <w:tcPr>
                  <w:tcW w:w="1301" w:type="dxa"/>
                  <w:tcBorders>
                    <w:top w:val="nil"/>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color w:val="000000"/>
                      <w:lang w:eastAsia="sk-SK"/>
                    </w:rPr>
                  </w:pPr>
                  <w:r w:rsidRPr="00286CED">
                    <w:rPr>
                      <w:rFonts w:ascii="Times New Roman" w:hAnsi="Times New Roman" w:cs="Times New Roman"/>
                      <w:color w:val="000000"/>
                      <w:lang w:eastAsia="sk-SK"/>
                    </w:rPr>
                    <w:t>218,06</w:t>
                  </w:r>
                </w:p>
              </w:tc>
              <w:tc>
                <w:tcPr>
                  <w:tcW w:w="1301" w:type="dxa"/>
                  <w:tcBorders>
                    <w:top w:val="nil"/>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color w:val="000000"/>
                      <w:lang w:eastAsia="sk-SK"/>
                    </w:rPr>
                  </w:pPr>
                  <w:r w:rsidRPr="00286CED">
                    <w:rPr>
                      <w:rFonts w:ascii="Times New Roman" w:hAnsi="Times New Roman" w:cs="Times New Roman"/>
                      <w:color w:val="000000"/>
                      <w:lang w:eastAsia="sk-SK"/>
                    </w:rPr>
                    <w:t>229,36</w:t>
                  </w:r>
                </w:p>
              </w:tc>
              <w:tc>
                <w:tcPr>
                  <w:tcW w:w="960" w:type="dxa"/>
                  <w:tcBorders>
                    <w:top w:val="nil"/>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color w:val="000000"/>
                      <w:lang w:eastAsia="sk-SK"/>
                    </w:rPr>
                  </w:pPr>
                  <w:r w:rsidRPr="00286CED">
                    <w:rPr>
                      <w:rFonts w:ascii="Times New Roman" w:hAnsi="Times New Roman" w:cs="Times New Roman"/>
                      <w:color w:val="000000"/>
                      <w:lang w:eastAsia="sk-SK"/>
                    </w:rPr>
                    <w:t>236,55</w:t>
                  </w:r>
                </w:p>
              </w:tc>
              <w:tc>
                <w:tcPr>
                  <w:tcW w:w="960" w:type="dxa"/>
                  <w:tcBorders>
                    <w:top w:val="nil"/>
                    <w:left w:val="nil"/>
                    <w:bottom w:val="single" w:sz="8" w:space="0" w:color="auto"/>
                    <w:right w:val="nil"/>
                  </w:tcBorders>
                  <w:noWrap/>
                  <w:tcMar>
                    <w:top w:w="0" w:type="dxa"/>
                    <w:left w:w="70" w:type="dxa"/>
                    <w:bottom w:w="0" w:type="dxa"/>
                    <w:right w:w="70" w:type="dxa"/>
                  </w:tcMar>
                  <w:vAlign w:val="bottom"/>
                  <w:hideMark/>
                </w:tcPr>
                <w:p w:rsidR="00286CED" w:rsidRPr="00286CED" w:rsidRDefault="00286CED" w:rsidP="00286CED">
                  <w:pPr>
                    <w:rPr>
                      <w:rFonts w:ascii="Times New Roman" w:hAnsi="Times New Roman" w:cs="Times New Roman"/>
                      <w:color w:val="000000"/>
                      <w:lang w:eastAsia="sk-SK"/>
                    </w:rPr>
                  </w:pPr>
                  <w:r w:rsidRPr="00286CED">
                    <w:rPr>
                      <w:rFonts w:ascii="Times New Roman" w:hAnsi="Times New Roman" w:cs="Times New Roman"/>
                      <w:color w:val="000000"/>
                      <w:lang w:eastAsia="sk-SK"/>
                    </w:rPr>
                    <w:t>240,21</w:t>
                  </w:r>
                </w:p>
              </w:tc>
            </w:tr>
          </w:tbl>
          <w:p w:rsidR="00286CED" w:rsidRDefault="00286CED" w:rsidP="00286CED">
            <w:pPr>
              <w:rPr>
                <w:rFonts w:ascii="Arial" w:hAnsi="Arial" w:cs="Arial"/>
                <w:sz w:val="24"/>
                <w:szCs w:val="24"/>
                <w:lang w:eastAsia="sk-SK"/>
              </w:rPr>
            </w:pPr>
          </w:p>
          <w:p w:rsidR="00565439" w:rsidRPr="002F2A58" w:rsidRDefault="00565439" w:rsidP="00565439">
            <w:pPr>
              <w:rPr>
                <w:rFonts w:ascii="Times New Roman" w:eastAsia="Times New Roman" w:hAnsi="Times New Roman" w:cs="Times New Roman"/>
                <w:b/>
                <w:sz w:val="20"/>
                <w:szCs w:val="20"/>
                <w:u w:val="single"/>
                <w:lang w:eastAsia="sk-SK"/>
              </w:rPr>
            </w:pPr>
            <w:r w:rsidRPr="002F2A58">
              <w:rPr>
                <w:rFonts w:ascii="Times New Roman" w:eastAsia="Times New Roman" w:hAnsi="Times New Roman" w:cs="Times New Roman"/>
                <w:b/>
                <w:sz w:val="20"/>
                <w:szCs w:val="20"/>
                <w:u w:val="single"/>
                <w:lang w:eastAsia="sk-SK"/>
              </w:rPr>
              <w:t>Vyhodnotenie:</w:t>
            </w:r>
          </w:p>
          <w:p w:rsidR="00565439" w:rsidRDefault="00565439" w:rsidP="0073033D">
            <w:pPr>
              <w:pStyle w:val="norm00e1lny"/>
              <w:spacing w:line="240" w:lineRule="atLeast"/>
              <w:jc w:val="both"/>
              <w:rPr>
                <w:bCs/>
                <w:i/>
                <w:lang w:eastAsia="ar-SA"/>
              </w:rPr>
            </w:pPr>
            <w:r>
              <w:rPr>
                <w:bCs/>
                <w:i/>
                <w:lang w:eastAsia="ar-SA"/>
              </w:rPr>
              <w:t xml:space="preserve">Pripomienka bola akceptovaná. V analýze vplyvov na rozpočet verejnej správy bola zohľadnená </w:t>
            </w:r>
            <w:r w:rsidR="00DB7CF1">
              <w:rPr>
                <w:bCs/>
                <w:i/>
                <w:lang w:eastAsia="ar-SA"/>
              </w:rPr>
              <w:t xml:space="preserve">predpokladaná </w:t>
            </w:r>
            <w:r>
              <w:rPr>
                <w:bCs/>
                <w:i/>
                <w:lang w:eastAsia="ar-SA"/>
              </w:rPr>
              <w:t>valorizácia</w:t>
            </w:r>
            <w:r w:rsidR="00DB7CF1">
              <w:rPr>
                <w:bCs/>
                <w:i/>
                <w:lang w:eastAsia="ar-SA"/>
              </w:rPr>
              <w:t xml:space="preserve"> sumy</w:t>
            </w:r>
            <w:r>
              <w:rPr>
                <w:bCs/>
                <w:i/>
                <w:lang w:eastAsia="ar-SA"/>
              </w:rPr>
              <w:t xml:space="preserve"> životného minima</w:t>
            </w:r>
            <w:r w:rsidR="00DB7CF1">
              <w:rPr>
                <w:bCs/>
                <w:i/>
                <w:lang w:eastAsia="ar-SA"/>
              </w:rPr>
              <w:t xml:space="preserve"> na roky 2022-2024</w:t>
            </w:r>
            <w:r>
              <w:rPr>
                <w:bCs/>
                <w:i/>
                <w:lang w:eastAsia="ar-SA"/>
              </w:rPr>
              <w:t>.</w:t>
            </w:r>
          </w:p>
          <w:p w:rsidR="00286CED" w:rsidRDefault="00286CED" w:rsidP="0073033D">
            <w:pPr>
              <w:jc w:val="both"/>
              <w:rPr>
                <w:rFonts w:ascii="Arial" w:eastAsia="Times New Roman" w:hAnsi="Arial" w:cs="Arial"/>
                <w:sz w:val="24"/>
                <w:szCs w:val="24"/>
                <w:lang w:eastAsia="sk-SK"/>
              </w:rPr>
            </w:pPr>
          </w:p>
          <w:p w:rsidR="00286CED" w:rsidRPr="00286CED" w:rsidRDefault="00286CED" w:rsidP="0073033D">
            <w:pPr>
              <w:jc w:val="both"/>
              <w:rPr>
                <w:rFonts w:ascii="Times New Roman" w:hAnsi="Times New Roman" w:cs="Times New Roman"/>
                <w:b/>
                <w:bCs/>
                <w:i/>
                <w:sz w:val="20"/>
                <w:szCs w:val="20"/>
                <w:lang w:eastAsia="sk-SK"/>
              </w:rPr>
            </w:pPr>
            <w:r w:rsidRPr="00286CED">
              <w:rPr>
                <w:rFonts w:ascii="Times New Roman" w:hAnsi="Times New Roman" w:cs="Times New Roman"/>
                <w:i/>
                <w:sz w:val="20"/>
                <w:szCs w:val="20"/>
                <w:lang w:eastAsia="sk-SK"/>
              </w:rPr>
              <w:t>Komisia žiada jednoznačne uviesť, či negatívny vplyv na rozpočet verejnej správy nevyplýva aj z ostatných navrhovaných ustanovení, resp. z Čl. I bodu 3, kde sa navrhuje poskytovať prechodné ubytovanie v integračnom stredisku aj pre cudzincov s doplnkovou ochranou. V prípade identifikovania dodatočných vplyvov žiada Komisia o ich krytie v rámci limitov MV SR na príslušný rozpočtový rok, bez dodatočných požiadaviek na štátny rozpočet.</w:t>
            </w:r>
          </w:p>
          <w:p w:rsidR="00286CED" w:rsidRPr="00B043B4" w:rsidRDefault="00286CED" w:rsidP="0073033D">
            <w:pPr>
              <w:jc w:val="both"/>
              <w:rPr>
                <w:rFonts w:ascii="Times New Roman" w:eastAsia="Times New Roman" w:hAnsi="Times New Roman" w:cs="Times New Roman"/>
                <w:b/>
                <w:sz w:val="20"/>
                <w:szCs w:val="20"/>
                <w:lang w:eastAsia="sk-SK"/>
              </w:rPr>
            </w:pPr>
          </w:p>
          <w:p w:rsidR="003D7A58" w:rsidRPr="002F2A58" w:rsidRDefault="002F2A58" w:rsidP="0073033D">
            <w:pPr>
              <w:jc w:val="both"/>
              <w:rPr>
                <w:rFonts w:ascii="Times New Roman" w:eastAsia="Times New Roman" w:hAnsi="Times New Roman" w:cs="Times New Roman"/>
                <w:b/>
                <w:sz w:val="20"/>
                <w:szCs w:val="20"/>
                <w:u w:val="single"/>
                <w:lang w:eastAsia="sk-SK"/>
              </w:rPr>
            </w:pPr>
            <w:r w:rsidRPr="002F2A58">
              <w:rPr>
                <w:rFonts w:ascii="Times New Roman" w:eastAsia="Times New Roman" w:hAnsi="Times New Roman" w:cs="Times New Roman"/>
                <w:b/>
                <w:sz w:val="20"/>
                <w:szCs w:val="20"/>
                <w:u w:val="single"/>
                <w:lang w:eastAsia="sk-SK"/>
              </w:rPr>
              <w:t>Vyhodnotenie:</w:t>
            </w:r>
          </w:p>
          <w:p w:rsidR="003D7A58" w:rsidRPr="00565439" w:rsidRDefault="00565439" w:rsidP="0073033D">
            <w:pPr>
              <w:jc w:val="both"/>
              <w:rPr>
                <w:rFonts w:ascii="Times New Roman" w:eastAsia="Times New Roman" w:hAnsi="Times New Roman" w:cs="Times New Roman"/>
                <w:i/>
                <w:sz w:val="20"/>
                <w:szCs w:val="20"/>
                <w:lang w:eastAsia="sk-SK"/>
              </w:rPr>
            </w:pPr>
            <w:r w:rsidRPr="00565439">
              <w:rPr>
                <w:rFonts w:ascii="Times New Roman" w:eastAsia="Times New Roman" w:hAnsi="Times New Roman" w:cs="Times New Roman"/>
                <w:i/>
                <w:sz w:val="20"/>
                <w:szCs w:val="20"/>
                <w:lang w:eastAsia="sk-SK"/>
              </w:rPr>
              <w:t>Pripomienka bola akceptovaná.</w:t>
            </w:r>
            <w:r>
              <w:rPr>
                <w:rFonts w:ascii="Times New Roman" w:eastAsia="Times New Roman" w:hAnsi="Times New Roman" w:cs="Times New Roman"/>
                <w:i/>
                <w:sz w:val="20"/>
                <w:szCs w:val="20"/>
                <w:lang w:eastAsia="sk-SK"/>
              </w:rPr>
              <w:t xml:space="preserve"> V</w:t>
            </w:r>
            <w:r>
              <w:t xml:space="preserve"> </w:t>
            </w:r>
            <w:r w:rsidRPr="00565439">
              <w:rPr>
                <w:rFonts w:ascii="Times New Roman" w:eastAsia="Times New Roman" w:hAnsi="Times New Roman" w:cs="Times New Roman"/>
                <w:i/>
                <w:sz w:val="20"/>
                <w:szCs w:val="20"/>
                <w:lang w:eastAsia="sk-SK"/>
              </w:rPr>
              <w:t>analýze vplyvov na rozpočet verejnej správy</w:t>
            </w:r>
            <w:r w:rsidR="00322769">
              <w:rPr>
                <w:rFonts w:ascii="Times New Roman" w:eastAsia="Times New Roman" w:hAnsi="Times New Roman" w:cs="Times New Roman"/>
                <w:i/>
                <w:sz w:val="20"/>
                <w:szCs w:val="20"/>
                <w:lang w:eastAsia="sk-SK"/>
              </w:rPr>
              <w:t xml:space="preserve"> bol doplnený text v časti 2.2.1.</w:t>
            </w:r>
          </w:p>
          <w:p w:rsidR="002F2A58" w:rsidRPr="00B043B4" w:rsidRDefault="002F2A58" w:rsidP="008D53DB">
            <w:pPr>
              <w:rPr>
                <w:rFonts w:ascii="Times New Roman" w:eastAsia="Times New Roman" w:hAnsi="Times New Roman" w:cs="Times New Roman"/>
                <w:b/>
                <w:sz w:val="20"/>
                <w:szCs w:val="20"/>
                <w:lang w:eastAsia="sk-SK"/>
              </w:rPr>
            </w:pPr>
          </w:p>
        </w:tc>
      </w:tr>
      <w:tr w:rsidR="003D7A58" w:rsidRPr="00B043B4" w:rsidTr="008D53DB">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3D7A58" w:rsidRPr="00B043B4" w:rsidRDefault="003D7A58" w:rsidP="008D53DB">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3D7A58" w:rsidRPr="00B043B4" w:rsidTr="008D53DB">
        <w:tblPrEx>
          <w:tblBorders>
            <w:insideH w:val="single" w:sz="4" w:space="0" w:color="FFFFFF"/>
            <w:insideV w:val="single" w:sz="4" w:space="0" w:color="FFFFFF"/>
          </w:tblBorders>
        </w:tblPrEx>
        <w:tc>
          <w:tcPr>
            <w:tcW w:w="9176" w:type="dxa"/>
            <w:shd w:val="clear" w:color="auto" w:fill="FFFFFF"/>
          </w:tcPr>
          <w:p w:rsidR="003D7A58" w:rsidRPr="00B043B4" w:rsidRDefault="003D7A58" w:rsidP="008D53D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D7A58" w:rsidRPr="00B043B4" w:rsidTr="008D53DB">
              <w:trPr>
                <w:trHeight w:val="396"/>
              </w:trPr>
              <w:tc>
                <w:tcPr>
                  <w:tcW w:w="2552" w:type="dxa"/>
                </w:tcPr>
                <w:p w:rsidR="003D7A58" w:rsidRPr="00B043B4" w:rsidRDefault="008D53DB" w:rsidP="008D53D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sidR="003D7A58">
                        <w:rPr>
                          <w:rFonts w:ascii="MS Gothic" w:eastAsia="MS Gothic" w:hAnsi="MS Gothic" w:cs="Times New Roman" w:hint="eastAsia"/>
                          <w:b/>
                          <w:sz w:val="20"/>
                          <w:szCs w:val="20"/>
                          <w:lang w:eastAsia="sk-SK"/>
                        </w:rPr>
                        <w:t>☐</w:t>
                      </w:r>
                    </w:sdtContent>
                  </w:sdt>
                  <w:r w:rsidR="003D7A58">
                    <w:rPr>
                      <w:rFonts w:ascii="Times New Roman" w:eastAsia="Times New Roman" w:hAnsi="Times New Roman" w:cs="Times New Roman"/>
                      <w:b/>
                      <w:sz w:val="20"/>
                      <w:szCs w:val="20"/>
                      <w:lang w:eastAsia="sk-SK"/>
                    </w:rPr>
                    <w:t xml:space="preserve">   </w:t>
                  </w:r>
                  <w:r w:rsidR="003D7A58" w:rsidRPr="00B043B4">
                    <w:rPr>
                      <w:rFonts w:ascii="Times New Roman" w:eastAsia="Times New Roman" w:hAnsi="Times New Roman" w:cs="Times New Roman"/>
                      <w:b/>
                      <w:sz w:val="20"/>
                      <w:szCs w:val="20"/>
                      <w:lang w:eastAsia="sk-SK"/>
                    </w:rPr>
                    <w:t xml:space="preserve">Súhlasné </w:t>
                  </w:r>
                </w:p>
              </w:tc>
              <w:tc>
                <w:tcPr>
                  <w:tcW w:w="3827" w:type="dxa"/>
                </w:tcPr>
                <w:p w:rsidR="003D7A58" w:rsidRPr="00B043B4" w:rsidRDefault="008D53DB" w:rsidP="008D53D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sidR="003D7A58">
                        <w:rPr>
                          <w:rFonts w:ascii="MS Gothic" w:eastAsia="MS Gothic" w:hAnsi="MS Gothic" w:cs="Times New Roman" w:hint="eastAsia"/>
                          <w:b/>
                          <w:sz w:val="20"/>
                          <w:szCs w:val="20"/>
                          <w:lang w:eastAsia="sk-SK"/>
                        </w:rPr>
                        <w:t>☐</w:t>
                      </w:r>
                    </w:sdtContent>
                  </w:sdt>
                  <w:r w:rsidR="003D7A58">
                    <w:rPr>
                      <w:rFonts w:ascii="Times New Roman" w:eastAsia="Times New Roman" w:hAnsi="Times New Roman" w:cs="Times New Roman"/>
                      <w:b/>
                      <w:sz w:val="20"/>
                      <w:szCs w:val="20"/>
                      <w:lang w:eastAsia="sk-SK"/>
                    </w:rPr>
                    <w:t xml:space="preserve">  </w:t>
                  </w:r>
                  <w:r w:rsidR="003D7A58" w:rsidRPr="00B043B4">
                    <w:rPr>
                      <w:rFonts w:ascii="Times New Roman" w:eastAsia="Times New Roman" w:hAnsi="Times New Roman" w:cs="Times New Roman"/>
                      <w:b/>
                      <w:sz w:val="20"/>
                      <w:szCs w:val="20"/>
                      <w:lang w:eastAsia="sk-SK"/>
                    </w:rPr>
                    <w:t>Súhlasné s  návrhom na dopracovanie</w:t>
                  </w:r>
                </w:p>
              </w:tc>
              <w:tc>
                <w:tcPr>
                  <w:tcW w:w="2534" w:type="dxa"/>
                </w:tcPr>
                <w:p w:rsidR="003D7A58" w:rsidRPr="00B043B4" w:rsidRDefault="008D53DB" w:rsidP="008D53D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sidR="003D7A58">
                        <w:rPr>
                          <w:rFonts w:ascii="MS Gothic" w:eastAsia="MS Gothic" w:hAnsi="MS Gothic" w:cs="Times New Roman" w:hint="eastAsia"/>
                          <w:b/>
                          <w:sz w:val="20"/>
                          <w:szCs w:val="20"/>
                          <w:lang w:eastAsia="sk-SK"/>
                        </w:rPr>
                        <w:t>☐</w:t>
                      </w:r>
                    </w:sdtContent>
                  </w:sdt>
                  <w:r w:rsidR="003D7A58">
                    <w:rPr>
                      <w:rFonts w:ascii="Times New Roman" w:eastAsia="Times New Roman" w:hAnsi="Times New Roman" w:cs="Times New Roman"/>
                      <w:b/>
                      <w:sz w:val="20"/>
                      <w:szCs w:val="20"/>
                      <w:lang w:eastAsia="sk-SK"/>
                    </w:rPr>
                    <w:t xml:space="preserve">  </w:t>
                  </w:r>
                  <w:r w:rsidR="003D7A58" w:rsidRPr="00B043B4">
                    <w:rPr>
                      <w:rFonts w:ascii="Times New Roman" w:eastAsia="Times New Roman" w:hAnsi="Times New Roman" w:cs="Times New Roman"/>
                      <w:b/>
                      <w:sz w:val="20"/>
                      <w:szCs w:val="20"/>
                      <w:lang w:eastAsia="sk-SK"/>
                    </w:rPr>
                    <w:t>Nesúhlasné</w:t>
                  </w:r>
                </w:p>
              </w:tc>
            </w:tr>
          </w:tbl>
          <w:p w:rsidR="003D7A58" w:rsidRPr="00B043B4" w:rsidRDefault="003D7A58" w:rsidP="008D53DB">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3D7A58" w:rsidRPr="00B043B4" w:rsidRDefault="003D7A58" w:rsidP="008D53DB">
            <w:pPr>
              <w:rPr>
                <w:rFonts w:ascii="Times New Roman" w:eastAsia="Times New Roman" w:hAnsi="Times New Roman" w:cs="Times New Roman"/>
                <w:b/>
                <w:sz w:val="20"/>
                <w:szCs w:val="20"/>
                <w:lang w:eastAsia="sk-SK"/>
              </w:rPr>
            </w:pPr>
          </w:p>
        </w:tc>
      </w:tr>
    </w:tbl>
    <w:p w:rsidR="003D7A58" w:rsidRDefault="003D7A58" w:rsidP="003D7A58"/>
    <w:p w:rsidR="00261CEE" w:rsidRPr="00261CEE" w:rsidRDefault="00261CEE" w:rsidP="00261CEE">
      <w:pPr>
        <w:spacing w:after="0" w:line="240" w:lineRule="auto"/>
        <w:jc w:val="center"/>
        <w:rPr>
          <w:rFonts w:ascii="Times New Roman" w:eastAsia="Times New Roman" w:hAnsi="Times New Roman" w:cs="Times New Roman"/>
          <w:b/>
          <w:bCs/>
          <w:sz w:val="28"/>
          <w:szCs w:val="28"/>
          <w:lang w:eastAsia="sk-SK"/>
        </w:rPr>
      </w:pPr>
      <w:r>
        <w:br w:type="page"/>
      </w:r>
      <w:r w:rsidRPr="00261CEE">
        <w:rPr>
          <w:rFonts w:ascii="Times New Roman" w:eastAsia="Times New Roman" w:hAnsi="Times New Roman" w:cs="Times New Roman"/>
          <w:b/>
          <w:bCs/>
          <w:sz w:val="28"/>
          <w:szCs w:val="28"/>
          <w:lang w:eastAsia="sk-SK"/>
        </w:rPr>
        <w:lastRenderedPageBreak/>
        <w:t>Analýza vplyvov na rozpočet verejnej správy,</w:t>
      </w:r>
    </w:p>
    <w:p w:rsidR="00261CEE" w:rsidRPr="00261CEE" w:rsidRDefault="00261CEE" w:rsidP="00261CEE">
      <w:pPr>
        <w:spacing w:after="0" w:line="240" w:lineRule="auto"/>
        <w:jc w:val="center"/>
        <w:rPr>
          <w:rFonts w:ascii="Times New Roman" w:eastAsia="Times New Roman" w:hAnsi="Times New Roman" w:cs="Times New Roman"/>
          <w:b/>
          <w:bCs/>
          <w:sz w:val="28"/>
          <w:szCs w:val="28"/>
          <w:lang w:eastAsia="sk-SK"/>
        </w:rPr>
      </w:pPr>
      <w:r w:rsidRPr="00261CEE">
        <w:rPr>
          <w:rFonts w:ascii="Times New Roman" w:eastAsia="Times New Roman" w:hAnsi="Times New Roman" w:cs="Times New Roman"/>
          <w:b/>
          <w:bCs/>
          <w:sz w:val="28"/>
          <w:szCs w:val="28"/>
          <w:lang w:eastAsia="sk-SK"/>
        </w:rPr>
        <w:t>na zamestnanosť vo verejnej správe a financovanie návrhu</w:t>
      </w:r>
    </w:p>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p>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p>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2.1 Zhrnutie vplyvov na rozpočet verejnej správy v návrhu</w:t>
      </w:r>
    </w:p>
    <w:p w:rsidR="00261CEE" w:rsidRPr="00261CEE" w:rsidRDefault="00261CEE" w:rsidP="00261CEE">
      <w:pPr>
        <w:spacing w:after="0" w:line="240" w:lineRule="auto"/>
        <w:jc w:val="right"/>
        <w:rPr>
          <w:rFonts w:ascii="Times New Roman" w:eastAsia="Times New Roman" w:hAnsi="Times New Roman" w:cs="Times New Roman"/>
          <w:sz w:val="20"/>
          <w:szCs w:val="20"/>
          <w:lang w:eastAsia="sk-SK"/>
        </w:rPr>
      </w:pPr>
    </w:p>
    <w:p w:rsidR="00261CEE" w:rsidRPr="00261CEE" w:rsidRDefault="00261CEE" w:rsidP="00261CEE">
      <w:pPr>
        <w:spacing w:after="0" w:line="240" w:lineRule="auto"/>
        <w:jc w:val="right"/>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261CEE" w:rsidRPr="00261CEE" w:rsidTr="00261CEE">
        <w:trPr>
          <w:cantSplit/>
          <w:trHeight w:val="194"/>
          <w:jc w:val="center"/>
        </w:trPr>
        <w:tc>
          <w:tcPr>
            <w:tcW w:w="4661" w:type="dxa"/>
            <w:vMerge w:val="restart"/>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bookmarkStart w:id="0" w:name="OLE_LINK1"/>
            <w:r w:rsidRPr="00261CEE">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Vplyv na rozpočet verejnej správy (v eurách)</w:t>
            </w:r>
          </w:p>
        </w:tc>
      </w:tr>
      <w:tr w:rsidR="00261CEE" w:rsidRPr="00261CEE" w:rsidTr="00261CEE">
        <w:trPr>
          <w:cantSplit/>
          <w:trHeight w:val="70"/>
          <w:jc w:val="center"/>
        </w:trPr>
        <w:tc>
          <w:tcPr>
            <w:tcW w:w="4661" w:type="dxa"/>
            <w:vMerge/>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2021</w:t>
            </w:r>
          </w:p>
        </w:tc>
        <w:tc>
          <w:tcPr>
            <w:tcW w:w="1267" w:type="dxa"/>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2022</w:t>
            </w:r>
          </w:p>
        </w:tc>
        <w:tc>
          <w:tcPr>
            <w:tcW w:w="1267" w:type="dxa"/>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2023</w:t>
            </w:r>
          </w:p>
        </w:tc>
        <w:tc>
          <w:tcPr>
            <w:tcW w:w="1267" w:type="dxa"/>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2024</w:t>
            </w:r>
          </w:p>
        </w:tc>
      </w:tr>
      <w:tr w:rsidR="00261CEE" w:rsidRPr="00261CEE" w:rsidTr="008D53DB">
        <w:trPr>
          <w:trHeight w:val="70"/>
          <w:jc w:val="center"/>
        </w:trPr>
        <w:tc>
          <w:tcPr>
            <w:tcW w:w="4661" w:type="dxa"/>
            <w:shd w:val="clear" w:color="auto" w:fill="C0C0C0"/>
            <w:noWrap/>
            <w:vAlign w:val="center"/>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r>
      <w:tr w:rsidR="00261CEE" w:rsidRPr="00261CEE" w:rsidTr="008D53DB">
        <w:trPr>
          <w:trHeight w:val="132"/>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ŠR</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ind w:left="259"/>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Cs/>
                <w:i/>
                <w:iCs/>
                <w:sz w:val="24"/>
                <w:szCs w:val="24"/>
                <w:lang w:eastAsia="sk-SK"/>
              </w:rPr>
              <w:t>Rozpočtové prostriedky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ind w:left="259"/>
              <w:rPr>
                <w:rFonts w:ascii="Times New Roman" w:eastAsia="Times New Roman" w:hAnsi="Times New Roman" w:cs="Times New Roman"/>
                <w:bCs/>
                <w:i/>
                <w:iCs/>
                <w:sz w:val="24"/>
                <w:szCs w:val="24"/>
                <w:lang w:eastAsia="sk-SK"/>
              </w:rPr>
            </w:pPr>
            <w:r w:rsidRPr="00261CEE">
              <w:rPr>
                <w:rFonts w:ascii="Times New Roman" w:eastAsia="Times New Roman" w:hAnsi="Times New Roman" w:cs="Times New Roman"/>
                <w:bCs/>
                <w:i/>
                <w:iCs/>
                <w:sz w:val="24"/>
                <w:szCs w:val="24"/>
                <w:lang w:eastAsia="sk-SK"/>
              </w:rPr>
              <w:t>EÚ zdroje</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obce</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125"/>
          <w:jc w:val="center"/>
        </w:trPr>
        <w:tc>
          <w:tcPr>
            <w:tcW w:w="4661" w:type="dxa"/>
            <w:shd w:val="clear" w:color="auto" w:fill="C0C0C0"/>
            <w:noWrap/>
            <w:vAlign w:val="center"/>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Calibri" w:eastAsia="Calibri" w:hAnsi="Calibri" w:cs="Times New Roman"/>
                <w:b/>
                <w:bCs/>
              </w:rPr>
              <w:t xml:space="preserve"> 68.808</w:t>
            </w:r>
          </w:p>
        </w:tc>
        <w:tc>
          <w:tcPr>
            <w:tcW w:w="1267" w:type="dxa"/>
            <w:shd w:val="clear" w:color="auto" w:fill="C0C0C0"/>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Calibri" w:eastAsia="Calibri" w:hAnsi="Calibri" w:cs="Times New Roman"/>
                <w:b/>
                <w:bCs/>
              </w:rPr>
              <w:t>139.773,75</w:t>
            </w:r>
          </w:p>
        </w:tc>
        <w:tc>
          <w:tcPr>
            <w:tcW w:w="1267" w:type="dxa"/>
            <w:shd w:val="clear" w:color="auto" w:fill="C0C0C0"/>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Calibri" w:eastAsia="Calibri" w:hAnsi="Calibri" w:cs="Times New Roman"/>
                <w:b/>
                <w:bCs/>
              </w:rPr>
              <w:t>143.029,50</w:t>
            </w:r>
            <w:r w:rsidRPr="00261CEE">
              <w:rPr>
                <w:rFonts w:ascii="Times New Roman" w:eastAsia="Times New Roman" w:hAnsi="Times New Roman" w:cs="Times New Roman"/>
                <w:b/>
                <w:bCs/>
                <w:sz w:val="24"/>
                <w:szCs w:val="24"/>
                <w:lang w:eastAsia="sk-SK"/>
              </w:rPr>
              <w:t xml:space="preserve">  </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v tom: Ministerstvo vnútra Slovenskej republiky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Calibri" w:eastAsia="Calibri" w:hAnsi="Calibri" w:cs="Times New Roman"/>
                <w:b/>
                <w:bCs/>
              </w:rPr>
            </w:pPr>
          </w:p>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Calibri" w:eastAsia="Calibri" w:hAnsi="Calibri" w:cs="Times New Roman"/>
                <w:b/>
                <w:bCs/>
              </w:rPr>
              <w:t>68.808</w:t>
            </w:r>
          </w:p>
        </w:tc>
        <w:tc>
          <w:tcPr>
            <w:tcW w:w="1267" w:type="dxa"/>
            <w:noWrap/>
          </w:tcPr>
          <w:p w:rsidR="00261CEE" w:rsidRPr="00261CEE" w:rsidRDefault="00261CEE" w:rsidP="00261CEE">
            <w:pPr>
              <w:spacing w:after="0" w:line="240" w:lineRule="auto"/>
              <w:jc w:val="right"/>
              <w:rPr>
                <w:rFonts w:ascii="Calibri" w:eastAsia="Calibri" w:hAnsi="Calibri" w:cs="Times New Roman"/>
                <w:b/>
                <w:bCs/>
              </w:rPr>
            </w:pPr>
          </w:p>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Calibri" w:eastAsia="Calibri" w:hAnsi="Calibri" w:cs="Times New Roman"/>
                <w:b/>
                <w:bCs/>
              </w:rPr>
              <w:t>139.773,75</w:t>
            </w:r>
          </w:p>
        </w:tc>
        <w:tc>
          <w:tcPr>
            <w:tcW w:w="1267" w:type="dxa"/>
            <w:noWrap/>
          </w:tcPr>
          <w:p w:rsidR="00261CEE" w:rsidRPr="00261CEE" w:rsidRDefault="00261CEE" w:rsidP="00261CEE">
            <w:pPr>
              <w:spacing w:after="0" w:line="240" w:lineRule="auto"/>
              <w:jc w:val="right"/>
              <w:rPr>
                <w:rFonts w:ascii="Calibri" w:eastAsia="Calibri" w:hAnsi="Calibri" w:cs="Times New Roman"/>
                <w:b/>
                <w:bCs/>
              </w:rPr>
            </w:pPr>
          </w:p>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Calibri" w:eastAsia="Calibri" w:hAnsi="Calibri" w:cs="Times New Roman"/>
                <w:b/>
                <w:bCs/>
              </w:rPr>
              <w:t>143.029,50</w:t>
            </w:r>
            <w:r w:rsidRPr="00261CEE">
              <w:rPr>
                <w:rFonts w:ascii="Times New Roman" w:eastAsia="Times New Roman" w:hAnsi="Times New Roman" w:cs="Times New Roman"/>
                <w:b/>
                <w:bCs/>
                <w:sz w:val="24"/>
                <w:szCs w:val="24"/>
                <w:lang w:eastAsia="sk-SK"/>
              </w:rPr>
              <w:t xml:space="preserve">  </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ŠR</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Calibri" w:eastAsia="Calibri" w:hAnsi="Calibri" w:cs="Times New Roman"/>
                <w:b/>
                <w:bCs/>
              </w:rPr>
              <w:t>68.808</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Calibri" w:eastAsia="Calibri" w:hAnsi="Calibri" w:cs="Times New Roman"/>
                <w:b/>
                <w:bCs/>
              </w:rPr>
              <w:t>139.773,75</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Calibri" w:eastAsia="Calibri" w:hAnsi="Calibri" w:cs="Times New Roman"/>
                <w:b/>
                <w:bCs/>
              </w:rPr>
              <w:t>143.029,50</w:t>
            </w:r>
            <w:r w:rsidRPr="00261CEE">
              <w:rPr>
                <w:rFonts w:ascii="Times New Roman" w:eastAsia="Times New Roman" w:hAnsi="Times New Roman" w:cs="Times New Roman"/>
                <w:b/>
                <w:bCs/>
                <w:sz w:val="24"/>
                <w:szCs w:val="24"/>
                <w:lang w:eastAsia="sk-SK"/>
              </w:rPr>
              <w:t xml:space="preserve">  </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ind w:left="259"/>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Cs/>
                <w:i/>
                <w:iCs/>
                <w:sz w:val="24"/>
                <w:szCs w:val="24"/>
                <w:lang w:eastAsia="sk-SK"/>
              </w:rPr>
              <w:t>Rozpočtové prostriedky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Calibri" w:eastAsia="Calibri" w:hAnsi="Calibri" w:cs="Times New Roman"/>
                <w:b/>
                <w:bCs/>
              </w:rPr>
              <w:t>68.808</w:t>
            </w:r>
          </w:p>
        </w:tc>
        <w:tc>
          <w:tcPr>
            <w:tcW w:w="1267" w:type="dxa"/>
            <w:noWrap/>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Calibri" w:eastAsia="Calibri" w:hAnsi="Calibri" w:cs="Times New Roman"/>
                <w:b/>
                <w:bCs/>
              </w:rPr>
              <w:t>139.773,75</w:t>
            </w:r>
          </w:p>
        </w:tc>
        <w:tc>
          <w:tcPr>
            <w:tcW w:w="1267" w:type="dxa"/>
            <w:noWrap/>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Calibri" w:eastAsia="Calibri" w:hAnsi="Calibri" w:cs="Times New Roman"/>
                <w:b/>
                <w:bCs/>
              </w:rPr>
              <w:t>143.029,50</w:t>
            </w:r>
            <w:r w:rsidRPr="00261CEE">
              <w:rPr>
                <w:rFonts w:ascii="Times New Roman" w:eastAsia="Times New Roman" w:hAnsi="Times New Roman" w:cs="Times New Roman"/>
                <w:b/>
                <w:bCs/>
                <w:sz w:val="24"/>
                <w:szCs w:val="24"/>
                <w:lang w:eastAsia="sk-SK"/>
              </w:rPr>
              <w:t xml:space="preserve">  </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Cs/>
                <w:i/>
                <w:iCs/>
                <w:sz w:val="24"/>
                <w:szCs w:val="24"/>
                <w:lang w:eastAsia="sk-SK"/>
              </w:rPr>
            </w:pPr>
            <w:r w:rsidRPr="00261CEE">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Cs/>
                <w:i/>
                <w:iCs/>
                <w:sz w:val="24"/>
                <w:szCs w:val="24"/>
                <w:lang w:eastAsia="sk-SK"/>
              </w:rPr>
            </w:pPr>
            <w:r w:rsidRPr="00261CEE">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obce</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125"/>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261CEE">
        <w:trPr>
          <w:trHeight w:val="70"/>
          <w:jc w:val="center"/>
        </w:trPr>
        <w:tc>
          <w:tcPr>
            <w:tcW w:w="4661" w:type="dxa"/>
            <w:shd w:val="clear" w:color="auto" w:fill="BFBFBF"/>
            <w:noWrap/>
            <w:vAlign w:val="center"/>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ŠR</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obce</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261CEE">
        <w:trPr>
          <w:trHeight w:val="70"/>
          <w:jc w:val="center"/>
        </w:trPr>
        <w:tc>
          <w:tcPr>
            <w:tcW w:w="4661" w:type="dxa"/>
            <w:shd w:val="clear" w:color="auto" w:fill="BFBFBF"/>
            <w:noWrap/>
            <w:vAlign w:val="center"/>
          </w:tcPr>
          <w:p w:rsidR="00261CEE" w:rsidRPr="00261CEE" w:rsidRDefault="00261CEE" w:rsidP="00261CEE">
            <w:pPr>
              <w:spacing w:after="0" w:line="240" w:lineRule="auto"/>
              <w:rPr>
                <w:rFonts w:ascii="Times New Roman" w:eastAsia="Times New Roman" w:hAnsi="Times New Roman" w:cs="Times New Roman"/>
                <w:b/>
                <w:sz w:val="24"/>
                <w:szCs w:val="24"/>
                <w:lang w:eastAsia="sk-SK"/>
              </w:rPr>
            </w:pPr>
            <w:r w:rsidRPr="00261CEE">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sz w:val="24"/>
                <w:szCs w:val="24"/>
                <w:lang w:eastAsia="sk-SK"/>
              </w:rPr>
            </w:pPr>
            <w:r w:rsidRPr="00261CEE">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sz w:val="24"/>
                <w:szCs w:val="24"/>
                <w:lang w:eastAsia="sk-SK"/>
              </w:rPr>
            </w:pPr>
            <w:r w:rsidRPr="00261CEE">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sz w:val="24"/>
                <w:szCs w:val="24"/>
                <w:lang w:eastAsia="sk-SK"/>
              </w:rPr>
            </w:pPr>
            <w:r w:rsidRPr="00261CEE">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sz w:val="24"/>
                <w:szCs w:val="24"/>
                <w:lang w:eastAsia="sk-SK"/>
              </w:rPr>
            </w:pPr>
            <w:r w:rsidRPr="00261CEE">
              <w:rPr>
                <w:rFonts w:ascii="Times New Roman" w:eastAsia="Times New Roman" w:hAnsi="Times New Roman" w:cs="Times New Roman"/>
                <w:b/>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ŠR</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obce</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i/>
                <w:iCs/>
                <w:sz w:val="24"/>
                <w:szCs w:val="24"/>
                <w:lang w:eastAsia="sk-SK"/>
              </w:rPr>
            </w:pPr>
            <w:r w:rsidRPr="00261CEE">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b/>
                <w:bCs/>
                <w:iCs/>
                <w:sz w:val="24"/>
                <w:szCs w:val="24"/>
                <w:lang w:eastAsia="sk-SK"/>
              </w:rPr>
            </w:pPr>
            <w:r w:rsidRPr="00261CEE">
              <w:rPr>
                <w:rFonts w:ascii="Times New Roman" w:eastAsia="Times New Roman" w:hAnsi="Times New Roman" w:cs="Times New Roman"/>
                <w:b/>
                <w:bCs/>
                <w:iCs/>
                <w:sz w:val="24"/>
                <w:szCs w:val="24"/>
                <w:lang w:eastAsia="sk-SK"/>
              </w:rPr>
              <w:t>0</w:t>
            </w:r>
          </w:p>
        </w:tc>
      </w:tr>
      <w:tr w:rsidR="00261CEE" w:rsidRPr="00261CEE" w:rsidTr="008D53DB">
        <w:trPr>
          <w:trHeight w:val="70"/>
          <w:jc w:val="center"/>
        </w:trPr>
        <w:tc>
          <w:tcPr>
            <w:tcW w:w="4661" w:type="dxa"/>
            <w:shd w:val="clear" w:color="auto" w:fill="C0C0C0"/>
            <w:noWrap/>
            <w:vAlign w:val="center"/>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C0C0C0"/>
            <w:noWrap/>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Calibri" w:eastAsia="Calibri" w:hAnsi="Calibri" w:cs="Times New Roman"/>
                <w:b/>
                <w:bCs/>
              </w:rPr>
              <w:t>68.808</w:t>
            </w:r>
          </w:p>
        </w:tc>
        <w:tc>
          <w:tcPr>
            <w:tcW w:w="1267" w:type="dxa"/>
            <w:shd w:val="clear" w:color="auto" w:fill="C0C0C0"/>
            <w:noWrap/>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Calibri" w:eastAsia="Calibri" w:hAnsi="Calibri" w:cs="Times New Roman"/>
                <w:b/>
                <w:bCs/>
              </w:rPr>
              <w:t>139.773,75</w:t>
            </w:r>
          </w:p>
        </w:tc>
        <w:tc>
          <w:tcPr>
            <w:tcW w:w="1267" w:type="dxa"/>
            <w:shd w:val="clear" w:color="auto" w:fill="C0C0C0"/>
            <w:noWrap/>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Calibri" w:eastAsia="Calibri" w:hAnsi="Calibri" w:cs="Times New Roman"/>
                <w:b/>
                <w:bCs/>
              </w:rPr>
              <w:t>143.029,50</w:t>
            </w:r>
            <w:r w:rsidRPr="00261CEE">
              <w:rPr>
                <w:rFonts w:ascii="Times New Roman" w:eastAsia="Times New Roman" w:hAnsi="Times New Roman" w:cs="Times New Roman"/>
                <w:b/>
                <w:bCs/>
                <w:sz w:val="24"/>
                <w:szCs w:val="24"/>
                <w:lang w:eastAsia="sk-SK"/>
              </w:rPr>
              <w:t xml:space="preserve">  </w:t>
            </w:r>
          </w:p>
        </w:tc>
      </w:tr>
      <w:tr w:rsidR="00261CEE" w:rsidRPr="00261CEE" w:rsidTr="008D53DB">
        <w:trPr>
          <w:trHeight w:val="70"/>
          <w:jc w:val="center"/>
        </w:trPr>
        <w:tc>
          <w:tcPr>
            <w:tcW w:w="4661" w:type="dxa"/>
            <w:noWrap/>
            <w:vAlign w:val="center"/>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v tom: Ministerstvo vnútra Slovenskej republiky</w:t>
            </w:r>
          </w:p>
        </w:tc>
        <w:tc>
          <w:tcPr>
            <w:tcW w:w="1267" w:type="dxa"/>
            <w:noWrap/>
            <w:vAlign w:val="center"/>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0</w:t>
            </w:r>
          </w:p>
        </w:tc>
        <w:tc>
          <w:tcPr>
            <w:tcW w:w="1267" w:type="dxa"/>
            <w:noWrap/>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Calibri" w:eastAsia="Calibri" w:hAnsi="Calibri" w:cs="Times New Roman"/>
                <w:b/>
                <w:bCs/>
              </w:rPr>
              <w:t>68.808</w:t>
            </w:r>
          </w:p>
        </w:tc>
        <w:tc>
          <w:tcPr>
            <w:tcW w:w="1267" w:type="dxa"/>
            <w:noWrap/>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Calibri" w:eastAsia="Calibri" w:hAnsi="Calibri" w:cs="Times New Roman"/>
                <w:b/>
                <w:bCs/>
              </w:rPr>
              <w:t>139.773,75</w:t>
            </w:r>
          </w:p>
        </w:tc>
        <w:tc>
          <w:tcPr>
            <w:tcW w:w="1267" w:type="dxa"/>
            <w:noWrap/>
          </w:tcPr>
          <w:p w:rsidR="00261CEE" w:rsidRPr="00261CEE" w:rsidRDefault="00261CEE" w:rsidP="00261CEE">
            <w:pPr>
              <w:spacing w:after="0" w:line="240" w:lineRule="auto"/>
              <w:jc w:val="right"/>
              <w:rPr>
                <w:rFonts w:ascii="Times New Roman" w:eastAsia="Times New Roman" w:hAnsi="Times New Roman" w:cs="Times New Roman"/>
                <w:sz w:val="24"/>
                <w:szCs w:val="24"/>
                <w:lang w:eastAsia="sk-SK"/>
              </w:rPr>
            </w:pPr>
            <w:r w:rsidRPr="00261CEE">
              <w:rPr>
                <w:rFonts w:ascii="Calibri" w:eastAsia="Calibri" w:hAnsi="Calibri" w:cs="Times New Roman"/>
                <w:b/>
                <w:bCs/>
              </w:rPr>
              <w:t>143.029,50</w:t>
            </w:r>
            <w:r w:rsidRPr="00261CEE">
              <w:rPr>
                <w:rFonts w:ascii="Times New Roman" w:eastAsia="Times New Roman" w:hAnsi="Times New Roman" w:cs="Times New Roman"/>
                <w:b/>
                <w:bCs/>
                <w:sz w:val="24"/>
                <w:szCs w:val="24"/>
                <w:lang w:eastAsia="sk-SK"/>
              </w:rPr>
              <w:t xml:space="preserve">  </w:t>
            </w:r>
          </w:p>
        </w:tc>
      </w:tr>
      <w:tr w:rsidR="00261CEE" w:rsidRPr="00261CEE" w:rsidTr="00261CEE">
        <w:trPr>
          <w:trHeight w:val="70"/>
          <w:jc w:val="center"/>
        </w:trPr>
        <w:tc>
          <w:tcPr>
            <w:tcW w:w="4661" w:type="dxa"/>
            <w:shd w:val="clear" w:color="auto" w:fill="BFBFBF"/>
            <w:noWrap/>
            <w:vAlign w:val="center"/>
          </w:tcPr>
          <w:p w:rsidR="00261CEE" w:rsidRPr="00261CEE" w:rsidRDefault="00261CEE" w:rsidP="00261CEE">
            <w:pPr>
              <w:spacing w:after="0" w:line="240" w:lineRule="auto"/>
              <w:rPr>
                <w:rFonts w:ascii="Times New Roman" w:eastAsia="Times New Roman" w:hAnsi="Times New Roman" w:cs="Times New Roman"/>
                <w:b/>
                <w:sz w:val="24"/>
                <w:szCs w:val="24"/>
                <w:lang w:eastAsia="sk-SK"/>
              </w:rPr>
            </w:pPr>
            <w:r w:rsidRPr="00261CEE">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r>
      <w:tr w:rsidR="00261CEE" w:rsidRPr="00261CEE" w:rsidTr="00261CEE">
        <w:trPr>
          <w:trHeight w:val="70"/>
          <w:jc w:val="center"/>
        </w:trPr>
        <w:tc>
          <w:tcPr>
            <w:tcW w:w="4661" w:type="dxa"/>
            <w:shd w:val="clear" w:color="auto" w:fill="A6A6A6"/>
            <w:noWrap/>
            <w:vAlign w:val="center"/>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261CEE" w:rsidRPr="00261CEE" w:rsidRDefault="00261CEE" w:rsidP="00261CEE">
            <w:pPr>
              <w:spacing w:after="0" w:line="240" w:lineRule="auto"/>
              <w:jc w:val="right"/>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r>
      <w:bookmarkEnd w:id="0"/>
    </w:tbl>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p>
    <w:p w:rsidR="00261CEE" w:rsidRPr="00261CEE" w:rsidRDefault="00261CEE" w:rsidP="00261CEE">
      <w:pPr>
        <w:spacing w:after="20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br w:type="page"/>
      </w:r>
    </w:p>
    <w:p w:rsidR="00261CEE" w:rsidRPr="00261CEE" w:rsidRDefault="00261CEE" w:rsidP="00261CEE">
      <w:pPr>
        <w:spacing w:after="0" w:line="240" w:lineRule="auto"/>
        <w:jc w:val="both"/>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261CEE" w:rsidRPr="00261CEE" w:rsidRDefault="00261CEE" w:rsidP="00261CEE">
      <w:pPr>
        <w:spacing w:after="0" w:line="240" w:lineRule="auto"/>
        <w:jc w:val="both"/>
        <w:rPr>
          <w:rFonts w:ascii="Times New Roman" w:eastAsia="Times New Roman" w:hAnsi="Times New Roman" w:cs="Times New Roman"/>
          <w:b/>
          <w:bCs/>
          <w:sz w:val="12"/>
          <w:szCs w:val="24"/>
          <w:lang w:eastAsia="sk-SK"/>
        </w:rPr>
      </w:pPr>
    </w:p>
    <w:p w:rsidR="00261CEE" w:rsidRPr="00261CEE" w:rsidRDefault="00261CEE" w:rsidP="00261CE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 xml:space="preserve">Výdavky v rámci návrhu zákona, ktorým sa mení a dopĺňa zákon č. 480/2002 Z. z. o azyle a o zmene a doplnení niektorých zákonov v znení neskorších predpisov (ďalej len „návrh“) Ministerstvo vnútra Slovenskej republiky pokryje v rámci svojej rozpočtovej kapitoly. Ustanovenia návrhu zákona, ktoré majú dopad na rozpočet verejnej správy, okrem jednorazového príspevku, či možnosti ubytovania v integračnom stredisku, sú len sformalizovaním aktivít, ktoré sú dlhoročne vykonávané mimovládnymi organizáciami na základe grantových zmlúv uzavretých s Ministerstvom vnútra Slovenskej republiky financovaných vo výške 75% z Fondu pre azyl, migráciu a integráciu (predtým Európsky fond pre utečencov) a 25 % zo štátneho rozpočtu. Financovania týchto aktivít v budúcnosti priamo z nového Fondu pre azyl, migráciu a integráciu môže byť nestabilné ako aj nedostatočné. V minulom období na seba financovanie fondov plynulo nenadväzovalo a osoby s udelenou medzinárodnou ochranou boli vystavené hrozbe bezdomovectva. </w:t>
      </w:r>
    </w:p>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2.2. Popis a charakteristika návrhu</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p>
    <w:p w:rsidR="00261CEE" w:rsidRPr="00261CEE" w:rsidRDefault="00261CEE" w:rsidP="00261CEE">
      <w:pPr>
        <w:spacing w:after="0" w:line="240" w:lineRule="auto"/>
        <w:jc w:val="both"/>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2.2.1. Popis návrhu:</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p>
    <w:p w:rsidR="00261CEE" w:rsidRPr="00261CEE" w:rsidRDefault="00261CEE" w:rsidP="00261CEE">
      <w:pPr>
        <w:spacing w:after="0" w:line="240" w:lineRule="auto"/>
        <w:jc w:val="both"/>
        <w:rPr>
          <w:rFonts w:ascii="Times New Roman" w:eastAsia="Calibri" w:hAnsi="Times New Roman" w:cs="Times New Roman"/>
          <w:sz w:val="24"/>
          <w:szCs w:val="24"/>
          <w:lang w:eastAsia="sk-SK"/>
        </w:rPr>
      </w:pPr>
      <w:r w:rsidRPr="00261CEE">
        <w:rPr>
          <w:rFonts w:ascii="Times New Roman" w:eastAsia="Calibri" w:hAnsi="Times New Roman" w:cs="Times New Roman"/>
          <w:sz w:val="24"/>
          <w:szCs w:val="24"/>
          <w:lang w:eastAsia="sk-SK"/>
        </w:rPr>
        <w:t>Návrh zákona systémovo upravuje prvotnú integráciu azylantov a cudzincov, ktorým sa poskytla doplnková ochrana. Ďalšie úpravy vychádzajú z poznatkov aplikačnej praxe a potreby zosúladenia právneho poriadku Slovenskej republiky s právom Európskej únie.</w:t>
      </w:r>
    </w:p>
    <w:p w:rsidR="00261CEE" w:rsidRPr="00261CEE" w:rsidRDefault="00261CEE" w:rsidP="00261CEE">
      <w:pPr>
        <w:spacing w:after="0" w:line="240" w:lineRule="auto"/>
        <w:jc w:val="both"/>
        <w:rPr>
          <w:rFonts w:ascii="Times New Roman" w:eastAsia="Calibri" w:hAnsi="Times New Roman" w:cs="Times New Roman"/>
          <w:sz w:val="24"/>
          <w:szCs w:val="24"/>
          <w:lang w:eastAsia="sk-SK"/>
        </w:rPr>
      </w:pPr>
    </w:p>
    <w:p w:rsidR="00261CEE" w:rsidRPr="00261CEE" w:rsidRDefault="00261CEE" w:rsidP="00261CEE">
      <w:p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Návrh zákona najmä:</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upravuje hierarchiu statusov ochrany udeľovaných/poskytovaných cudzincom v Slovenskej republike podľa tohto zákona; ide najmä o uprednostnenie posudzovania a poskytovania doplnkovej ochrany z dôvodu vážneho bezprávia pred udeľovaním azylu na účel zlúčenia rodiny, ale aj pred udeľovaním azylu z humanitných dôvodov;</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systémovo upravuje prvotnú integráciu azylantov a cudzincov, ktorým sa poskytla doplnková ochrana, pričom v rámci nej:</w:t>
      </w:r>
    </w:p>
    <w:p w:rsidR="00261CEE" w:rsidRPr="00261CEE" w:rsidRDefault="00261CEE" w:rsidP="00261CEE">
      <w:pPr>
        <w:numPr>
          <w:ilvl w:val="0"/>
          <w:numId w:val="3"/>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zvyšuje jednorazový príspevok pre azylantov z 1,5 násobku sumy životného minima pre jednu plnoletú fyzickú osobu podľa osobitného predpisu na 3-násobok tejto sumy;</w:t>
      </w:r>
    </w:p>
    <w:p w:rsidR="00261CEE" w:rsidRPr="00261CEE" w:rsidRDefault="00261CEE" w:rsidP="00261CEE">
      <w:pPr>
        <w:numPr>
          <w:ilvl w:val="0"/>
          <w:numId w:val="3"/>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zavádza jednorazový príspevok v rovnakej výške aj pre cudzincov, ktorým sa poskytla doplnková ochrana;</w:t>
      </w:r>
    </w:p>
    <w:p w:rsidR="00261CEE" w:rsidRPr="00261CEE" w:rsidRDefault="00261CEE" w:rsidP="00261CEE">
      <w:pPr>
        <w:numPr>
          <w:ilvl w:val="0"/>
          <w:numId w:val="3"/>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zavádza integračný príspevok pre azylantov a cudzincov, ktorým sa poskytla doplnková ochrana, počas obdobia šiestich mesiacov;</w:t>
      </w:r>
    </w:p>
    <w:p w:rsidR="00261CEE" w:rsidRPr="00261CEE" w:rsidRDefault="00261CEE" w:rsidP="00261CEE">
      <w:pPr>
        <w:numPr>
          <w:ilvl w:val="0"/>
          <w:numId w:val="3"/>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umožňuje v integračnom stredisku ubytovať aj cudzincov, ktorým sa poskytla doplnková ochrana;</w:t>
      </w:r>
    </w:p>
    <w:p w:rsidR="00261CEE" w:rsidRPr="00261CEE" w:rsidRDefault="00261CEE" w:rsidP="00261CEE">
      <w:pPr>
        <w:numPr>
          <w:ilvl w:val="0"/>
          <w:numId w:val="3"/>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ustanovuje zabezpečenie sociálneho poradenstva, psychologického poradenstva a kurzu kultúrnej orientácie pre azylantov a cudzincov, ktorým sa poskytla doplnková ochrana, na základe ich individuálnych potrieb;</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ustanovuje zabezpečenie sociálneho poradenstva, psychologického poradenstva a kurzu kultúrnej orientácie aj pre žiadateľov o udelenie azylu na základe ich individuálnych potrieb;</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skracuje lehotu pre prístup žiadateľov na trh práce na šesť mesiacov od začatia konania o udelenie azylu;</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ustanovuje nový dôvod prerušenia konania o odovzdaní do iného štátu;</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ustanovuje dobu, na ktorú sa žiadateľovi povolí pobyt mimo pobytového tábora (tzv. dlhodobá priepustka);</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lastRenderedPageBreak/>
        <w:t>bližšie určuje skutočnosti, ktoré obsahuje poučenie žiadateľa o udelenie azylu;</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ustanovuje nový dôvod zániku azylu;</w:t>
      </w:r>
    </w:p>
    <w:p w:rsidR="00261CEE" w:rsidRPr="00261CEE" w:rsidRDefault="00261CEE" w:rsidP="00261CEE">
      <w:pPr>
        <w:numPr>
          <w:ilvl w:val="0"/>
          <w:numId w:val="2"/>
        </w:num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aktualizuje viaceré poznámky pod čiarou, atď.</w:t>
      </w:r>
    </w:p>
    <w:p w:rsidR="00261CEE" w:rsidRPr="00261CEE" w:rsidRDefault="00261CEE" w:rsidP="00261CEE">
      <w:pPr>
        <w:spacing w:after="0" w:line="240" w:lineRule="auto"/>
        <w:jc w:val="both"/>
        <w:rPr>
          <w:rFonts w:ascii="Times New Roman" w:eastAsia="Calibri" w:hAnsi="Times New Roman" w:cs="Times New Roman"/>
          <w:sz w:val="24"/>
          <w:szCs w:val="24"/>
        </w:rPr>
      </w:pPr>
    </w:p>
    <w:p w:rsidR="00261CEE" w:rsidRPr="00261CEE" w:rsidRDefault="00261CEE" w:rsidP="00261CEE">
      <w:pPr>
        <w:spacing w:after="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 xml:space="preserve">Je potrebné uviesť, že v prípade integračného príspevku ide o sformalizovanie obdobného príspevku, ktorý sa už v súčasnosti v Slovenskej republike v porovnateľnej výške poskytuje azylantom a cudzincom, ktorým sa poskytla doplnková ochrana, v rámci integračného projektu financovaného z prostriedkov Fondu pre azyl, migráciu a integráciu. Rovnako je to aj ohľadom sociálneho poradenstva, psychologického poradenstva a kurzu kultúrnej orientácie pre žiadateľov, azylantov a cudzincov, ktorým sa poskytla doplnková ochrana. Tieto služby sú tiež zabezpečované v rámci projektu financovaného zo spomínaného fondu a čiastočne, s výnimkou psychologického poradenstva, aj zamestnancami ministerstva vnútra zaradenými na migračnom úrade. Ako účelné a potrebné sa javí zakotviť predmetný príspevok a uvedené služby priamo v zákone o azyle. Okrem iného to zabezpečí tiež udržateľnosť takéhoto systému pomoci a starostlivosti o žiadateľov a osoby s udelenou ochrana aj v situácii, kedy by financovanie z prostriedkov spomínaného fondu nebolo možné.  </w:t>
      </w:r>
    </w:p>
    <w:p w:rsidR="00261CEE" w:rsidRPr="00261CEE" w:rsidRDefault="00261CEE" w:rsidP="00261CEE">
      <w:pPr>
        <w:spacing w:after="0" w:line="240" w:lineRule="auto"/>
        <w:jc w:val="both"/>
        <w:rPr>
          <w:rFonts w:ascii="Times New Roman" w:eastAsia="Calibri" w:hAnsi="Times New Roman" w:cs="Times New Roman"/>
          <w:sz w:val="24"/>
          <w:szCs w:val="24"/>
          <w:u w:val="single"/>
        </w:rPr>
      </w:pPr>
      <w:r w:rsidRPr="00261CEE">
        <w:rPr>
          <w:rFonts w:ascii="Times New Roman" w:eastAsia="Calibri" w:hAnsi="Times New Roman" w:cs="Times New Roman"/>
          <w:color w:val="000000"/>
          <w:sz w:val="24"/>
          <w:szCs w:val="24"/>
        </w:rPr>
        <w:t>Tak ako je uvedené v bode 2.1.1., v</w:t>
      </w:r>
      <w:r w:rsidRPr="00261CEE">
        <w:rPr>
          <w:rFonts w:ascii="Times New Roman" w:eastAsia="Calibri" w:hAnsi="Times New Roman" w:cs="Times New Roman"/>
          <w:sz w:val="24"/>
          <w:szCs w:val="24"/>
          <w:lang w:eastAsia="sk-SK"/>
        </w:rPr>
        <w:t>ýdavky v rámci návrhu Ministerstvo vnútra Slovenskej republiky pokryje v rámci svojej rozpočtovej kapitoly. Okrem príspevkov uvedených v bode 2.2.4. môže aj z</w:t>
      </w:r>
      <w:r w:rsidRPr="00261CEE">
        <w:rPr>
          <w:rFonts w:ascii="Times New Roman" w:eastAsia="Calibri" w:hAnsi="Times New Roman" w:cs="Times New Roman"/>
          <w:color w:val="000000"/>
          <w:sz w:val="24"/>
          <w:szCs w:val="24"/>
        </w:rPr>
        <w:t> ustanovení umožňujúcich prechodne ubytovať cudzincov, ktorým sa poskytla doplnková ochrana, v integračnom stredisku vyplývať negatívny vplyv na rozpočet verejnej správy, aj keď ide o vplyv zanedbateľný. Prípadné ubytovanie týchto osôb v integračnom stredisku bude možné realizovať len v rámci využitia súčasných ubytovacích kapacít integračného strediska, ktoré je zariadením Ministerstva vnútra Slovenskej republiky. Výdavky na ubytovanie oprávnených osôb sú kryté v rámci limitov Ministerstva vnútra Slovenskej republiky na príslušný rozpočtový rok, bez potreby dodatočných požiadaviek na štátny rozpočet. Ubytovacie kapacity integračného strediska sa pritom rozširovať nebudú. Neboli identifikované ustanovenia návrhu, ktoré by predstavovali negatívny vplyv na rozpočet verejnej správy s potrebou dodatočných požiadaviek na štátny rozpočet.</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p>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2.2.2. Charakteristika návrhu:</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p>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b/>
          <w:sz w:val="24"/>
          <w:szCs w:val="24"/>
          <w:bdr w:val="single" w:sz="4" w:space="0" w:color="auto"/>
          <w:lang w:eastAsia="sk-SK"/>
        </w:rPr>
        <w:t xml:space="preserve">     </w:t>
      </w:r>
      <w:r w:rsidRPr="00261CEE">
        <w:rPr>
          <w:rFonts w:ascii="Times New Roman" w:eastAsia="Times New Roman" w:hAnsi="Times New Roman" w:cs="Times New Roman"/>
          <w:b/>
          <w:sz w:val="24"/>
          <w:szCs w:val="24"/>
          <w:lang w:eastAsia="sk-SK"/>
        </w:rPr>
        <w:t xml:space="preserve">  </w:t>
      </w:r>
      <w:r w:rsidRPr="00261CEE">
        <w:rPr>
          <w:rFonts w:ascii="Times New Roman" w:eastAsia="Times New Roman" w:hAnsi="Times New Roman" w:cs="Times New Roman"/>
          <w:sz w:val="24"/>
          <w:szCs w:val="24"/>
          <w:lang w:eastAsia="sk-SK"/>
        </w:rPr>
        <w:t>zmena sadzby</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bdr w:val="single" w:sz="4" w:space="0" w:color="auto"/>
          <w:lang w:eastAsia="sk-SK"/>
        </w:rPr>
        <w:t xml:space="preserve">     </w:t>
      </w:r>
      <w:r w:rsidRPr="00261CEE">
        <w:rPr>
          <w:rFonts w:ascii="Times New Roman" w:eastAsia="Times New Roman" w:hAnsi="Times New Roman" w:cs="Times New Roman"/>
          <w:sz w:val="24"/>
          <w:szCs w:val="24"/>
          <w:lang w:eastAsia="sk-SK"/>
        </w:rPr>
        <w:t xml:space="preserve">  zmena v nároku</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bdr w:val="single" w:sz="4" w:space="0" w:color="auto"/>
          <w:lang w:eastAsia="sk-SK"/>
        </w:rPr>
        <w:t xml:space="preserve">     </w:t>
      </w:r>
      <w:r w:rsidRPr="00261CEE">
        <w:rPr>
          <w:rFonts w:ascii="Times New Roman" w:eastAsia="Times New Roman" w:hAnsi="Times New Roman" w:cs="Times New Roman"/>
          <w:sz w:val="24"/>
          <w:szCs w:val="24"/>
          <w:lang w:eastAsia="sk-SK"/>
        </w:rPr>
        <w:t xml:space="preserve">  nová služba alebo nariadenie (alebo ich zrušenie)</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bdr w:val="single" w:sz="4" w:space="0" w:color="auto"/>
          <w:lang w:eastAsia="sk-SK"/>
        </w:rPr>
        <w:t xml:space="preserve"> x  </w:t>
      </w:r>
      <w:r w:rsidRPr="00261CEE">
        <w:rPr>
          <w:rFonts w:ascii="Times New Roman" w:eastAsia="Times New Roman" w:hAnsi="Times New Roman" w:cs="Times New Roman"/>
          <w:sz w:val="24"/>
          <w:szCs w:val="24"/>
          <w:lang w:eastAsia="sk-SK"/>
        </w:rPr>
        <w:t xml:space="preserve">  kombinovaný návrh</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bdr w:val="single" w:sz="4" w:space="0" w:color="auto"/>
          <w:lang w:eastAsia="sk-SK"/>
        </w:rPr>
        <w:t xml:space="preserve">     </w:t>
      </w:r>
      <w:r w:rsidRPr="00261CEE">
        <w:rPr>
          <w:rFonts w:ascii="Times New Roman" w:eastAsia="Times New Roman" w:hAnsi="Times New Roman" w:cs="Times New Roman"/>
          <w:sz w:val="24"/>
          <w:szCs w:val="24"/>
          <w:lang w:eastAsia="sk-SK"/>
        </w:rPr>
        <w:t xml:space="preserve">  iné </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p>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b/>
          <w:bCs/>
          <w:sz w:val="24"/>
          <w:szCs w:val="24"/>
          <w:lang w:eastAsia="sk-SK"/>
        </w:rPr>
        <w:t>2.2.3. Predpoklady vývoja objemu aktivít:</w:t>
      </w:r>
    </w:p>
    <w:p w:rsidR="00261CEE" w:rsidRPr="00261CEE" w:rsidRDefault="00261CEE" w:rsidP="00261CEE">
      <w:pPr>
        <w:spacing w:after="200" w:line="240" w:lineRule="auto"/>
        <w:jc w:val="right"/>
        <w:rPr>
          <w:rFonts w:ascii="Calibri" w:eastAsia="Calibri" w:hAnsi="Calibri" w:cs="Times New Roman"/>
          <w:sz w:val="18"/>
        </w:rPr>
      </w:pPr>
      <w:r w:rsidRPr="00261CEE">
        <w:rPr>
          <w:rFonts w:ascii="Times New Roman" w:eastAsia="Times New Roman" w:hAnsi="Times New Roman" w:cs="Times New Roman"/>
          <w:bCs/>
          <w:sz w:val="20"/>
          <w:szCs w:val="24"/>
          <w:lang w:eastAsia="sk-SK"/>
        </w:rPr>
        <w:t>Tabuľka č. 2</w:t>
      </w:r>
    </w:p>
    <w:tbl>
      <w:tblPr>
        <w:tblpPr w:leftFromText="141" w:rightFromText="141" w:vertAnchor="text"/>
        <w:tblW w:w="0" w:type="auto"/>
        <w:tblCellMar>
          <w:left w:w="0" w:type="dxa"/>
          <w:right w:w="0" w:type="dxa"/>
        </w:tblCellMar>
        <w:tblLook w:val="04A0" w:firstRow="1" w:lastRow="0" w:firstColumn="1" w:lastColumn="0" w:noHBand="0" w:noVBand="1"/>
      </w:tblPr>
      <w:tblGrid>
        <w:gridCol w:w="3635"/>
        <w:gridCol w:w="749"/>
        <w:gridCol w:w="1418"/>
        <w:gridCol w:w="1571"/>
        <w:gridCol w:w="1679"/>
      </w:tblGrid>
      <w:tr w:rsidR="00261CEE" w:rsidRPr="00261CEE" w:rsidTr="00261CEE">
        <w:tc>
          <w:tcPr>
            <w:tcW w:w="363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Obdobie</w:t>
            </w:r>
          </w:p>
        </w:tc>
        <w:tc>
          <w:tcPr>
            <w:tcW w:w="749" w:type="dxa"/>
            <w:tcBorders>
              <w:top w:val="single" w:sz="8" w:space="0" w:color="auto"/>
              <w:left w:val="nil"/>
              <w:bottom w:val="single" w:sz="8" w:space="0" w:color="auto"/>
              <w:right w:val="single" w:sz="4" w:space="0" w:color="auto"/>
            </w:tcBorders>
            <w:shd w:val="clear" w:color="auto" w:fill="A6A6A6"/>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2021</w:t>
            </w:r>
          </w:p>
        </w:tc>
        <w:tc>
          <w:tcPr>
            <w:tcW w:w="1418" w:type="dxa"/>
            <w:tcBorders>
              <w:top w:val="single" w:sz="8" w:space="0" w:color="auto"/>
              <w:left w:val="single" w:sz="4" w:space="0" w:color="auto"/>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2022</w:t>
            </w:r>
          </w:p>
        </w:tc>
        <w:tc>
          <w:tcPr>
            <w:tcW w:w="1571"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2023</w:t>
            </w:r>
          </w:p>
        </w:tc>
        <w:tc>
          <w:tcPr>
            <w:tcW w:w="167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2024</w:t>
            </w:r>
          </w:p>
        </w:tc>
      </w:tr>
      <w:tr w:rsidR="00261CEE" w:rsidRPr="00261CEE" w:rsidTr="008D53DB">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Predpokladaný počet osôb</w:t>
            </w:r>
          </w:p>
        </w:tc>
        <w:tc>
          <w:tcPr>
            <w:tcW w:w="749" w:type="dxa"/>
            <w:tcBorders>
              <w:top w:val="single" w:sz="8" w:space="0" w:color="auto"/>
              <w:left w:val="nil"/>
              <w:bottom w:val="single" w:sz="8" w:space="0" w:color="auto"/>
              <w:right w:val="single" w:sz="4" w:space="0" w:color="auto"/>
            </w:tcBorders>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N/A</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25</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50</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50</w:t>
            </w:r>
          </w:p>
        </w:tc>
      </w:tr>
      <w:tr w:rsidR="00261CEE" w:rsidRPr="00261CEE" w:rsidTr="008D53DB">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Jednorazový príspevok § 28 ods. 2</w:t>
            </w:r>
          </w:p>
        </w:tc>
        <w:tc>
          <w:tcPr>
            <w:tcW w:w="749" w:type="dxa"/>
            <w:tcBorders>
              <w:top w:val="single" w:sz="8" w:space="0" w:color="auto"/>
              <w:left w:val="nil"/>
              <w:bottom w:val="single" w:sz="8" w:space="0" w:color="auto"/>
              <w:right w:val="single" w:sz="4" w:space="0" w:color="auto"/>
            </w:tcBorders>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N/A</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17.202€</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34.943,25€</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35.757€</w:t>
            </w:r>
          </w:p>
        </w:tc>
      </w:tr>
      <w:tr w:rsidR="00261CEE" w:rsidRPr="00261CEE" w:rsidTr="008D53DB">
        <w:tc>
          <w:tcPr>
            <w:tcW w:w="3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Integračný príspevok § 28 ods. 4</w:t>
            </w:r>
          </w:p>
        </w:tc>
        <w:tc>
          <w:tcPr>
            <w:tcW w:w="749" w:type="dxa"/>
            <w:tcBorders>
              <w:top w:val="single" w:sz="8" w:space="0" w:color="auto"/>
              <w:left w:val="nil"/>
              <w:bottom w:val="single" w:sz="8" w:space="0" w:color="auto"/>
              <w:right w:val="single" w:sz="4" w:space="0" w:color="auto"/>
            </w:tcBorders>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N/A</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51.606€</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104.830,50€</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sz w:val="24"/>
                <w:szCs w:val="24"/>
              </w:rPr>
            </w:pPr>
            <w:r w:rsidRPr="00261CEE">
              <w:rPr>
                <w:rFonts w:ascii="Times New Roman" w:eastAsia="Calibri" w:hAnsi="Times New Roman" w:cs="Times New Roman"/>
                <w:sz w:val="24"/>
                <w:szCs w:val="24"/>
              </w:rPr>
              <w:t>107.272,50€</w:t>
            </w:r>
          </w:p>
        </w:tc>
      </w:tr>
      <w:tr w:rsidR="00261CEE" w:rsidRPr="00261CEE" w:rsidTr="008D53DB">
        <w:tc>
          <w:tcPr>
            <w:tcW w:w="363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b/>
                <w:bCs/>
                <w:sz w:val="24"/>
                <w:szCs w:val="24"/>
              </w:rPr>
            </w:pPr>
            <w:r w:rsidRPr="00261CEE">
              <w:rPr>
                <w:rFonts w:ascii="Times New Roman" w:eastAsia="Calibri" w:hAnsi="Times New Roman" w:cs="Times New Roman"/>
                <w:b/>
                <w:bCs/>
                <w:sz w:val="24"/>
                <w:szCs w:val="24"/>
              </w:rPr>
              <w:t>spolu</w:t>
            </w:r>
          </w:p>
        </w:tc>
        <w:tc>
          <w:tcPr>
            <w:tcW w:w="749" w:type="dxa"/>
            <w:tcBorders>
              <w:top w:val="single" w:sz="8" w:space="0" w:color="auto"/>
              <w:left w:val="nil"/>
              <w:bottom w:val="single" w:sz="8" w:space="0" w:color="auto"/>
              <w:right w:val="single" w:sz="4" w:space="0" w:color="auto"/>
            </w:tcBorders>
            <w:shd w:val="clear" w:color="auto" w:fill="A6A6A6"/>
          </w:tcPr>
          <w:p w:rsidR="00261CEE" w:rsidRPr="00261CEE" w:rsidRDefault="00261CEE" w:rsidP="00261CEE">
            <w:pPr>
              <w:spacing w:after="0" w:line="240" w:lineRule="auto"/>
              <w:rPr>
                <w:rFonts w:ascii="Times New Roman" w:eastAsia="Calibri" w:hAnsi="Times New Roman" w:cs="Times New Roman"/>
                <w:b/>
                <w:bCs/>
                <w:sz w:val="24"/>
                <w:szCs w:val="24"/>
              </w:rPr>
            </w:pPr>
            <w:r w:rsidRPr="00261CEE">
              <w:rPr>
                <w:rFonts w:ascii="Times New Roman" w:eastAsia="Calibri" w:hAnsi="Times New Roman" w:cs="Times New Roman"/>
                <w:sz w:val="24"/>
                <w:szCs w:val="24"/>
              </w:rPr>
              <w:t>N/A</w:t>
            </w:r>
          </w:p>
        </w:tc>
        <w:tc>
          <w:tcPr>
            <w:tcW w:w="1418" w:type="dxa"/>
            <w:tcBorders>
              <w:top w:val="nil"/>
              <w:left w:val="single" w:sz="4" w:space="0" w:color="auto"/>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b/>
                <w:bCs/>
                <w:sz w:val="24"/>
                <w:szCs w:val="24"/>
              </w:rPr>
            </w:pPr>
            <w:r w:rsidRPr="00261CEE">
              <w:rPr>
                <w:rFonts w:ascii="Times New Roman" w:eastAsia="Calibri" w:hAnsi="Times New Roman" w:cs="Times New Roman"/>
                <w:b/>
                <w:bCs/>
                <w:sz w:val="24"/>
                <w:szCs w:val="24"/>
              </w:rPr>
              <w:t>68.808€</w:t>
            </w:r>
          </w:p>
        </w:tc>
        <w:tc>
          <w:tcPr>
            <w:tcW w:w="157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b/>
                <w:bCs/>
                <w:sz w:val="24"/>
                <w:szCs w:val="24"/>
              </w:rPr>
            </w:pPr>
            <w:r w:rsidRPr="00261CEE">
              <w:rPr>
                <w:rFonts w:ascii="Times New Roman" w:eastAsia="Calibri" w:hAnsi="Times New Roman" w:cs="Times New Roman"/>
                <w:b/>
                <w:bCs/>
                <w:sz w:val="24"/>
                <w:szCs w:val="24"/>
              </w:rPr>
              <w:t>139.773,75€</w:t>
            </w:r>
          </w:p>
        </w:tc>
        <w:tc>
          <w:tcPr>
            <w:tcW w:w="1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261CEE" w:rsidRPr="00261CEE" w:rsidRDefault="00261CEE" w:rsidP="00261CEE">
            <w:pPr>
              <w:spacing w:after="0" w:line="240" w:lineRule="auto"/>
              <w:rPr>
                <w:rFonts w:ascii="Times New Roman" w:eastAsia="Calibri" w:hAnsi="Times New Roman" w:cs="Times New Roman"/>
                <w:b/>
                <w:bCs/>
                <w:sz w:val="24"/>
                <w:szCs w:val="24"/>
              </w:rPr>
            </w:pPr>
            <w:r w:rsidRPr="00261CEE">
              <w:rPr>
                <w:rFonts w:ascii="Times New Roman" w:eastAsia="Calibri" w:hAnsi="Times New Roman" w:cs="Times New Roman"/>
                <w:b/>
                <w:bCs/>
                <w:sz w:val="24"/>
                <w:szCs w:val="24"/>
              </w:rPr>
              <w:t>143.029,50€</w:t>
            </w:r>
          </w:p>
        </w:tc>
      </w:tr>
    </w:tbl>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p>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2.2.4. Výpočty vplyvov na verejné financie</w:t>
      </w:r>
    </w:p>
    <w:p w:rsidR="00261CEE" w:rsidRPr="00261CEE" w:rsidRDefault="00261CEE" w:rsidP="00261CEE">
      <w:pPr>
        <w:spacing w:after="0" w:line="240" w:lineRule="auto"/>
        <w:jc w:val="both"/>
        <w:rPr>
          <w:rFonts w:ascii="Times New Roman" w:eastAsia="Times New Roman" w:hAnsi="Times New Roman" w:cs="Times New Roman"/>
          <w:sz w:val="24"/>
          <w:szCs w:val="24"/>
          <w:lang w:eastAsia="sk-SK"/>
        </w:rPr>
      </w:pPr>
    </w:p>
    <w:p w:rsidR="00261CEE" w:rsidRPr="00261CEE" w:rsidRDefault="00261CEE" w:rsidP="00261CEE">
      <w:pPr>
        <w:spacing w:after="200" w:line="240" w:lineRule="auto"/>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 xml:space="preserve">Finančné prostriedky potrebné na zabezpečenie vyplácania všetkých nižšie uvedených príspevkov sú vypočítané so sumou životného minima pre jednu plnoletú fyzickú osobu, </w:t>
      </w:r>
      <w:r w:rsidRPr="00261CEE">
        <w:rPr>
          <w:rFonts w:ascii="Times New Roman" w:eastAsia="Calibri" w:hAnsi="Times New Roman" w:cs="Times New Roman"/>
          <w:sz w:val="24"/>
          <w:szCs w:val="24"/>
        </w:rPr>
        <w:lastRenderedPageBreak/>
        <w:t xml:space="preserve">pričom bola zohľadnená predpokladaná valorizácia sumy životného minima pre jednu plnoletú fyzickú osobu na roky 2022-2024. </w:t>
      </w:r>
    </w:p>
    <w:p w:rsidR="00261CEE" w:rsidRPr="00261CEE" w:rsidRDefault="00261CEE" w:rsidP="00261CEE">
      <w:pPr>
        <w:numPr>
          <w:ilvl w:val="0"/>
          <w:numId w:val="4"/>
        </w:numPr>
        <w:spacing w:after="0" w:line="240" w:lineRule="auto"/>
        <w:contextualSpacing/>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 xml:space="preserve">Do § 28 ods. 2 návrhu sa premietlo súčasné znenie týkajúce sa jednorazového príspevku pre azylanta, pričom sa jeho suma zvyšuje z 1,5-násobku na 3-násobok sumy životného minima pre jednu plnoletú fyzickú osobu a taktiež sa zavádza priznanie rovnakého jednorazového príspevku pre </w:t>
      </w:r>
      <w:r w:rsidRPr="00261CEE">
        <w:rPr>
          <w:rFonts w:ascii="Times New Roman" w:eastAsia="Times New Roman" w:hAnsi="Times New Roman" w:cs="Times New Roman"/>
          <w:sz w:val="24"/>
          <w:szCs w:val="24"/>
          <w:lang w:eastAsia="sk-SK"/>
        </w:rPr>
        <w:t>cudzincov, ktorým sa poskytla</w:t>
      </w:r>
      <w:r w:rsidRPr="00261CEE">
        <w:rPr>
          <w:rFonts w:ascii="Times New Roman" w:eastAsia="Times New Roman" w:hAnsi="Times New Roman" w:cs="Times New Roman"/>
          <w:bCs/>
          <w:sz w:val="24"/>
          <w:szCs w:val="24"/>
          <w:lang w:eastAsia="sk-SK"/>
        </w:rPr>
        <w:t xml:space="preserve"> doplnková ochrana.</w:t>
      </w:r>
    </w:p>
    <w:p w:rsidR="00261CEE" w:rsidRPr="00261CEE" w:rsidRDefault="00261CEE" w:rsidP="00261CEE">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V roku 2022 (od navrhovanej účinnosti zákona 1.6.2022) predpokladáme udelenie 25 medzinárodných ochrán, t.j. výpočet sumy je nasledovný: 229,36€x3= 688,08€ (výška príspevku)x25osôb=17.202€.</w:t>
      </w:r>
    </w:p>
    <w:p w:rsidR="00261CEE" w:rsidRPr="00261CEE" w:rsidRDefault="00261CEE" w:rsidP="00261CEE">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V roku 2023 predpokladáme udelenie medzinárodnej ochrany 50 osobám, t.j. ide o sumu 229,36€x3= 688,08€(výška príspevku)x25osôb=17.202€ + 236,55€x3= 709,65€(výška príspevku)x25osôb=17.741,25€ spolu 34.943,25€.</w:t>
      </w:r>
    </w:p>
    <w:p w:rsidR="00261CEE" w:rsidRPr="00261CEE" w:rsidRDefault="00261CEE" w:rsidP="00261CEE">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V roku 2024 predpokladáme udelenie medzinárodnej ochrany 50 osobám, t.j. ide o sumu 236,55€x3=709,65€(výška príspevku)x25osôb=17.741,25€ + 240,21€x3= 720,63€(výška príspevku)x25osôb=18.015,75€ spolu 35.757€.</w:t>
      </w:r>
    </w:p>
    <w:p w:rsidR="00261CEE" w:rsidRPr="00261CEE" w:rsidRDefault="00261CEE" w:rsidP="00261CEE">
      <w:pPr>
        <w:spacing w:after="0" w:line="240" w:lineRule="auto"/>
        <w:ind w:left="1080"/>
        <w:contextualSpacing/>
        <w:jc w:val="both"/>
        <w:rPr>
          <w:rFonts w:ascii="Times New Roman" w:eastAsia="Times New Roman" w:hAnsi="Times New Roman" w:cs="Times New Roman"/>
          <w:bCs/>
          <w:sz w:val="24"/>
          <w:szCs w:val="24"/>
          <w:lang w:eastAsia="sk-SK"/>
        </w:rPr>
      </w:pPr>
    </w:p>
    <w:p w:rsidR="00261CEE" w:rsidRPr="00261CEE" w:rsidRDefault="00261CEE" w:rsidP="00261CEE">
      <w:pPr>
        <w:numPr>
          <w:ilvl w:val="0"/>
          <w:numId w:val="4"/>
        </w:numPr>
        <w:spacing w:after="0" w:line="240" w:lineRule="auto"/>
        <w:contextualSpacing/>
        <w:jc w:val="both"/>
        <w:rPr>
          <w:rFonts w:ascii="Times New Roman" w:eastAsia="Times New Roman" w:hAnsi="Times New Roman" w:cs="Times New Roman"/>
          <w:sz w:val="24"/>
          <w:szCs w:val="24"/>
          <w:lang w:eastAsia="cs-CZ"/>
        </w:rPr>
      </w:pPr>
      <w:r w:rsidRPr="00261CEE">
        <w:rPr>
          <w:rFonts w:ascii="Times New Roman" w:eastAsia="Times New Roman" w:hAnsi="Times New Roman" w:cs="Times New Roman"/>
          <w:sz w:val="24"/>
          <w:szCs w:val="24"/>
          <w:lang w:eastAsia="cs-CZ"/>
        </w:rPr>
        <w:t xml:space="preserve">V § 28 ods. 4 sa formálne </w:t>
      </w:r>
      <w:r w:rsidRPr="00261CEE">
        <w:rPr>
          <w:rFonts w:ascii="Times New Roman" w:eastAsia="Times New Roman" w:hAnsi="Times New Roman" w:cs="Times New Roman"/>
          <w:sz w:val="24"/>
          <w:szCs w:val="24"/>
          <w:lang w:eastAsia="sk-SK"/>
        </w:rPr>
        <w:t xml:space="preserve">zavádza poskytovanie integračného príspevku pre azylantov a cudzincov, ktorým sa poskytla doplnková ochrana. Integračný príspevok sa bude poskytovať vo výške 1,5-násobku sumy životného minima podľa osobitného predpisu (zákon o životnom minime) s tým, že sa budú spoločne posudzovať rodinní príslušníci žijúci v spoločnej domácnosti. </w:t>
      </w:r>
      <w:r w:rsidRPr="00261CEE">
        <w:rPr>
          <w:rFonts w:ascii="Times New Roman" w:eastAsia="Times New Roman" w:hAnsi="Times New Roman" w:cs="Times New Roman"/>
          <w:bCs/>
          <w:sz w:val="24"/>
          <w:szCs w:val="24"/>
          <w:lang w:eastAsia="cs-CZ"/>
        </w:rPr>
        <w:t>Integračný príspevok sa bude poskytovať šesť</w:t>
      </w:r>
      <w:r w:rsidRPr="00261CEE">
        <w:rPr>
          <w:rFonts w:ascii="Times New Roman" w:eastAsia="Times New Roman" w:hAnsi="Times New Roman" w:cs="Times New Roman"/>
          <w:sz w:val="24"/>
          <w:szCs w:val="24"/>
          <w:lang w:eastAsia="sk-SK"/>
        </w:rPr>
        <w:t xml:space="preserve"> po sebe nasledujúcich mesiacov. </w:t>
      </w:r>
      <w:r w:rsidRPr="00261CEE">
        <w:rPr>
          <w:rFonts w:ascii="Times New Roman" w:eastAsia="Times New Roman" w:hAnsi="Times New Roman" w:cs="Times New Roman"/>
          <w:sz w:val="24"/>
          <w:szCs w:val="24"/>
          <w:lang w:eastAsia="cs-CZ"/>
        </w:rPr>
        <w:t>V prípade integračného príspevku ide o sformalizovanie obdobného príspevku, ktorý sa už v súčasnosti v Slovenskej republike v porovnateľnej výške poskytuje azylantom a cudzincom, ktorým sa poskytla doplnková ochrana, v rámci integračného projektu financovaného z prostriedkov Fondu pre azyl, migráciu a integráciu.</w:t>
      </w:r>
    </w:p>
    <w:p w:rsidR="00261CEE" w:rsidRPr="00261CEE" w:rsidRDefault="00261CEE" w:rsidP="00261CEE">
      <w:pPr>
        <w:spacing w:after="0" w:line="240" w:lineRule="auto"/>
        <w:ind w:left="708"/>
        <w:jc w:val="both"/>
        <w:rPr>
          <w:rFonts w:ascii="Times New Roman" w:eastAsia="Calibri" w:hAnsi="Times New Roman" w:cs="Times New Roman"/>
          <w:sz w:val="24"/>
          <w:szCs w:val="24"/>
        </w:rPr>
      </w:pPr>
      <w:r w:rsidRPr="00261CEE">
        <w:rPr>
          <w:rFonts w:ascii="Times New Roman" w:eastAsia="Calibri" w:hAnsi="Times New Roman" w:cs="Times New Roman"/>
          <w:sz w:val="24"/>
          <w:szCs w:val="24"/>
        </w:rPr>
        <w:t>Suma integračného príspevku na účely tejto doložky je vypočítaná len pre plnoleté fyzické osoby, avšak táto suma môže byť nižšia v závislosti od zloženia osôb, ktorým bude udelená medzinárodná ochrana (maloleté deti, rodiny s deťmi, atď.).</w:t>
      </w:r>
    </w:p>
    <w:p w:rsidR="00261CEE" w:rsidRPr="00261CEE" w:rsidRDefault="00261CEE" w:rsidP="00261CEE">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V roku 2022 (od navrhovanej účinnosti zákona 01. 06. 2022) predpokladáme udelenie 25 medzinárodných ochrán, t.j. výpočet sumy je nasledovný: 229,36€x1,5= 344,04€ (výška príspevku)x25osôbx 6 mesiacov=51.606€.</w:t>
      </w:r>
    </w:p>
    <w:p w:rsidR="00261CEE" w:rsidRPr="00261CEE" w:rsidRDefault="00261CEE" w:rsidP="00261CEE">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V roku 2023 predpokladáme udelenie medzinárodnej ochrany 50 osobám, t.j. ide o sumu 229,36€x1,5= 344,04€ (výška príspevku)x25osôbx 6 mesiacov=51.606€ + 236,55€x1,5= 354,83€ (výška príspevku)x25osôbx 6 mesiacov=53.224,50€ spolu 104.830,50€.</w:t>
      </w:r>
    </w:p>
    <w:p w:rsidR="00261CEE" w:rsidRPr="00261CEE" w:rsidRDefault="00261CEE" w:rsidP="00261CEE">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V roku 2024 predpokladáme udelenie medzinárodnej ochrany 50 osobám, t.j. ide o sumu 236,55€x1,5=354,83€ (výška príspevku)x25osôbx 6 mesiacov=53.224,50€ + 240,21€x1,5= 360,32€ (výška príspevku)x25osôbx 6 mesiacov=54.048€ spolu 107.272,50€.</w:t>
      </w:r>
    </w:p>
    <w:p w:rsidR="00261CEE" w:rsidRPr="00261CEE" w:rsidRDefault="00261CEE" w:rsidP="00261CEE">
      <w:pPr>
        <w:spacing w:after="240" w:line="240" w:lineRule="auto"/>
        <w:ind w:left="708"/>
        <w:jc w:val="both"/>
        <w:rPr>
          <w:rFonts w:ascii="Times New Roman" w:eastAsia="Calibri" w:hAnsi="Times New Roman" w:cs="Times New Roman"/>
          <w:sz w:val="24"/>
          <w:szCs w:val="24"/>
        </w:rPr>
      </w:pP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u w:val="single"/>
          <w:lang w:eastAsia="sk-SK"/>
        </w:rPr>
        <w:t>Poznámka</w:t>
      </w:r>
      <w:r w:rsidRPr="00261CEE">
        <w:rPr>
          <w:rFonts w:ascii="Times New Roman" w:eastAsia="Times New Roman" w:hAnsi="Times New Roman" w:cs="Times New Roman"/>
          <w:bCs/>
          <w:sz w:val="24"/>
          <w:szCs w:val="24"/>
          <w:lang w:eastAsia="sk-SK"/>
        </w:rPr>
        <w:t>: Udelením medzinárodnej ochrany na účely tejto analýzy sa rozumie aj udelenie azylu z humanitných dôvodov, udelenie azylu na účel zlúčenia rodiny a poskytnutie doplnkovej ochrany na účel zlúčenia rodiny.</w:t>
      </w:r>
    </w:p>
    <w:p w:rsidR="00261CEE" w:rsidRPr="00261CEE" w:rsidRDefault="00261CEE" w:rsidP="00261CEE">
      <w:pPr>
        <w:spacing w:after="0" w:line="240" w:lineRule="auto"/>
        <w:jc w:val="both"/>
        <w:rPr>
          <w:rFonts w:ascii="Times New Roman" w:eastAsia="Times New Roman" w:hAnsi="Times New Roman" w:cs="Times New Roman"/>
          <w:bCs/>
          <w:sz w:val="24"/>
          <w:szCs w:val="24"/>
          <w:u w:val="single"/>
          <w:lang w:eastAsia="sk-SK"/>
        </w:rPr>
      </w:pPr>
      <w:r w:rsidRPr="00261CEE">
        <w:rPr>
          <w:rFonts w:ascii="Times New Roman" w:eastAsia="Times New Roman" w:hAnsi="Times New Roman" w:cs="Times New Roman"/>
          <w:bCs/>
          <w:sz w:val="24"/>
          <w:szCs w:val="24"/>
          <w:lang w:eastAsia="sk-SK"/>
        </w:rPr>
        <w:t>Účinnosť návrhu zákona je od 1.6.2022, ale pre výpočet výšky príspevku v roku 2022 už bola použitá predpokladaná valorizovaná suma životného minima pre jednu plnoletú fyzickú osobu platná od 1.7.2022 – 229,36€, a nie suma životného minima platná od 1.7.2021 – 218,06€.</w:t>
      </w: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pP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sectPr w:rsidR="00261CEE" w:rsidRPr="00261CEE" w:rsidSect="008D53D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pgNumType w:start="1"/>
          <w:cols w:space="708"/>
          <w:docGrid w:linePitch="360"/>
        </w:sectPr>
      </w:pPr>
    </w:p>
    <w:p w:rsidR="00261CEE" w:rsidRPr="00261CEE" w:rsidRDefault="00261CEE" w:rsidP="00261CEE">
      <w:pPr>
        <w:tabs>
          <w:tab w:val="num" w:pos="1080"/>
        </w:tabs>
        <w:spacing w:after="0" w:line="240" w:lineRule="auto"/>
        <w:jc w:val="right"/>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lastRenderedPageBreak/>
        <w:t xml:space="preserve">Tabuľka č. 3 </w:t>
      </w: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61CEE" w:rsidRPr="00261CEE" w:rsidTr="00261CE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Príjmy</w:t>
            </w:r>
          </w:p>
        </w:tc>
        <w:tc>
          <w:tcPr>
            <w:tcW w:w="6000" w:type="dxa"/>
            <w:gridSpan w:val="4"/>
            <w:tcBorders>
              <w:top w:val="single" w:sz="4" w:space="0" w:color="auto"/>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poznámka</w:t>
            </w:r>
          </w:p>
        </w:tc>
      </w:tr>
      <w:tr w:rsidR="00261CEE" w:rsidRPr="00261CEE" w:rsidTr="00261CE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61CEE" w:rsidRPr="00261CEE" w:rsidRDefault="00261CEE" w:rsidP="00261CEE">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261CEE" w:rsidRPr="00261CEE" w:rsidRDefault="00261CEE" w:rsidP="00261CEE">
            <w:pPr>
              <w:spacing w:after="0" w:line="240" w:lineRule="auto"/>
              <w:rPr>
                <w:rFonts w:ascii="Times New Roman" w:eastAsia="Times New Roman" w:hAnsi="Times New Roman" w:cs="Times New Roman"/>
                <w:b/>
                <w:bCs/>
                <w:color w:val="FFFFFF"/>
                <w:sz w:val="24"/>
                <w:szCs w:val="24"/>
                <w:lang w:eastAsia="sk-SK"/>
              </w:rPr>
            </w:pPr>
          </w:p>
        </w:tc>
      </w:tr>
      <w:tr w:rsidR="00261CEE" w:rsidRPr="00261CEE" w:rsidTr="008D53DB">
        <w:trPr>
          <w:trHeight w:val="255"/>
        </w:trPr>
        <w:tc>
          <w:tcPr>
            <w:tcW w:w="495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vertAlign w:val="superscript"/>
                <w:lang w:eastAsia="sk-SK"/>
              </w:rPr>
            </w:pPr>
            <w:r w:rsidRPr="00261CEE">
              <w:rPr>
                <w:rFonts w:ascii="Times New Roman" w:eastAsia="Times New Roman" w:hAnsi="Times New Roman" w:cs="Times New Roman"/>
                <w:b/>
                <w:bCs/>
                <w:sz w:val="24"/>
                <w:szCs w:val="24"/>
                <w:lang w:eastAsia="sk-SK"/>
              </w:rPr>
              <w:t>Daňové príjmy (100)</w:t>
            </w:r>
            <w:r w:rsidRPr="00261CEE">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495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Nedaňové príjmy (200)</w:t>
            </w:r>
            <w:r w:rsidRPr="00261CEE">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495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Granty a transfery (300)</w:t>
            </w:r>
            <w:r w:rsidRPr="00261CEE">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495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0 </w:t>
            </w:r>
          </w:p>
        </w:tc>
        <w:tc>
          <w:tcPr>
            <w:tcW w:w="300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495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261CEE">
        <w:trPr>
          <w:trHeight w:val="255"/>
        </w:trPr>
        <w:tc>
          <w:tcPr>
            <w:tcW w:w="4950" w:type="dxa"/>
            <w:tcBorders>
              <w:top w:val="nil"/>
              <w:left w:val="single" w:sz="4" w:space="0" w:color="auto"/>
              <w:bottom w:val="single" w:sz="4" w:space="0" w:color="auto"/>
              <w:right w:val="single" w:sz="4" w:space="0" w:color="auto"/>
            </w:tcBorders>
            <w:shd w:val="clear" w:color="auto" w:fill="BFBFBF"/>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bl>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0"/>
          <w:szCs w:val="20"/>
          <w:lang w:eastAsia="sk-SK"/>
        </w:rPr>
      </w:pPr>
      <w:r w:rsidRPr="00261CEE">
        <w:rPr>
          <w:rFonts w:ascii="Times New Roman" w:eastAsia="Times New Roman" w:hAnsi="Times New Roman" w:cs="Times New Roman"/>
          <w:bCs/>
          <w:sz w:val="20"/>
          <w:szCs w:val="20"/>
          <w:lang w:eastAsia="sk-SK"/>
        </w:rPr>
        <w:t>1 –  príjmy rozpísať až do položiek platnej ekonomickej klasifikácie</w:t>
      </w: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pPr>
    </w:p>
    <w:p w:rsidR="00261CEE" w:rsidRPr="00261CEE" w:rsidRDefault="00261CEE" w:rsidP="00261CEE">
      <w:pPr>
        <w:tabs>
          <w:tab w:val="num" w:pos="1080"/>
        </w:tabs>
        <w:spacing w:after="0" w:line="240" w:lineRule="auto"/>
        <w:jc w:val="both"/>
        <w:rPr>
          <w:rFonts w:ascii="Times New Roman" w:eastAsia="Times New Roman" w:hAnsi="Times New Roman" w:cs="Times New Roman"/>
          <w:b/>
          <w:bCs/>
          <w:sz w:val="24"/>
          <w:szCs w:val="20"/>
          <w:lang w:eastAsia="sk-SK"/>
        </w:rPr>
      </w:pPr>
      <w:r w:rsidRPr="00261CEE">
        <w:rPr>
          <w:rFonts w:ascii="Times New Roman" w:eastAsia="Times New Roman" w:hAnsi="Times New Roman" w:cs="Times New Roman"/>
          <w:b/>
          <w:bCs/>
          <w:sz w:val="24"/>
          <w:szCs w:val="20"/>
          <w:lang w:eastAsia="sk-SK"/>
        </w:rPr>
        <w:t>Poznámka:</w:t>
      </w: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pPr>
      <w:r w:rsidRPr="00261CEE">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 xml:space="preserve"> </w:t>
      </w: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61CEE" w:rsidRPr="00261CEE" w:rsidRDefault="00261CEE" w:rsidP="00261CEE">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lastRenderedPageBreak/>
        <w:t xml:space="preserve">Tabuľka č. 4 </w:t>
      </w: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61CEE" w:rsidRPr="00261CEE" w:rsidTr="00261CE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poznámka</w:t>
            </w:r>
          </w:p>
        </w:tc>
      </w:tr>
      <w:tr w:rsidR="00261CEE" w:rsidRPr="00261CEE" w:rsidTr="00261CE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261CEE" w:rsidRPr="00261CEE" w:rsidRDefault="00261CEE" w:rsidP="00261CEE">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261CEE" w:rsidRPr="00261CEE" w:rsidRDefault="00261CEE" w:rsidP="00261CEE">
            <w:pPr>
              <w:spacing w:after="0" w:line="240" w:lineRule="auto"/>
              <w:rPr>
                <w:rFonts w:ascii="Times New Roman" w:eastAsia="Times New Roman" w:hAnsi="Times New Roman" w:cs="Times New Roman"/>
                <w:b/>
                <w:bCs/>
                <w:color w:val="FFFFFF"/>
                <w:sz w:val="24"/>
                <w:szCs w:val="24"/>
                <w:lang w:eastAsia="sk-SK"/>
              </w:rPr>
            </w:pP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Calibri" w:eastAsia="Calibri" w:hAnsi="Calibri" w:cs="Times New Roman"/>
                <w:b/>
                <w:bCs/>
              </w:rPr>
              <w:t>68.808</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Calibri" w:eastAsia="Calibri" w:hAnsi="Calibri" w:cs="Times New Roman"/>
                <w:b/>
                <w:bCs/>
              </w:rPr>
              <w:t>139.773,75</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Calibri" w:eastAsia="Calibri" w:hAnsi="Calibri" w:cs="Times New Roman"/>
                <w:b/>
                <w:bCs/>
              </w:rPr>
              <w:t>143.029,50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0"/>
                <w:szCs w:val="20"/>
                <w:vertAlign w:val="superscript"/>
                <w:lang w:eastAsia="sk-SK"/>
              </w:rPr>
            </w:pPr>
            <w:r w:rsidRPr="00261CEE">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0"/>
                <w:szCs w:val="20"/>
                <w:vertAlign w:val="superscript"/>
                <w:lang w:eastAsia="sk-SK"/>
              </w:rPr>
            </w:pPr>
            <w:r w:rsidRPr="00261CEE">
              <w:rPr>
                <w:rFonts w:ascii="Times New Roman" w:eastAsia="Times New Roman" w:hAnsi="Times New Roman" w:cs="Times New Roman"/>
                <w:sz w:val="20"/>
                <w:szCs w:val="20"/>
                <w:lang w:eastAsia="sk-SK"/>
              </w:rPr>
              <w:t xml:space="preserve">  Tovary a služby (630)</w:t>
            </w:r>
            <w:r w:rsidRPr="00261CEE">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0"/>
                <w:szCs w:val="20"/>
                <w:vertAlign w:val="superscript"/>
                <w:lang w:eastAsia="sk-SK"/>
              </w:rPr>
            </w:pPr>
            <w:r w:rsidRPr="00261CEE">
              <w:rPr>
                <w:rFonts w:ascii="Times New Roman" w:eastAsia="Times New Roman" w:hAnsi="Times New Roman" w:cs="Times New Roman"/>
                <w:sz w:val="20"/>
                <w:szCs w:val="20"/>
                <w:lang w:eastAsia="sk-SK"/>
              </w:rPr>
              <w:t xml:space="preserve">  Bežné transfery (640)</w:t>
            </w:r>
            <w:r w:rsidRPr="00261CEE">
              <w:rPr>
                <w:rFonts w:ascii="Times New Roman" w:eastAsia="Times New Roman" w:hAnsi="Times New Roman" w:cs="Times New Roman"/>
                <w:sz w:val="20"/>
                <w:szCs w:val="20"/>
                <w:vertAlign w:val="superscript"/>
                <w:lang w:eastAsia="sk-SK"/>
              </w:rPr>
              <w:t>2</w:t>
            </w:r>
          </w:p>
          <w:p w:rsidR="00261CEE" w:rsidRPr="00261CEE" w:rsidRDefault="00261CEE" w:rsidP="00261CEE">
            <w:pPr>
              <w:numPr>
                <w:ilvl w:val="0"/>
                <w:numId w:val="5"/>
              </w:numPr>
              <w:spacing w:after="0" w:line="240" w:lineRule="auto"/>
              <w:contextualSpacing/>
              <w:rPr>
                <w:rFonts w:ascii="Times New Roman" w:eastAsia="Times New Roman" w:hAnsi="Times New Roman" w:cs="Times New Roman"/>
                <w:sz w:val="20"/>
                <w:szCs w:val="20"/>
                <w:lang w:eastAsia="sk-SK"/>
              </w:rPr>
            </w:pPr>
            <w:r w:rsidRPr="00261CEE">
              <w:rPr>
                <w:rFonts w:ascii="Times New Roman" w:eastAsia="Times New Roman" w:hAnsi="Times New Roman" w:cs="Times New Roman"/>
                <w:bCs/>
                <w:sz w:val="20"/>
                <w:szCs w:val="24"/>
                <w:lang w:eastAsia="cs-CZ"/>
              </w:rPr>
              <w:t>642014 Jednotlivci</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Calibri" w:eastAsia="Calibri" w:hAnsi="Calibri" w:cs="Times New Roman"/>
                <w:b/>
                <w:bCs/>
              </w:rPr>
              <w:t>68.808</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Calibri" w:eastAsia="Calibri" w:hAnsi="Calibri" w:cs="Times New Roman"/>
                <w:b/>
                <w:bCs/>
              </w:rPr>
              <w:t>139.773,75</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Calibri" w:eastAsia="Calibri" w:hAnsi="Calibri" w:cs="Times New Roman"/>
                <w:b/>
                <w:bCs/>
              </w:rPr>
              <w:t>143.029,50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vAlign w:val="center"/>
          </w:tcPr>
          <w:p w:rsidR="00261CEE" w:rsidRPr="00261CEE" w:rsidRDefault="00261CEE" w:rsidP="00261CEE">
            <w:pPr>
              <w:spacing w:after="0" w:line="240" w:lineRule="auto"/>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 xml:space="preserve">  Splácanie úrokov a ostatné platby súvisiace s </w:t>
            </w:r>
            <w:r w:rsidRPr="00261CEE">
              <w:rPr>
                <w:rFonts w:ascii="Calibri" w:eastAsia="Calibri" w:hAnsi="Calibri" w:cs="Times New Roman"/>
              </w:rPr>
              <w:t xml:space="preserve"> </w:t>
            </w:r>
            <w:r w:rsidRPr="00261CEE">
              <w:rPr>
                <w:rFonts w:ascii="Times New Roman" w:eastAsia="Times New Roman" w:hAnsi="Times New Roman" w:cs="Times New Roman"/>
                <w:sz w:val="20"/>
                <w:szCs w:val="20"/>
                <w:lang w:eastAsia="sk-SK"/>
              </w:rPr>
              <w:t>úverom, pôžičkou, návratnou finančnou výpomocou a finančným prenájmom (650)</w:t>
            </w:r>
            <w:r w:rsidRPr="00261CEE">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 xml:space="preserve">  Obstarávanie kapitálových aktív (710)</w:t>
            </w:r>
            <w:r w:rsidRPr="00261CEE">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 xml:space="preserve">  Kapitálové transfery (720)</w:t>
            </w:r>
            <w:r w:rsidRPr="00261CEE">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Times New Roman" w:eastAsia="Times New Roman" w:hAnsi="Times New Roman" w:cs="Times New Roman"/>
                <w:sz w:val="20"/>
                <w:szCs w:val="20"/>
                <w:lang w:eastAsia="sk-SK"/>
              </w:rPr>
            </w:pPr>
            <w:r w:rsidRPr="00261CEE">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7070"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0 </w:t>
            </w:r>
          </w:p>
        </w:tc>
        <w:tc>
          <w:tcPr>
            <w:tcW w:w="154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0 </w:t>
            </w:r>
          </w:p>
        </w:tc>
        <w:tc>
          <w:tcPr>
            <w:tcW w:w="1540" w:type="dxa"/>
            <w:tcBorders>
              <w:top w:val="nil"/>
              <w:left w:val="nil"/>
              <w:bottom w:val="single" w:sz="4" w:space="0" w:color="auto"/>
              <w:right w:val="single" w:sz="4" w:space="0" w:color="auto"/>
            </w:tcBorders>
            <w:shd w:val="clear" w:color="auto" w:fill="FFFF99"/>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0 </w:t>
            </w:r>
          </w:p>
        </w:tc>
        <w:tc>
          <w:tcPr>
            <w:tcW w:w="2220" w:type="dxa"/>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261CE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261CEE" w:rsidRPr="00261CEE" w:rsidRDefault="00261CEE" w:rsidP="00261CEE">
            <w:pPr>
              <w:spacing w:after="0" w:line="240" w:lineRule="auto"/>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Calibri" w:eastAsia="Calibri" w:hAnsi="Calibri" w:cs="Times New Roman"/>
                <w:b/>
                <w:bCs/>
              </w:rPr>
              <w:t>68.808</w:t>
            </w:r>
          </w:p>
        </w:tc>
        <w:tc>
          <w:tcPr>
            <w:tcW w:w="1540" w:type="dxa"/>
            <w:tcBorders>
              <w:top w:val="single" w:sz="4" w:space="0" w:color="auto"/>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0"/>
                <w:szCs w:val="20"/>
                <w:lang w:eastAsia="sk-SK"/>
              </w:rPr>
            </w:pPr>
            <w:r w:rsidRPr="00261CEE">
              <w:rPr>
                <w:rFonts w:ascii="Calibri" w:eastAsia="Calibri" w:hAnsi="Calibri" w:cs="Times New Roman"/>
                <w:b/>
                <w:bCs/>
              </w:rPr>
              <w:t>139.773,75</w:t>
            </w:r>
          </w:p>
        </w:tc>
        <w:tc>
          <w:tcPr>
            <w:tcW w:w="1540" w:type="dxa"/>
            <w:tcBorders>
              <w:top w:val="single" w:sz="4" w:space="0" w:color="auto"/>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Calibri" w:eastAsia="Calibri" w:hAnsi="Calibri" w:cs="Times New Roman"/>
                <w:b/>
                <w:bCs/>
              </w:rPr>
              <w:t>143.029,50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bl>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261CEE">
        <w:rPr>
          <w:rFonts w:ascii="Times New Roman" w:eastAsia="Times New Roman" w:hAnsi="Times New Roman" w:cs="Times New Roman"/>
          <w:bCs/>
          <w:sz w:val="20"/>
          <w:szCs w:val="20"/>
          <w:lang w:eastAsia="sk-SK"/>
        </w:rPr>
        <w:t>2 –  výdavky rozpísať až do položiek platnej ekonomickej klasifikácie</w:t>
      </w: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261CEE">
        <w:rPr>
          <w:rFonts w:ascii="Times New Roman" w:eastAsia="Times New Roman" w:hAnsi="Times New Roman" w:cs="Times New Roman"/>
          <w:b/>
          <w:bCs/>
          <w:sz w:val="24"/>
          <w:szCs w:val="20"/>
          <w:lang w:eastAsia="sk-SK"/>
        </w:rPr>
        <w:t>Poznámka:</w:t>
      </w: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261CEE">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61CEE" w:rsidRPr="00261CEE" w:rsidRDefault="00261CEE" w:rsidP="00261CEE">
      <w:pPr>
        <w:tabs>
          <w:tab w:val="num" w:pos="1080"/>
        </w:tabs>
        <w:spacing w:after="0" w:line="240" w:lineRule="auto"/>
        <w:jc w:val="right"/>
        <w:rPr>
          <w:rFonts w:ascii="Times New Roman" w:eastAsia="Times New Roman" w:hAnsi="Times New Roman" w:cs="Times New Roman"/>
          <w:bCs/>
          <w:sz w:val="24"/>
          <w:szCs w:val="24"/>
          <w:lang w:eastAsia="sk-SK"/>
        </w:rPr>
      </w:pPr>
      <w:r w:rsidRPr="00261CEE">
        <w:rPr>
          <w:rFonts w:ascii="Times New Roman" w:eastAsia="Times New Roman" w:hAnsi="Times New Roman" w:cs="Times New Roman"/>
          <w:bCs/>
          <w:sz w:val="24"/>
          <w:szCs w:val="24"/>
          <w:lang w:eastAsia="sk-SK"/>
        </w:rPr>
        <w:t xml:space="preserve">                 Tabuľka č. 5 </w:t>
      </w:r>
    </w:p>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261CEE" w:rsidRPr="00261CEE" w:rsidTr="00261CE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poznámka</w:t>
            </w:r>
          </w:p>
        </w:tc>
      </w:tr>
      <w:tr w:rsidR="00261CEE" w:rsidRPr="00261CEE" w:rsidTr="00261CE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261CEE" w:rsidRPr="00261CEE" w:rsidRDefault="00261CEE" w:rsidP="00261CEE">
            <w:pPr>
              <w:spacing w:after="0" w:line="240" w:lineRule="auto"/>
              <w:rPr>
                <w:rFonts w:ascii="Times New Roman" w:eastAsia="Times New Roman" w:hAnsi="Times New Roman" w:cs="Times New Roman"/>
                <w:b/>
                <w:bCs/>
                <w:color w:val="FFFFFF"/>
                <w:sz w:val="24"/>
                <w:szCs w:val="24"/>
                <w:lang w:eastAsia="sk-SK"/>
              </w:rPr>
            </w:pPr>
          </w:p>
        </w:tc>
      </w:tr>
      <w:tr w:rsidR="00261CEE" w:rsidRPr="00261CEE" w:rsidTr="008D53DB">
        <w:trPr>
          <w:trHeight w:val="255"/>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8D53DB">
        <w:trPr>
          <w:trHeight w:val="255"/>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8D53DB">
        <w:trPr>
          <w:trHeight w:val="255"/>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8D53DB">
        <w:trPr>
          <w:trHeight w:val="354"/>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261CEE">
        <w:trPr>
          <w:trHeight w:val="255"/>
        </w:trPr>
        <w:tc>
          <w:tcPr>
            <w:tcW w:w="6188" w:type="dxa"/>
            <w:tcBorders>
              <w:top w:val="nil"/>
              <w:left w:val="single" w:sz="4" w:space="0" w:color="auto"/>
              <w:bottom w:val="single" w:sz="4" w:space="0" w:color="auto"/>
              <w:right w:val="single" w:sz="4" w:space="0" w:color="auto"/>
            </w:tcBorders>
            <w:shd w:val="clear" w:color="auto" w:fill="BFBFBF"/>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261CEE" w:rsidRPr="00261CEE" w:rsidRDefault="00261CEE" w:rsidP="00261CEE">
            <w:pPr>
              <w:spacing w:after="0" w:line="240" w:lineRule="auto"/>
              <w:jc w:val="center"/>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w:t>
            </w:r>
          </w:p>
        </w:tc>
      </w:tr>
      <w:tr w:rsidR="00261CEE" w:rsidRPr="00261CEE" w:rsidTr="008D53DB">
        <w:trPr>
          <w:trHeight w:val="255"/>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w:t>
            </w:r>
          </w:p>
        </w:tc>
      </w:tr>
      <w:tr w:rsidR="00261CEE" w:rsidRPr="00261CEE" w:rsidTr="008D53DB">
        <w:trPr>
          <w:trHeight w:val="255"/>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 </w:t>
            </w:r>
          </w:p>
        </w:tc>
      </w:tr>
      <w:tr w:rsidR="00261CEE" w:rsidRPr="00261CEE" w:rsidTr="008D53DB">
        <w:trPr>
          <w:trHeight w:val="255"/>
        </w:trPr>
        <w:tc>
          <w:tcPr>
            <w:tcW w:w="6188" w:type="dxa"/>
            <w:tcBorders>
              <w:top w:val="nil"/>
              <w:left w:val="single" w:sz="4" w:space="0" w:color="auto"/>
              <w:bottom w:val="single" w:sz="4" w:space="0" w:color="auto"/>
              <w:right w:val="single" w:sz="4" w:space="0" w:color="auto"/>
            </w:tcBorders>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261CEE" w:rsidRPr="00261CEE" w:rsidRDefault="00261CEE" w:rsidP="00261CEE">
            <w:pPr>
              <w:spacing w:after="0" w:line="240" w:lineRule="auto"/>
              <w:jc w:val="center"/>
              <w:rPr>
                <w:rFonts w:ascii="Calibri" w:eastAsia="Calibri" w:hAnsi="Calibri" w:cs="Times New Roman"/>
              </w:rPr>
            </w:pPr>
            <w:r w:rsidRPr="00261CEE">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 </w:t>
            </w:r>
          </w:p>
        </w:tc>
      </w:tr>
      <w:tr w:rsidR="00261CEE" w:rsidRPr="00261CEE" w:rsidTr="008D53DB">
        <w:trPr>
          <w:trHeight w:val="255"/>
        </w:trPr>
        <w:tc>
          <w:tcPr>
            <w:tcW w:w="6188"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8D53DB">
        <w:trPr>
          <w:trHeight w:val="255"/>
        </w:trPr>
        <w:tc>
          <w:tcPr>
            <w:tcW w:w="6188" w:type="dxa"/>
            <w:tcBorders>
              <w:top w:val="nil"/>
              <w:left w:val="nil"/>
              <w:bottom w:val="nil"/>
              <w:right w:val="nil"/>
            </w:tcBorders>
          </w:tcPr>
          <w:p w:rsidR="00261CEE" w:rsidRPr="00261CEE" w:rsidRDefault="00261CEE" w:rsidP="00261CEE">
            <w:pPr>
              <w:spacing w:after="0" w:line="240" w:lineRule="auto"/>
              <w:rPr>
                <w:rFonts w:ascii="Times New Roman" w:eastAsia="Times New Roman" w:hAnsi="Times New Roman" w:cs="Times New Roman"/>
                <w:b/>
                <w:bCs/>
                <w:sz w:val="24"/>
                <w:szCs w:val="24"/>
                <w:lang w:eastAsia="sk-SK"/>
              </w:rPr>
            </w:pPr>
            <w:r w:rsidRPr="00261CEE">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8D53DB">
        <w:trPr>
          <w:trHeight w:val="255"/>
        </w:trPr>
        <w:tc>
          <w:tcPr>
            <w:tcW w:w="13814" w:type="dxa"/>
            <w:gridSpan w:val="6"/>
            <w:tcBorders>
              <w:top w:val="nil"/>
              <w:left w:val="nil"/>
              <w:bottom w:val="nil"/>
              <w:right w:val="nil"/>
            </w:tcBorders>
            <w:noWrap/>
          </w:tcPr>
          <w:p w:rsidR="00261CEE" w:rsidRPr="00261CEE" w:rsidRDefault="00261CEE" w:rsidP="00261CEE">
            <w:pPr>
              <w:tabs>
                <w:tab w:val="num" w:pos="1080"/>
              </w:tabs>
              <w:spacing w:after="0" w:line="240" w:lineRule="auto"/>
              <w:jc w:val="both"/>
              <w:rPr>
                <w:rFonts w:ascii="Times New Roman" w:eastAsia="Times New Roman" w:hAnsi="Times New Roman" w:cs="Times New Roman"/>
                <w:bCs/>
                <w:sz w:val="24"/>
                <w:szCs w:val="20"/>
                <w:lang w:eastAsia="sk-SK"/>
              </w:rPr>
            </w:pPr>
            <w:r w:rsidRPr="00261CEE">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r w:rsidR="00261CEE" w:rsidRPr="00261CEE" w:rsidTr="008D53DB">
        <w:trPr>
          <w:trHeight w:val="255"/>
        </w:trPr>
        <w:tc>
          <w:tcPr>
            <w:tcW w:w="10394" w:type="dxa"/>
            <w:gridSpan w:val="4"/>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r w:rsidRPr="00261CEE">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261CEE" w:rsidRPr="00261CEE" w:rsidRDefault="00261CEE" w:rsidP="00261CEE">
            <w:pPr>
              <w:spacing w:after="0" w:line="240" w:lineRule="auto"/>
              <w:rPr>
                <w:rFonts w:ascii="Times New Roman" w:eastAsia="Times New Roman" w:hAnsi="Times New Roman" w:cs="Times New Roman"/>
                <w:sz w:val="24"/>
                <w:szCs w:val="24"/>
                <w:lang w:eastAsia="sk-SK"/>
              </w:rPr>
            </w:pPr>
          </w:p>
        </w:tc>
      </w:tr>
    </w:tbl>
    <w:p w:rsidR="00261CEE" w:rsidRPr="00261CEE" w:rsidRDefault="00261CEE" w:rsidP="00261CEE">
      <w:pPr>
        <w:spacing w:after="200" w:line="240" w:lineRule="auto"/>
        <w:rPr>
          <w:rFonts w:ascii="Calibri" w:eastAsia="Calibri" w:hAnsi="Calibri" w:cs="Times New Roman"/>
        </w:rPr>
      </w:pPr>
    </w:p>
    <w:p w:rsidR="00436132" w:rsidRDefault="00436132">
      <w:pPr>
        <w:sectPr w:rsidR="00436132" w:rsidSect="00436132">
          <w:footerReference w:type="default" r:id="rId17"/>
          <w:pgSz w:w="16838" w:h="11906" w:orient="landscape"/>
          <w:pgMar w:top="1417" w:right="1417" w:bottom="1417" w:left="1417" w:header="708" w:footer="708"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436132" w:rsidRPr="002644DE" w:rsidTr="008D53DB">
        <w:trPr>
          <w:trHeight w:val="534"/>
          <w:jc w:val="center"/>
        </w:trPr>
        <w:tc>
          <w:tcPr>
            <w:tcW w:w="5000" w:type="pct"/>
            <w:gridSpan w:val="3"/>
            <w:tcBorders>
              <w:bottom w:val="single" w:sz="4" w:space="0" w:color="auto"/>
            </w:tcBorders>
            <w:shd w:val="clear" w:color="auto" w:fill="808080" w:themeFill="background1" w:themeFillShade="80"/>
          </w:tcPr>
          <w:p w:rsidR="00436132" w:rsidRPr="002644DE" w:rsidRDefault="00436132" w:rsidP="008D53DB">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436132" w:rsidRPr="002644DE" w:rsidRDefault="00436132" w:rsidP="008D53DB">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436132" w:rsidRPr="002644DE" w:rsidRDefault="00436132" w:rsidP="008D53DB">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436132" w:rsidRPr="002644DE" w:rsidTr="008D53DB">
        <w:trPr>
          <w:jc w:val="center"/>
        </w:trPr>
        <w:tc>
          <w:tcPr>
            <w:tcW w:w="5000" w:type="pct"/>
            <w:gridSpan w:val="3"/>
            <w:tcBorders>
              <w:bottom w:val="single" w:sz="4" w:space="0" w:color="auto"/>
            </w:tcBorders>
            <w:shd w:val="clear" w:color="auto" w:fill="A6A6A6" w:themeFill="background1" w:themeFillShade="A6"/>
          </w:tcPr>
          <w:p w:rsidR="00436132" w:rsidRPr="002644DE" w:rsidRDefault="00436132" w:rsidP="008D53DB">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436132" w:rsidRPr="002644DE" w:rsidTr="008D53DB">
        <w:trPr>
          <w:jc w:val="center"/>
        </w:trPr>
        <w:tc>
          <w:tcPr>
            <w:tcW w:w="5000" w:type="pct"/>
            <w:gridSpan w:val="3"/>
            <w:tcBorders>
              <w:bottom w:val="single" w:sz="4" w:space="0" w:color="auto"/>
            </w:tcBorders>
            <w:shd w:val="clear" w:color="auto" w:fill="F2F2F2"/>
          </w:tcPr>
          <w:p w:rsidR="00436132" w:rsidRPr="002644DE" w:rsidRDefault="00436132" w:rsidP="008D53DB">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436132" w:rsidRPr="002644DE" w:rsidRDefault="00436132" w:rsidP="008D53DB">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436132" w:rsidRPr="002644DE" w:rsidRDefault="00436132" w:rsidP="008D53DB">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436132" w:rsidRPr="002644DE" w:rsidRDefault="00436132" w:rsidP="008D53DB">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436132" w:rsidRPr="002644DE" w:rsidTr="008D53DB">
        <w:trPr>
          <w:trHeight w:val="170"/>
          <w:jc w:val="center"/>
        </w:trPr>
        <w:tc>
          <w:tcPr>
            <w:tcW w:w="129" w:type="pct"/>
            <w:tcBorders>
              <w:top w:val="single" w:sz="4" w:space="0" w:color="auto"/>
              <w:bottom w:val="single" w:sz="4" w:space="0" w:color="auto"/>
            </w:tcBorders>
            <w:shd w:val="clear" w:color="auto" w:fill="DDDDDD"/>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36132" w:rsidRPr="002644DE" w:rsidRDefault="00436132" w:rsidP="008D53DB">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436132" w:rsidRPr="002644DE" w:rsidTr="008D53DB">
        <w:trPr>
          <w:trHeight w:val="759"/>
          <w:jc w:val="center"/>
        </w:trPr>
        <w:tc>
          <w:tcPr>
            <w:tcW w:w="129" w:type="pct"/>
            <w:tcBorders>
              <w:top w:val="single" w:sz="4" w:space="0" w:color="auto"/>
              <w:bottom w:val="single" w:sz="4" w:space="0" w:color="auto"/>
            </w:tcBorders>
            <w:shd w:val="clear" w:color="auto" w:fill="auto"/>
            <w:vAlign w:val="center"/>
          </w:tcPr>
          <w:p w:rsidR="00436132" w:rsidRPr="002644DE" w:rsidRDefault="00436132" w:rsidP="008D53DB">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436132" w:rsidRPr="002644DE" w:rsidRDefault="00436132" w:rsidP="008D53D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36132" w:rsidRPr="001777CA" w:rsidRDefault="00436132" w:rsidP="008D53DB">
            <w:pPr>
              <w:spacing w:after="0" w:line="240" w:lineRule="auto"/>
              <w:contextualSpacing/>
              <w:jc w:val="both"/>
              <w:rPr>
                <w:rFonts w:ascii="Times New Roman" w:eastAsia="Calibri" w:hAnsi="Times New Roman" w:cs="Times New Roman"/>
                <w:i/>
                <w:sz w:val="20"/>
                <w:szCs w:val="20"/>
                <w:lang w:eastAsia="sk-SK"/>
              </w:rPr>
            </w:pPr>
            <w:r w:rsidRPr="001777CA">
              <w:rPr>
                <w:rFonts w:ascii="Times New Roman" w:eastAsia="Calibri" w:hAnsi="Times New Roman" w:cs="Times New Roman"/>
                <w:i/>
                <w:sz w:val="20"/>
                <w:szCs w:val="20"/>
                <w:lang w:eastAsia="sk-SK"/>
              </w:rPr>
              <w:t xml:space="preserve">Uvedený návrh bude mať pozitívny dopad na ovplyvnené skupiny, tým, že dôjde k zvýšeniu jednorazového príspevku pre azylantov, zavedeniu jednorazového príspevku v rovnakej výške aj pre cudzincov, ktorým sa poskytla doplnková ochrana a tiež zavedením integračného príspevku pre obe spomínané ovplyvnené skupiny. Pozitívny vplyv na žiadateľov o udelenie azylu bude mať </w:t>
            </w:r>
            <w:r>
              <w:rPr>
                <w:rFonts w:ascii="Times New Roman" w:eastAsia="Calibri" w:hAnsi="Times New Roman" w:cs="Times New Roman"/>
                <w:i/>
                <w:sz w:val="20"/>
                <w:szCs w:val="20"/>
                <w:lang w:eastAsia="sk-SK"/>
              </w:rPr>
              <w:t xml:space="preserve">skrátenie </w:t>
            </w:r>
            <w:r w:rsidRPr="001777CA">
              <w:rPr>
                <w:rFonts w:ascii="Times New Roman" w:eastAsia="Calibri" w:hAnsi="Times New Roman" w:cs="Times New Roman"/>
                <w:i/>
                <w:sz w:val="20"/>
                <w:szCs w:val="20"/>
                <w:lang w:eastAsia="sk-SK"/>
              </w:rPr>
              <w:t xml:space="preserve">lehoty vstupu na pracovný trh na 6 mesiacov od začatia konania. </w:t>
            </w:r>
          </w:p>
        </w:tc>
      </w:tr>
      <w:tr w:rsidR="00436132" w:rsidRPr="002644DE" w:rsidTr="008D53DB">
        <w:trPr>
          <w:trHeight w:val="397"/>
          <w:jc w:val="center"/>
        </w:trPr>
        <w:tc>
          <w:tcPr>
            <w:tcW w:w="129" w:type="pct"/>
            <w:vMerge w:val="restart"/>
            <w:tcBorders>
              <w:top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i/>
                <w:sz w:val="18"/>
                <w:szCs w:val="20"/>
                <w:lang w:eastAsia="sk-SK"/>
              </w:rPr>
            </w:pPr>
            <w:r w:rsidRPr="001777CA">
              <w:rPr>
                <w:rFonts w:ascii="Times New Roman" w:eastAsia="Calibri" w:hAnsi="Times New Roman" w:cs="Times New Roman"/>
                <w:i/>
                <w:sz w:val="18"/>
                <w:szCs w:val="20"/>
                <w:lang w:eastAsia="sk-SK"/>
              </w:rPr>
              <w:t>Ovplyvnená skupina č. 1 azylanti</w:t>
            </w:r>
          </w:p>
        </w:tc>
      </w:tr>
      <w:tr w:rsidR="00436132" w:rsidRPr="002644DE" w:rsidTr="008D53DB">
        <w:trPr>
          <w:trHeight w:val="397"/>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w:t>
            </w: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sz w:val="18"/>
                <w:szCs w:val="20"/>
                <w:lang w:eastAsia="sk-SK"/>
              </w:rPr>
            </w:pPr>
            <w:r w:rsidRPr="001777CA">
              <w:rPr>
                <w:rFonts w:ascii="Times New Roman" w:eastAsia="Calibri" w:hAnsi="Times New Roman" w:cs="Times New Roman"/>
                <w:i/>
                <w:sz w:val="18"/>
                <w:szCs w:val="20"/>
                <w:lang w:eastAsia="sk-SK"/>
              </w:rPr>
              <w:t>Ovplyvnená skupina č. 2 cudzinci, ktorým sa poskytla doplnková ochrana</w:t>
            </w:r>
          </w:p>
        </w:tc>
      </w:tr>
      <w:tr w:rsidR="00436132" w:rsidRPr="002644DE" w:rsidTr="008D53DB">
        <w:trPr>
          <w:trHeight w:val="397"/>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Default="00436132" w:rsidP="008D53DB">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i/>
                <w:sz w:val="18"/>
                <w:szCs w:val="20"/>
                <w:lang w:eastAsia="sk-SK"/>
              </w:rPr>
            </w:pPr>
            <w:r w:rsidRPr="001777CA">
              <w:rPr>
                <w:rFonts w:ascii="Times New Roman" w:eastAsia="Calibri" w:hAnsi="Times New Roman" w:cs="Times New Roman"/>
                <w:i/>
                <w:sz w:val="18"/>
                <w:szCs w:val="20"/>
                <w:lang w:eastAsia="sk-SK"/>
              </w:rPr>
              <w:t>Ovplyvnená skupina č. 3 žiadatelia o udelenie azylu</w:t>
            </w:r>
          </w:p>
        </w:tc>
      </w:tr>
      <w:tr w:rsidR="00436132" w:rsidRPr="002644DE" w:rsidTr="008D53DB">
        <w:trPr>
          <w:trHeight w:val="454"/>
          <w:jc w:val="center"/>
        </w:trPr>
        <w:tc>
          <w:tcPr>
            <w:tcW w:w="129" w:type="pct"/>
            <w:tcBorders>
              <w:top w:val="dotted" w:sz="4" w:space="0" w:color="auto"/>
            </w:tcBorders>
            <w:shd w:val="clear" w:color="auto" w:fill="F2F2F2"/>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36132" w:rsidRPr="002644DE" w:rsidTr="008D53DB">
        <w:trPr>
          <w:trHeight w:val="680"/>
          <w:jc w:val="center"/>
        </w:trPr>
        <w:tc>
          <w:tcPr>
            <w:tcW w:w="129" w:type="pct"/>
            <w:vMerge w:val="restart"/>
            <w:tcBorders>
              <w:top w:val="dotted"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436132" w:rsidRPr="002644DE" w:rsidRDefault="00436132" w:rsidP="00436132">
            <w:pPr>
              <w:numPr>
                <w:ilvl w:val="0"/>
                <w:numId w:val="8"/>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436132" w:rsidRPr="002644DE" w:rsidRDefault="00436132" w:rsidP="00436132">
            <w:pPr>
              <w:numPr>
                <w:ilvl w:val="0"/>
                <w:numId w:val="8"/>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sz w:val="18"/>
                <w:szCs w:val="20"/>
                <w:lang w:eastAsia="sk-SK"/>
              </w:rPr>
            </w:pPr>
            <w:r w:rsidRPr="001777CA">
              <w:rPr>
                <w:rFonts w:ascii="Times New Roman" w:eastAsia="Calibri" w:hAnsi="Times New Roman" w:cs="Times New Roman"/>
                <w:i/>
                <w:sz w:val="18"/>
                <w:szCs w:val="20"/>
                <w:lang w:eastAsia="sk-SK"/>
              </w:rPr>
              <w:t>Ovplyvnená skupina č. 1 azylanti – v prípade jednorazového príspevku ide o nárast o 100% (</w:t>
            </w:r>
            <w:r>
              <w:rPr>
                <w:rFonts w:ascii="Times New Roman" w:eastAsia="Calibri" w:hAnsi="Times New Roman" w:cs="Times New Roman"/>
                <w:i/>
                <w:sz w:val="18"/>
                <w:szCs w:val="20"/>
                <w:lang w:eastAsia="sk-SK"/>
              </w:rPr>
              <w:t xml:space="preserve">z 327,09 eur na </w:t>
            </w:r>
            <w:r w:rsidRPr="001777CA">
              <w:rPr>
                <w:rFonts w:ascii="Times New Roman" w:eastAsia="Calibri" w:hAnsi="Times New Roman" w:cs="Times New Roman"/>
                <w:i/>
                <w:sz w:val="18"/>
                <w:szCs w:val="20"/>
                <w:lang w:eastAsia="sk-SK"/>
              </w:rPr>
              <w:t>654,18 eur) a pri integračnom príspevku ide o sumu 327,09 eur počas obdobia 6 mesiacov.</w:t>
            </w:r>
          </w:p>
        </w:tc>
      </w:tr>
      <w:tr w:rsidR="00436132" w:rsidRPr="002644DE" w:rsidTr="008D53DB">
        <w:trPr>
          <w:trHeight w:val="680"/>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w:t>
            </w: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sz w:val="18"/>
                <w:szCs w:val="20"/>
                <w:lang w:eastAsia="sk-SK"/>
              </w:rPr>
            </w:pPr>
            <w:r w:rsidRPr="001777CA">
              <w:rPr>
                <w:rFonts w:ascii="Times New Roman" w:eastAsia="Calibri" w:hAnsi="Times New Roman" w:cs="Times New Roman"/>
                <w:i/>
                <w:sz w:val="18"/>
                <w:szCs w:val="20"/>
                <w:lang w:eastAsia="sk-SK"/>
              </w:rPr>
              <w:t>Ovplyvnená skupina č. 2 cudzinci, ktorým sa poskytla doplnková ochrana – v prípade jednorazového príspevku ide o sumu 654,18 eur a pri integračnom príspevku ide o sumu 327,09 eur počas obdobia 6 mesiacov.</w:t>
            </w:r>
          </w:p>
        </w:tc>
      </w:tr>
      <w:tr w:rsidR="00436132" w:rsidRPr="002644DE" w:rsidTr="008D53DB">
        <w:trPr>
          <w:trHeight w:val="680"/>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Default="00436132" w:rsidP="008D53DB">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i/>
                <w:sz w:val="18"/>
                <w:szCs w:val="20"/>
                <w:lang w:eastAsia="sk-SK"/>
              </w:rPr>
            </w:pPr>
            <w:r w:rsidRPr="001777CA">
              <w:rPr>
                <w:rFonts w:ascii="Times New Roman" w:eastAsia="Calibri" w:hAnsi="Times New Roman" w:cs="Times New Roman"/>
                <w:i/>
                <w:sz w:val="18"/>
                <w:szCs w:val="20"/>
                <w:lang w:eastAsia="sk-SK"/>
              </w:rPr>
              <w:t xml:space="preserve">Ovplyvnená skupina č. 3 žiadatelia o udelenie azylu budú mať </w:t>
            </w:r>
            <w:r>
              <w:rPr>
                <w:rFonts w:ascii="Times New Roman" w:eastAsia="Calibri" w:hAnsi="Times New Roman" w:cs="Times New Roman"/>
                <w:i/>
                <w:sz w:val="18"/>
                <w:szCs w:val="20"/>
                <w:lang w:eastAsia="sk-SK"/>
              </w:rPr>
              <w:t xml:space="preserve"> skrátenú </w:t>
            </w:r>
            <w:r w:rsidRPr="001777CA">
              <w:rPr>
                <w:rFonts w:ascii="Times New Roman" w:eastAsia="Calibri" w:hAnsi="Times New Roman" w:cs="Times New Roman"/>
                <w:i/>
                <w:sz w:val="18"/>
                <w:szCs w:val="20"/>
                <w:lang w:eastAsia="sk-SK"/>
              </w:rPr>
              <w:t>lehotu na vstup na trh práce z 9 na 6 mesiacov od začatia konania o udelenie azylu.</w:t>
            </w:r>
          </w:p>
        </w:tc>
      </w:tr>
      <w:tr w:rsidR="00436132" w:rsidRPr="002644DE" w:rsidTr="008D53DB">
        <w:trPr>
          <w:trHeight w:val="397"/>
          <w:jc w:val="center"/>
        </w:trPr>
        <w:tc>
          <w:tcPr>
            <w:tcW w:w="129" w:type="pct"/>
            <w:tcBorders>
              <w:top w:val="dotted"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Dôvod </w:t>
            </w:r>
            <w:r w:rsidRPr="00A406FA">
              <w:rPr>
                <w:rFonts w:ascii="Times New Roman" w:eastAsia="Calibri" w:hAnsi="Times New Roman" w:cs="Times New Roman"/>
                <w:i/>
                <w:sz w:val="20"/>
                <w:szCs w:val="20"/>
                <w:lang w:eastAsia="sk-SK"/>
              </w:rPr>
              <w:t>chýbajúcej</w:t>
            </w:r>
            <w:r w:rsidRPr="002644DE">
              <w:rPr>
                <w:rFonts w:ascii="Times New Roman" w:eastAsia="Calibri" w:hAnsi="Times New Roman" w:cs="Times New Roman"/>
                <w:i/>
                <w:sz w:val="20"/>
                <w:szCs w:val="20"/>
                <w:lang w:eastAsia="sk-SK"/>
              </w:rPr>
              <w:t xml:space="preserve"> kvantifikácie:</w:t>
            </w:r>
          </w:p>
        </w:tc>
        <w:tc>
          <w:tcPr>
            <w:tcW w:w="3229"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 </w:t>
            </w:r>
          </w:p>
        </w:tc>
      </w:tr>
      <w:tr w:rsidR="00436132" w:rsidRPr="002644DE" w:rsidTr="008D53DB">
        <w:trPr>
          <w:trHeight w:val="170"/>
          <w:jc w:val="center"/>
        </w:trPr>
        <w:tc>
          <w:tcPr>
            <w:tcW w:w="129" w:type="pct"/>
            <w:tcBorders>
              <w:top w:val="nil"/>
              <w:bottom w:val="single" w:sz="4" w:space="0" w:color="auto"/>
            </w:tcBorders>
            <w:shd w:val="clear" w:color="auto" w:fill="F2F2F2"/>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436132" w:rsidRPr="002644DE" w:rsidRDefault="00436132" w:rsidP="008D53DB">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436132" w:rsidRPr="002644DE" w:rsidTr="008D53DB">
        <w:trPr>
          <w:trHeight w:val="759"/>
          <w:jc w:val="center"/>
        </w:trPr>
        <w:tc>
          <w:tcPr>
            <w:tcW w:w="129" w:type="pct"/>
            <w:tcBorders>
              <w:top w:val="single" w:sz="4" w:space="0" w:color="auto"/>
              <w:bottom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i/>
                <w:sz w:val="20"/>
                <w:szCs w:val="20"/>
                <w:lang w:eastAsia="sk-SK"/>
              </w:rPr>
            </w:pPr>
            <w:r w:rsidRPr="001777CA">
              <w:rPr>
                <w:rFonts w:ascii="Times New Roman" w:eastAsia="Calibri" w:hAnsi="Times New Roman" w:cs="Times New Roman"/>
                <w:i/>
                <w:sz w:val="20"/>
                <w:szCs w:val="20"/>
                <w:lang w:eastAsia="sk-SK"/>
              </w:rPr>
              <w:t>Všetky ovplyvnené skupiny patria medzi zraniteľné skupiny, ktoré môžu byť ohrozené rizikom chudoby a/alebo sociálneho vylúčenia, preto budú mať navrhované opatrenia pozitívny vplyv.</w:t>
            </w:r>
          </w:p>
        </w:tc>
      </w:tr>
      <w:tr w:rsidR="00436132" w:rsidRPr="002644DE" w:rsidTr="008D53DB">
        <w:trPr>
          <w:trHeight w:val="535"/>
          <w:jc w:val="center"/>
        </w:trPr>
        <w:tc>
          <w:tcPr>
            <w:tcW w:w="129" w:type="pct"/>
            <w:vMerge w:val="restart"/>
            <w:tcBorders>
              <w:top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i/>
                <w:sz w:val="18"/>
                <w:szCs w:val="20"/>
                <w:lang w:eastAsia="sk-SK"/>
              </w:rPr>
            </w:pPr>
            <w:r w:rsidRPr="001777CA">
              <w:rPr>
                <w:rFonts w:ascii="Times New Roman" w:eastAsia="Calibri" w:hAnsi="Times New Roman" w:cs="Times New Roman"/>
                <w:i/>
                <w:sz w:val="20"/>
                <w:szCs w:val="20"/>
                <w:lang w:eastAsia="sk-SK"/>
              </w:rPr>
              <w:t>Ovplyvnená skupina č. 1, Ovplyvnená skupina č. 2, Ovplyvnená skupina č. 3</w:t>
            </w:r>
          </w:p>
        </w:tc>
      </w:tr>
      <w:tr w:rsidR="00436132" w:rsidRPr="002644DE" w:rsidTr="008D53DB">
        <w:trPr>
          <w:trHeight w:val="397"/>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p>
        </w:tc>
      </w:tr>
      <w:tr w:rsidR="00436132" w:rsidRPr="002644DE" w:rsidTr="008D53DB">
        <w:trPr>
          <w:trHeight w:val="397"/>
          <w:jc w:val="center"/>
        </w:trPr>
        <w:tc>
          <w:tcPr>
            <w:tcW w:w="129" w:type="pct"/>
            <w:tcBorders>
              <w:top w:val="dotted" w:sz="4" w:space="0" w:color="auto"/>
            </w:tcBorders>
            <w:shd w:val="clear" w:color="auto" w:fill="F2F2F2"/>
            <w:vAlign w:val="center"/>
          </w:tcPr>
          <w:p w:rsidR="00436132" w:rsidRPr="002644DE" w:rsidRDefault="00436132" w:rsidP="008D53DB">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36132" w:rsidRPr="002644DE" w:rsidTr="008D53DB">
        <w:trPr>
          <w:trHeight w:val="680"/>
          <w:jc w:val="center"/>
        </w:trPr>
        <w:tc>
          <w:tcPr>
            <w:tcW w:w="129" w:type="pct"/>
            <w:vMerge w:val="restart"/>
            <w:tcBorders>
              <w:top w:val="dotted"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vMerge w:val="restart"/>
            <w:tcBorders>
              <w:top w:val="dotted" w:sz="4" w:space="0" w:color="auto"/>
            </w:tcBorders>
            <w:shd w:val="clear" w:color="auto" w:fill="auto"/>
          </w:tcPr>
          <w:p w:rsidR="00436132" w:rsidRPr="002644DE" w:rsidRDefault="00436132" w:rsidP="00436132">
            <w:pPr>
              <w:numPr>
                <w:ilvl w:val="0"/>
                <w:numId w:val="8"/>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436132" w:rsidRPr="002644DE" w:rsidRDefault="00436132" w:rsidP="00436132">
            <w:pPr>
              <w:numPr>
                <w:ilvl w:val="0"/>
                <w:numId w:val="8"/>
              </w:numPr>
              <w:spacing w:after="0" w:line="240" w:lineRule="auto"/>
              <w:contextualSpacing/>
              <w:rPr>
                <w:rFonts w:ascii="Times New Roman" w:eastAsia="Calibri" w:hAnsi="Times New Roman" w:cs="Times New Roman"/>
                <w:i/>
                <w:sz w:val="20"/>
                <w:szCs w:val="20"/>
                <w:lang w:eastAsia="sk-SK"/>
              </w:rPr>
            </w:pPr>
            <w:r w:rsidRPr="00A406FA">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i/>
                <w:sz w:val="18"/>
                <w:szCs w:val="20"/>
                <w:lang w:eastAsia="sk-SK"/>
              </w:rPr>
            </w:pPr>
            <w:r w:rsidRPr="001777CA">
              <w:rPr>
                <w:rFonts w:ascii="Times New Roman" w:eastAsia="Calibri" w:hAnsi="Times New Roman" w:cs="Times New Roman"/>
                <w:i/>
                <w:sz w:val="18"/>
                <w:szCs w:val="20"/>
                <w:lang w:eastAsia="sk-SK"/>
              </w:rPr>
              <w:t>Ovplyvnená skupina č. 1 azylanti – v prípade jednorazového príspevku ide o nárast o 100% (</w:t>
            </w:r>
            <w:r>
              <w:rPr>
                <w:rFonts w:ascii="Times New Roman" w:eastAsia="Calibri" w:hAnsi="Times New Roman" w:cs="Times New Roman"/>
                <w:i/>
                <w:sz w:val="18"/>
                <w:szCs w:val="20"/>
                <w:lang w:eastAsia="sk-SK"/>
              </w:rPr>
              <w:t xml:space="preserve">z 327,09 eur na </w:t>
            </w:r>
            <w:r w:rsidRPr="001777CA">
              <w:rPr>
                <w:rFonts w:ascii="Times New Roman" w:eastAsia="Calibri" w:hAnsi="Times New Roman" w:cs="Times New Roman"/>
                <w:i/>
                <w:sz w:val="18"/>
                <w:szCs w:val="20"/>
                <w:lang w:eastAsia="sk-SK"/>
              </w:rPr>
              <w:t>654,18 eur) a pri integračnom príspevku ide o sumu 327,09 eur počas obdobia 6 mesiacov. Ovplyvnená skupina č. 2 cudzinci, ktorým sa poskytla doplnková ochrana – v prípade jednorazového príspevku ide o sumu 654,18 eur a pri integračnom príspevku ide o</w:t>
            </w:r>
            <w:r>
              <w:rPr>
                <w:rFonts w:ascii="Times New Roman" w:eastAsia="Calibri" w:hAnsi="Times New Roman" w:cs="Times New Roman"/>
                <w:i/>
                <w:sz w:val="18"/>
                <w:szCs w:val="20"/>
                <w:lang w:eastAsia="sk-SK"/>
              </w:rPr>
              <w:t> </w:t>
            </w:r>
            <w:r w:rsidRPr="001777CA">
              <w:rPr>
                <w:rFonts w:ascii="Times New Roman" w:eastAsia="Calibri" w:hAnsi="Times New Roman" w:cs="Times New Roman"/>
                <w:i/>
                <w:sz w:val="18"/>
                <w:szCs w:val="20"/>
                <w:lang w:eastAsia="sk-SK"/>
              </w:rPr>
              <w:t>sumu</w:t>
            </w:r>
            <w:r>
              <w:rPr>
                <w:rFonts w:ascii="Times New Roman" w:eastAsia="Calibri" w:hAnsi="Times New Roman" w:cs="Times New Roman"/>
                <w:i/>
                <w:sz w:val="18"/>
                <w:szCs w:val="20"/>
                <w:lang w:eastAsia="sk-SK"/>
              </w:rPr>
              <w:t xml:space="preserve"> </w:t>
            </w:r>
            <w:r w:rsidRPr="001777CA">
              <w:rPr>
                <w:rFonts w:ascii="Times New Roman" w:eastAsia="Calibri" w:hAnsi="Times New Roman" w:cs="Times New Roman"/>
                <w:i/>
                <w:sz w:val="18"/>
                <w:szCs w:val="20"/>
                <w:lang w:eastAsia="sk-SK"/>
              </w:rPr>
              <w:t>327,09 eur počas obdobia 6 mesiacov.</w:t>
            </w:r>
          </w:p>
        </w:tc>
      </w:tr>
      <w:tr w:rsidR="00436132" w:rsidRPr="002644DE" w:rsidTr="008D53DB">
        <w:trPr>
          <w:trHeight w:val="680"/>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vMerge/>
            <w:shd w:val="clear" w:color="auto" w:fill="auto"/>
          </w:tcPr>
          <w:p w:rsidR="00436132" w:rsidRDefault="00436132" w:rsidP="008D53DB">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sz w:val="18"/>
                <w:szCs w:val="20"/>
                <w:lang w:eastAsia="sk-SK"/>
              </w:rPr>
            </w:pPr>
            <w:r w:rsidRPr="001777CA">
              <w:rPr>
                <w:rFonts w:ascii="Times New Roman" w:eastAsia="Calibri" w:hAnsi="Times New Roman" w:cs="Times New Roman"/>
                <w:sz w:val="18"/>
                <w:szCs w:val="20"/>
                <w:lang w:eastAsia="sk-SK"/>
              </w:rPr>
              <w:t>Predpokladaná veľkosť skupiny (spolu za skupinu č. 1 a č. 2) je v roku 2022 25 osôb a v roku 2023 a 2024 50 osôb.</w:t>
            </w:r>
          </w:p>
        </w:tc>
      </w:tr>
      <w:tr w:rsidR="00436132" w:rsidRPr="002644DE" w:rsidTr="008D53DB">
        <w:trPr>
          <w:trHeight w:val="680"/>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w:t>
            </w:r>
          </w:p>
        </w:tc>
        <w:tc>
          <w:tcPr>
            <w:tcW w:w="3229" w:type="pct"/>
            <w:tcBorders>
              <w:top w:val="dotted"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sz w:val="20"/>
                <w:szCs w:val="20"/>
                <w:lang w:eastAsia="sk-SK"/>
              </w:rPr>
            </w:pPr>
            <w:r w:rsidRPr="001777CA">
              <w:rPr>
                <w:rFonts w:ascii="Times New Roman" w:eastAsia="Calibri" w:hAnsi="Times New Roman" w:cs="Times New Roman"/>
                <w:i/>
                <w:sz w:val="18"/>
                <w:szCs w:val="20"/>
                <w:lang w:eastAsia="sk-SK"/>
              </w:rPr>
              <w:t>Ovplyvnená skupina č. 1, Ovplyvnená skupina č. 2, Ovplyvnená skupina č. 3</w:t>
            </w:r>
          </w:p>
        </w:tc>
      </w:tr>
      <w:tr w:rsidR="00436132" w:rsidRPr="002644DE" w:rsidTr="008D53DB">
        <w:trPr>
          <w:trHeight w:val="350"/>
          <w:jc w:val="center"/>
        </w:trPr>
        <w:tc>
          <w:tcPr>
            <w:tcW w:w="129" w:type="pct"/>
            <w:tcBorders>
              <w:top w:val="dotted" w:sz="4" w:space="0" w:color="auto"/>
              <w:bottom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36132" w:rsidRPr="001777CA" w:rsidRDefault="00436132" w:rsidP="008D53D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 </w:t>
            </w:r>
          </w:p>
        </w:tc>
      </w:tr>
      <w:tr w:rsidR="00436132" w:rsidRPr="002644DE" w:rsidTr="008D53DB">
        <w:trPr>
          <w:trHeight w:val="170"/>
          <w:jc w:val="center"/>
        </w:trPr>
        <w:tc>
          <w:tcPr>
            <w:tcW w:w="129" w:type="pct"/>
            <w:tcBorders>
              <w:top w:val="single" w:sz="4" w:space="0" w:color="auto"/>
              <w:bottom w:val="single" w:sz="4" w:space="0" w:color="auto"/>
            </w:tcBorders>
            <w:shd w:val="clear" w:color="auto" w:fill="DDDDDD"/>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36132" w:rsidRPr="002644DE" w:rsidRDefault="00436132" w:rsidP="008D53DB">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436132" w:rsidRPr="002644DE" w:rsidTr="008D53DB">
        <w:trPr>
          <w:trHeight w:val="759"/>
          <w:jc w:val="center"/>
        </w:trPr>
        <w:tc>
          <w:tcPr>
            <w:tcW w:w="129" w:type="pct"/>
            <w:tcBorders>
              <w:top w:val="single" w:sz="4" w:space="0" w:color="auto"/>
              <w:bottom w:val="single" w:sz="4" w:space="0" w:color="auto"/>
            </w:tcBorders>
            <w:shd w:val="clear" w:color="auto" w:fill="auto"/>
            <w:vAlign w:val="center"/>
          </w:tcPr>
          <w:p w:rsidR="00436132" w:rsidRPr="002644DE" w:rsidRDefault="00436132" w:rsidP="008D53DB">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436132" w:rsidRPr="002644DE" w:rsidRDefault="00436132" w:rsidP="008D53DB">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436132" w:rsidRPr="002644DE" w:rsidRDefault="00436132" w:rsidP="008D53D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36132" w:rsidRPr="00D70EC5" w:rsidRDefault="00436132" w:rsidP="008D53DB">
            <w:pPr>
              <w:spacing w:after="0" w:line="240" w:lineRule="auto"/>
              <w:contextualSpacing/>
              <w:jc w:val="both"/>
              <w:rPr>
                <w:rFonts w:ascii="Times New Roman" w:eastAsia="Calibri" w:hAnsi="Times New Roman" w:cs="Times New Roman"/>
                <w:i/>
                <w:sz w:val="18"/>
                <w:szCs w:val="18"/>
                <w:lang w:eastAsia="sk-SK"/>
              </w:rPr>
            </w:pPr>
            <w:r w:rsidRPr="00D70EC5">
              <w:rPr>
                <w:rFonts w:ascii="Times New Roman" w:eastAsia="Calibri" w:hAnsi="Times New Roman" w:cs="Times New Roman"/>
                <w:i/>
                <w:sz w:val="18"/>
                <w:szCs w:val="18"/>
                <w:lang w:eastAsia="sk-SK"/>
              </w:rPr>
              <w:t>Opatrenia nemajú negatívny sociálny vplyv</w:t>
            </w:r>
          </w:p>
        </w:tc>
      </w:tr>
      <w:tr w:rsidR="00436132" w:rsidRPr="002644DE" w:rsidTr="008D53DB">
        <w:trPr>
          <w:trHeight w:val="397"/>
          <w:jc w:val="center"/>
        </w:trPr>
        <w:tc>
          <w:tcPr>
            <w:tcW w:w="129" w:type="pct"/>
            <w:vMerge w:val="restart"/>
            <w:tcBorders>
              <w:top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i/>
                <w:sz w:val="20"/>
                <w:szCs w:val="20"/>
                <w:lang w:eastAsia="sk-SK"/>
              </w:rPr>
            </w:pPr>
          </w:p>
        </w:tc>
      </w:tr>
      <w:tr w:rsidR="00436132" w:rsidRPr="002644DE" w:rsidTr="008D53DB">
        <w:trPr>
          <w:trHeight w:val="397"/>
          <w:jc w:val="center"/>
        </w:trPr>
        <w:tc>
          <w:tcPr>
            <w:tcW w:w="129" w:type="pct"/>
            <w:vMerge/>
            <w:tcBorders>
              <w:bottom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p>
        </w:tc>
      </w:tr>
      <w:tr w:rsidR="00436132" w:rsidRPr="002644DE" w:rsidTr="008D53DB">
        <w:trPr>
          <w:trHeight w:val="397"/>
          <w:jc w:val="center"/>
        </w:trPr>
        <w:tc>
          <w:tcPr>
            <w:tcW w:w="129" w:type="pct"/>
            <w:tcBorders>
              <w:top w:val="single" w:sz="4" w:space="0" w:color="auto"/>
            </w:tcBorders>
            <w:shd w:val="clear" w:color="auto" w:fill="F2F2F2"/>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36132" w:rsidRPr="002644DE" w:rsidTr="008D53DB">
        <w:trPr>
          <w:trHeight w:val="680"/>
          <w:jc w:val="center"/>
        </w:trPr>
        <w:tc>
          <w:tcPr>
            <w:tcW w:w="129" w:type="pct"/>
            <w:vMerge w:val="restart"/>
            <w:tcBorders>
              <w:top w:val="dotted"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436132" w:rsidRPr="002644DE" w:rsidRDefault="00436132" w:rsidP="00436132">
            <w:pPr>
              <w:numPr>
                <w:ilvl w:val="0"/>
                <w:numId w:val="8"/>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436132" w:rsidRPr="002644DE" w:rsidRDefault="00436132" w:rsidP="00436132">
            <w:pPr>
              <w:numPr>
                <w:ilvl w:val="0"/>
                <w:numId w:val="8"/>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 </w:t>
            </w:r>
          </w:p>
        </w:tc>
      </w:tr>
      <w:tr w:rsidR="00436132" w:rsidRPr="002644DE" w:rsidTr="008D53DB">
        <w:trPr>
          <w:trHeight w:val="680"/>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w:t>
            </w:r>
          </w:p>
        </w:tc>
        <w:tc>
          <w:tcPr>
            <w:tcW w:w="3229" w:type="pct"/>
            <w:tcBorders>
              <w:top w:val="dotted"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sz w:val="20"/>
                <w:szCs w:val="20"/>
                <w:lang w:eastAsia="sk-SK"/>
              </w:rPr>
            </w:pPr>
          </w:p>
        </w:tc>
      </w:tr>
      <w:tr w:rsidR="00436132" w:rsidRPr="002644DE" w:rsidTr="008D53DB">
        <w:trPr>
          <w:trHeight w:val="397"/>
          <w:jc w:val="center"/>
        </w:trPr>
        <w:tc>
          <w:tcPr>
            <w:tcW w:w="129" w:type="pct"/>
            <w:tcBorders>
              <w:top w:val="dotted"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 </w:t>
            </w:r>
          </w:p>
        </w:tc>
      </w:tr>
      <w:tr w:rsidR="00436132" w:rsidRPr="002644DE" w:rsidTr="008D53DB">
        <w:trPr>
          <w:trHeight w:val="227"/>
          <w:jc w:val="center"/>
        </w:trPr>
        <w:tc>
          <w:tcPr>
            <w:tcW w:w="129" w:type="pct"/>
            <w:tcBorders>
              <w:top w:val="nil"/>
              <w:bottom w:val="single" w:sz="4" w:space="0" w:color="auto"/>
            </w:tcBorders>
            <w:shd w:val="clear" w:color="auto" w:fill="F2F2F2"/>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436132" w:rsidRPr="002644DE" w:rsidRDefault="00436132" w:rsidP="008D53DB">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436132" w:rsidRPr="002644DE" w:rsidTr="008D53DB">
        <w:trPr>
          <w:trHeight w:val="759"/>
          <w:jc w:val="center"/>
        </w:trPr>
        <w:tc>
          <w:tcPr>
            <w:tcW w:w="129" w:type="pct"/>
            <w:tcBorders>
              <w:top w:val="single" w:sz="4" w:space="0" w:color="auto"/>
              <w:bottom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p>
        </w:tc>
      </w:tr>
      <w:tr w:rsidR="00436132" w:rsidRPr="002644DE" w:rsidTr="008D53DB">
        <w:trPr>
          <w:trHeight w:val="397"/>
          <w:jc w:val="center"/>
        </w:trPr>
        <w:tc>
          <w:tcPr>
            <w:tcW w:w="129" w:type="pct"/>
            <w:vMerge w:val="restart"/>
            <w:tcBorders>
              <w:top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i/>
                <w:sz w:val="18"/>
                <w:szCs w:val="20"/>
                <w:lang w:eastAsia="sk-SK"/>
              </w:rPr>
            </w:pPr>
          </w:p>
        </w:tc>
      </w:tr>
      <w:tr w:rsidR="00436132" w:rsidRPr="002644DE" w:rsidTr="008D53DB">
        <w:trPr>
          <w:trHeight w:val="397"/>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p>
        </w:tc>
      </w:tr>
      <w:tr w:rsidR="00436132" w:rsidRPr="002644DE" w:rsidTr="008D53DB">
        <w:trPr>
          <w:trHeight w:val="454"/>
          <w:jc w:val="center"/>
        </w:trPr>
        <w:tc>
          <w:tcPr>
            <w:tcW w:w="129" w:type="pct"/>
            <w:tcBorders>
              <w:top w:val="dotted" w:sz="4" w:space="0" w:color="auto"/>
            </w:tcBorders>
            <w:shd w:val="clear" w:color="auto" w:fill="F2F2F2"/>
            <w:vAlign w:val="center"/>
          </w:tcPr>
          <w:p w:rsidR="00436132" w:rsidRPr="002644DE" w:rsidRDefault="00436132" w:rsidP="008D53DB">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36132" w:rsidRPr="002644DE" w:rsidTr="008D53DB">
        <w:trPr>
          <w:trHeight w:val="680"/>
          <w:jc w:val="center"/>
        </w:trPr>
        <w:tc>
          <w:tcPr>
            <w:tcW w:w="129" w:type="pct"/>
            <w:vMerge w:val="restart"/>
            <w:tcBorders>
              <w:top w:val="dotted"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436132" w:rsidRPr="002644DE" w:rsidRDefault="00436132" w:rsidP="00436132">
            <w:pPr>
              <w:numPr>
                <w:ilvl w:val="0"/>
                <w:numId w:val="8"/>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436132" w:rsidRPr="002644DE" w:rsidRDefault="00436132" w:rsidP="00436132">
            <w:pPr>
              <w:numPr>
                <w:ilvl w:val="0"/>
                <w:numId w:val="8"/>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p>
        </w:tc>
      </w:tr>
      <w:tr w:rsidR="00436132" w:rsidRPr="002644DE" w:rsidTr="008D53DB">
        <w:trPr>
          <w:trHeight w:val="680"/>
          <w:jc w:val="center"/>
        </w:trPr>
        <w:tc>
          <w:tcPr>
            <w:tcW w:w="129" w:type="pct"/>
            <w:vMerge/>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w:t>
            </w:r>
          </w:p>
        </w:tc>
        <w:tc>
          <w:tcPr>
            <w:tcW w:w="3229" w:type="pct"/>
            <w:tcBorders>
              <w:top w:val="dotted"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sz w:val="20"/>
                <w:szCs w:val="20"/>
                <w:lang w:eastAsia="sk-SK"/>
              </w:rPr>
            </w:pPr>
          </w:p>
        </w:tc>
      </w:tr>
      <w:tr w:rsidR="00436132" w:rsidRPr="002644DE" w:rsidTr="008D53DB">
        <w:trPr>
          <w:trHeight w:val="454"/>
          <w:jc w:val="center"/>
        </w:trPr>
        <w:tc>
          <w:tcPr>
            <w:tcW w:w="129" w:type="pct"/>
            <w:tcBorders>
              <w:top w:val="dotted" w:sz="4" w:space="0" w:color="auto"/>
              <w:bottom w:val="single" w:sz="4" w:space="0" w:color="auto"/>
            </w:tcBorders>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36132" w:rsidRPr="002644DE" w:rsidRDefault="00436132" w:rsidP="008D53D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p>
        </w:tc>
      </w:tr>
    </w:tbl>
    <w:p w:rsidR="00436132" w:rsidRPr="002644DE" w:rsidRDefault="00436132" w:rsidP="00436132">
      <w:r w:rsidRPr="002644DE">
        <w:br w:type="page"/>
      </w:r>
    </w:p>
    <w:p w:rsidR="00436132" w:rsidRPr="002644DE" w:rsidRDefault="00436132" w:rsidP="00436132">
      <w:pPr>
        <w:sectPr w:rsidR="00436132" w:rsidRPr="002644DE" w:rsidSect="00FE46F6">
          <w:headerReference w:type="default" r:id="rId18"/>
          <w:footerReference w:type="default" r:id="rId19"/>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436132" w:rsidRPr="002644DE" w:rsidTr="008D53DB">
        <w:trPr>
          <w:trHeight w:val="339"/>
          <w:jc w:val="center"/>
        </w:trPr>
        <w:tc>
          <w:tcPr>
            <w:tcW w:w="4998" w:type="pct"/>
            <w:gridSpan w:val="4"/>
            <w:tcBorders>
              <w:bottom w:val="single" w:sz="4" w:space="0" w:color="auto"/>
            </w:tcBorders>
            <w:shd w:val="clear" w:color="auto" w:fill="D9D9D9"/>
          </w:tcPr>
          <w:p w:rsidR="00436132" w:rsidRPr="002644DE" w:rsidRDefault="00436132" w:rsidP="008D53DB">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436132" w:rsidRPr="002644DE" w:rsidTr="008D53DB">
        <w:trPr>
          <w:trHeight w:val="290"/>
          <w:jc w:val="center"/>
        </w:trPr>
        <w:tc>
          <w:tcPr>
            <w:tcW w:w="4998" w:type="pct"/>
            <w:gridSpan w:val="4"/>
            <w:tcBorders>
              <w:bottom w:val="single" w:sz="4" w:space="0" w:color="auto"/>
            </w:tcBorders>
            <w:shd w:val="clear" w:color="auto" w:fill="F2F2F2"/>
            <w:vAlign w:val="center"/>
          </w:tcPr>
          <w:p w:rsidR="00436132" w:rsidRPr="002644DE" w:rsidRDefault="00436132" w:rsidP="008D53DB">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436132" w:rsidRPr="002644DE" w:rsidRDefault="00436132" w:rsidP="008D53DB">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436132" w:rsidRPr="002644DE" w:rsidTr="008D53DB">
        <w:tblPrEx>
          <w:tblBorders>
            <w:top w:val="none" w:sz="0" w:space="0" w:color="auto"/>
            <w:bottom w:val="none" w:sz="0" w:space="0" w:color="auto"/>
          </w:tblBorders>
        </w:tblPrEx>
        <w:trPr>
          <w:trHeight w:val="557"/>
          <w:jc w:val="center"/>
        </w:trPr>
        <w:tc>
          <w:tcPr>
            <w:tcW w:w="180" w:type="pct"/>
            <w:shd w:val="clear" w:color="auto" w:fill="auto"/>
            <w:vAlign w:val="center"/>
          </w:tcPr>
          <w:p w:rsidR="00436132" w:rsidRPr="002644DE" w:rsidRDefault="00436132" w:rsidP="008D53D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436132" w:rsidRPr="002644DE" w:rsidRDefault="00436132" w:rsidP="008D53DB">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436132" w:rsidRPr="002644DE" w:rsidRDefault="00436132" w:rsidP="00436132">
            <w:pPr>
              <w:numPr>
                <w:ilvl w:val="0"/>
                <w:numId w:val="6"/>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436132" w:rsidRPr="00D70EC5" w:rsidRDefault="00436132" w:rsidP="008D53DB">
            <w:pPr>
              <w:spacing w:after="0" w:line="240" w:lineRule="auto"/>
              <w:jc w:val="both"/>
              <w:rPr>
                <w:rFonts w:ascii="Times New Roman" w:eastAsia="Calibri" w:hAnsi="Times New Roman" w:cs="Times New Roman"/>
                <w:i/>
                <w:sz w:val="18"/>
                <w:szCs w:val="18"/>
                <w:lang w:eastAsia="sk-SK"/>
              </w:rPr>
            </w:pPr>
            <w:r w:rsidRPr="00D70EC5">
              <w:rPr>
                <w:rFonts w:ascii="Times New Roman" w:eastAsia="Calibri" w:hAnsi="Times New Roman" w:cs="Times New Roman"/>
                <w:i/>
                <w:sz w:val="18"/>
                <w:szCs w:val="18"/>
                <w:lang w:eastAsia="sk-SK"/>
              </w:rPr>
              <w:t xml:space="preserve">Uvedený návrh systémovo upravuje prvotnú integráciu azylantov a cudzincov, ktorým sa poskytla doplnková ochrana a okrem príspevkov zabezpečuje pre dotknuté skupiny sociálne poradenstvo, psychologické poradenstvo </w:t>
            </w:r>
            <w:r>
              <w:rPr>
                <w:rFonts w:ascii="Times New Roman" w:eastAsia="Calibri" w:hAnsi="Times New Roman" w:cs="Times New Roman"/>
                <w:i/>
                <w:sz w:val="18"/>
                <w:szCs w:val="18"/>
                <w:lang w:eastAsia="sk-SK"/>
              </w:rPr>
              <w:t xml:space="preserve">alebo iné poradenstvo </w:t>
            </w:r>
            <w:r w:rsidRPr="00D70EC5">
              <w:rPr>
                <w:rFonts w:ascii="Times New Roman" w:eastAsia="Calibri" w:hAnsi="Times New Roman" w:cs="Times New Roman"/>
                <w:i/>
                <w:sz w:val="18"/>
                <w:szCs w:val="18"/>
                <w:lang w:eastAsia="sk-SK"/>
              </w:rPr>
              <w:t>a kurz kultúrnej orientácie na základe ich individuálnych potrieb. Spomínané služby sú poskytované aj v súčasnosti v rámci integračného projektu financovaného z prostriedkov Fondu pre azyl, migráciu a integráciu. Z praxe vyplýva potreba naďalej zabezpečovať tieto služby pre uvedené skupiny, nakoľko sú kľúčové pre ich integráciu do spoločnosti. Uvedený návrh teda zabezpečí plynulé pokračovanie služieb aj v prípade, ak by financovanie z prostriedkov spomínaného fondu nebolo možné. Tiež umožňuje ubytovať v integračnom stredisku cudzincov, ktorým sa poskytla doplnková ochrana (nielen azylantov ako je tomu v súčasnosti). Všetky uvedené opatrenia majú pozitívny vplyv na azylantov a cudzincov, ktorým sa poskytla doplnková ochrana, ktorí zároveň patria do skupiny ohrozenej rizikom chudoby a sociálneho vylúčenia.</w:t>
            </w:r>
          </w:p>
          <w:p w:rsidR="00436132" w:rsidRPr="00D70EC5" w:rsidRDefault="00436132" w:rsidP="008D53DB">
            <w:pPr>
              <w:spacing w:after="0" w:line="240" w:lineRule="auto"/>
              <w:jc w:val="both"/>
              <w:rPr>
                <w:rFonts w:ascii="Times New Roman" w:eastAsia="Calibri" w:hAnsi="Times New Roman" w:cs="Times New Roman"/>
                <w:i/>
                <w:sz w:val="18"/>
                <w:szCs w:val="18"/>
                <w:lang w:eastAsia="sk-SK"/>
              </w:rPr>
            </w:pPr>
            <w:r w:rsidRPr="00D70EC5">
              <w:rPr>
                <w:rFonts w:ascii="Times New Roman" w:eastAsia="Calibri" w:hAnsi="Times New Roman" w:cs="Times New Roman"/>
                <w:i/>
                <w:sz w:val="18"/>
                <w:szCs w:val="18"/>
                <w:lang w:eastAsia="sk-SK"/>
              </w:rPr>
              <w:t xml:space="preserve">Uvedený návrh tiež ustanovuje zabezpečenie sociálneho poradenstva, psychologického poradenstva </w:t>
            </w:r>
            <w:r>
              <w:rPr>
                <w:rFonts w:ascii="Times New Roman" w:eastAsia="Calibri" w:hAnsi="Times New Roman" w:cs="Times New Roman"/>
                <w:i/>
                <w:sz w:val="18"/>
                <w:szCs w:val="18"/>
                <w:lang w:eastAsia="sk-SK"/>
              </w:rPr>
              <w:t xml:space="preserve">alebo iného poradenstva </w:t>
            </w:r>
            <w:r w:rsidRPr="00D70EC5">
              <w:rPr>
                <w:rFonts w:ascii="Times New Roman" w:eastAsia="Calibri" w:hAnsi="Times New Roman" w:cs="Times New Roman"/>
                <w:i/>
                <w:sz w:val="18"/>
                <w:szCs w:val="18"/>
                <w:lang w:eastAsia="sk-SK"/>
              </w:rPr>
              <w:t>a kurzu kultúrnej orientácie aj pre žiadateľov o udelenie azylu. Aj v prípade žiadateľov o udelenie azyl nejde o nové služby, ale z praxe vyplýva potreba ich zakotvenia priamo v zákone, nakoľko v súčasnosti sú taktiež poskytované z Fondu pre azyl, migráciu a integráciu. Na žiadateľov o udelenie azylu má pozitívny vplyv aj skrátenie lehoty vstupu na pracovný trh z 9 mesiacov na 6 mesiacov od začatia konania o udelenie azylu.</w:t>
            </w:r>
          </w:p>
          <w:p w:rsidR="00436132" w:rsidRPr="002644DE" w:rsidRDefault="00436132" w:rsidP="008D53DB">
            <w:pPr>
              <w:spacing w:after="0" w:line="240" w:lineRule="auto"/>
              <w:jc w:val="both"/>
              <w:rPr>
                <w:rFonts w:ascii="Times New Roman" w:eastAsia="Calibri" w:hAnsi="Times New Roman" w:cs="Times New Roman"/>
                <w:sz w:val="20"/>
                <w:szCs w:val="20"/>
                <w:lang w:eastAsia="sk-SK"/>
              </w:rPr>
            </w:pPr>
          </w:p>
        </w:tc>
      </w:tr>
      <w:tr w:rsidR="00436132" w:rsidRPr="002644DE" w:rsidTr="008D53DB">
        <w:trPr>
          <w:jc w:val="center"/>
        </w:trPr>
        <w:tc>
          <w:tcPr>
            <w:tcW w:w="180"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436132" w:rsidRPr="002644DE" w:rsidRDefault="00436132" w:rsidP="008D53D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436132" w:rsidRPr="002644DE" w:rsidRDefault="00436132" w:rsidP="008D53DB">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436132" w:rsidRPr="002644DE" w:rsidTr="008D53DB">
        <w:tblPrEx>
          <w:tblBorders>
            <w:top w:val="none" w:sz="0" w:space="0" w:color="auto"/>
          </w:tblBorders>
        </w:tblPrEx>
        <w:trPr>
          <w:trHeight w:val="677"/>
          <w:jc w:val="center"/>
        </w:trPr>
        <w:tc>
          <w:tcPr>
            <w:tcW w:w="179" w:type="pct"/>
            <w:shd w:val="clear" w:color="auto" w:fill="auto"/>
            <w:vAlign w:val="center"/>
          </w:tcPr>
          <w:p w:rsidR="00436132" w:rsidRPr="002644DE" w:rsidRDefault="00436132" w:rsidP="008D53DB">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436132" w:rsidRPr="002644DE" w:rsidRDefault="00436132" w:rsidP="008D53DB">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436132" w:rsidRPr="002644DE" w:rsidRDefault="00436132" w:rsidP="00436132">
            <w:pPr>
              <w:numPr>
                <w:ilvl w:val="0"/>
                <w:numId w:val="6"/>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436132" w:rsidRPr="00D70EC5" w:rsidRDefault="00436132" w:rsidP="008D53DB">
            <w:pPr>
              <w:spacing w:after="0" w:line="240" w:lineRule="auto"/>
              <w:jc w:val="both"/>
              <w:rPr>
                <w:rFonts w:ascii="Times New Roman" w:eastAsia="Calibri" w:hAnsi="Times New Roman" w:cs="Times New Roman"/>
                <w:i/>
                <w:sz w:val="18"/>
                <w:szCs w:val="18"/>
                <w:lang w:eastAsia="sk-SK"/>
              </w:rPr>
            </w:pPr>
            <w:r w:rsidRPr="00D70EC5">
              <w:rPr>
                <w:rFonts w:ascii="Times New Roman" w:eastAsia="Calibri" w:hAnsi="Times New Roman" w:cs="Times New Roman"/>
                <w:i/>
                <w:sz w:val="18"/>
                <w:szCs w:val="18"/>
                <w:lang w:eastAsia="sk-SK"/>
              </w:rPr>
              <w:t xml:space="preserve">Uvedený návrh má vplyv na zraniteľnú skupinu obyvateľstva, konkrétne žiadateľov o udelenie azylu, azylantov, a  cudzincov, ktorým sa poskytla doplnková ochrana. Návrh zákona sa zaoberá iba vyššie uvedenou zraniteľnou skupinou, na ktorú má významne pozitívny vplyv. Medzi touto skupinou obyvateľstva sa nachádzajú aj deti, mladí ľudia, ľudia so zdravotným postihnutím, starší ľudia, dôchodcovia, neúplné rodiny, preto majú žiadatelia o udelenie azylu a osoby s udelenou medzinárodnou ochranou (azylanti, cudzinci s poskytnutou doplnkovou ochranou) častokrát viac zraniteľností súčasne. </w:t>
            </w:r>
          </w:p>
        </w:tc>
      </w:tr>
    </w:tbl>
    <w:p w:rsidR="00436132" w:rsidRPr="002644DE" w:rsidRDefault="00436132" w:rsidP="00436132">
      <w:pPr>
        <w:sectPr w:rsidR="00436132" w:rsidRPr="002644DE" w:rsidSect="008D53DB">
          <w:headerReference w:type="default" r:id="rId20"/>
          <w:footerReference w:type="default" r:id="rId2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436132" w:rsidRPr="002644DE" w:rsidTr="008D53DB">
        <w:trPr>
          <w:jc w:val="center"/>
        </w:trPr>
        <w:tc>
          <w:tcPr>
            <w:tcW w:w="5000" w:type="pct"/>
            <w:gridSpan w:val="3"/>
            <w:shd w:val="clear" w:color="auto" w:fill="D9D9D9"/>
          </w:tcPr>
          <w:p w:rsidR="00436132" w:rsidRPr="002644DE" w:rsidRDefault="00436132" w:rsidP="008D53DB">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436132" w:rsidRPr="002644DE" w:rsidRDefault="00436132" w:rsidP="008D53DB">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436132" w:rsidRPr="002644DE" w:rsidTr="008D53DB">
        <w:trPr>
          <w:jc w:val="center"/>
        </w:trPr>
        <w:tc>
          <w:tcPr>
            <w:tcW w:w="132"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436132" w:rsidRPr="002644DE" w:rsidRDefault="00436132" w:rsidP="008D53DB">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436132" w:rsidRPr="002644DE" w:rsidTr="008D53DB">
        <w:trPr>
          <w:trHeight w:val="928"/>
          <w:jc w:val="center"/>
        </w:trPr>
        <w:tc>
          <w:tcPr>
            <w:tcW w:w="132" w:type="pct"/>
            <w:tcBorders>
              <w:top w:val="nil"/>
              <w:bottom w:val="nil"/>
            </w:tcBorders>
            <w:shd w:val="clear" w:color="auto" w:fill="auto"/>
          </w:tcPr>
          <w:p w:rsidR="00436132" w:rsidRPr="002644DE" w:rsidRDefault="00436132" w:rsidP="008D53DB">
            <w:pPr>
              <w:spacing w:after="0" w:line="240" w:lineRule="auto"/>
              <w:rPr>
                <w:rFonts w:ascii="Times New Roman" w:eastAsia="Calibri" w:hAnsi="Times New Roman" w:cs="Times New Roman"/>
                <w:sz w:val="20"/>
              </w:rPr>
            </w:pPr>
          </w:p>
          <w:p w:rsidR="00436132" w:rsidRPr="002644DE" w:rsidRDefault="00436132" w:rsidP="008D53DB">
            <w:pPr>
              <w:spacing w:after="0" w:line="240" w:lineRule="auto"/>
              <w:rPr>
                <w:rFonts w:ascii="Times New Roman" w:eastAsia="Calibri" w:hAnsi="Times New Roman" w:cs="Times New Roman"/>
                <w:i/>
                <w:sz w:val="20"/>
              </w:rPr>
            </w:pPr>
          </w:p>
          <w:p w:rsidR="00436132" w:rsidRPr="002644DE" w:rsidRDefault="00436132" w:rsidP="008D53DB">
            <w:pPr>
              <w:spacing w:after="0" w:line="240" w:lineRule="auto"/>
              <w:rPr>
                <w:rFonts w:ascii="Times New Roman" w:eastAsia="Calibri" w:hAnsi="Times New Roman" w:cs="Times New Roman"/>
                <w:i/>
                <w:sz w:val="20"/>
              </w:rPr>
            </w:pPr>
          </w:p>
          <w:p w:rsidR="00436132" w:rsidRPr="002644DE" w:rsidRDefault="00436132" w:rsidP="008D53DB">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436132" w:rsidRPr="002644DE" w:rsidRDefault="00436132" w:rsidP="008D53DB">
            <w:pPr>
              <w:spacing w:after="0" w:line="240" w:lineRule="auto"/>
              <w:rPr>
                <w:rFonts w:ascii="Times New Roman" w:eastAsia="Calibri" w:hAnsi="Times New Roman" w:cs="Times New Roman"/>
                <w:i/>
                <w:sz w:val="20"/>
              </w:rPr>
            </w:pPr>
          </w:p>
          <w:p w:rsidR="00436132" w:rsidRPr="002644DE" w:rsidRDefault="00436132" w:rsidP="008D53DB">
            <w:pPr>
              <w:spacing w:after="0" w:line="240" w:lineRule="auto"/>
              <w:rPr>
                <w:rFonts w:ascii="Times New Roman" w:eastAsia="Calibri" w:hAnsi="Times New Roman" w:cs="Times New Roman"/>
                <w:i/>
                <w:sz w:val="20"/>
              </w:rPr>
            </w:pPr>
          </w:p>
          <w:p w:rsidR="00436132" w:rsidRPr="002644DE" w:rsidRDefault="00436132" w:rsidP="008D53DB">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436132" w:rsidRPr="00D70EC5" w:rsidRDefault="00436132" w:rsidP="008D53DB">
            <w:pPr>
              <w:jc w:val="both"/>
              <w:rPr>
                <w:rFonts w:ascii="Times New Roman" w:eastAsia="Calibri" w:hAnsi="Times New Roman" w:cs="Times New Roman"/>
                <w:i/>
                <w:sz w:val="18"/>
                <w:szCs w:val="18"/>
              </w:rPr>
            </w:pPr>
            <w:r w:rsidRPr="00D70EC5">
              <w:rPr>
                <w:rFonts w:ascii="Times New Roman" w:eastAsia="Calibri" w:hAnsi="Times New Roman" w:cs="Times New Roman"/>
                <w:i/>
                <w:sz w:val="18"/>
                <w:szCs w:val="18"/>
              </w:rPr>
              <w:t>Uvedený návrh zavádza rovnosť príležitostí tým, že zavádza jednorazový príspevok aj pre cudzincov, ktorým sa poskytla doplnková ochrana. Zavedením spomínaného príspevku dôjde k zrovnoprávneniu postavenia osôb s udelenou medzinárodnou ochranou (doteraz bol jednorazový príspevok poskytovaní len azylantom). Jednorazový príspevok sa zavádza v rovnakej výške pre azylantov aj cudzincov, ktorým bola poskytnutá doplnková ochrana a je poskytovaný bez ohľadu na pohlavie, rasu, etnicitu, náboženstvo, vieru, zdravotné postihnuti</w:t>
            </w:r>
            <w:r>
              <w:rPr>
                <w:rFonts w:ascii="Times New Roman" w:eastAsia="Calibri" w:hAnsi="Times New Roman" w:cs="Times New Roman"/>
                <w:i/>
                <w:sz w:val="18"/>
                <w:szCs w:val="18"/>
              </w:rPr>
              <w:t>e</w:t>
            </w:r>
            <w:r w:rsidRPr="00D70EC5">
              <w:rPr>
                <w:rFonts w:ascii="Times New Roman" w:eastAsia="Calibri" w:hAnsi="Times New Roman" w:cs="Times New Roman"/>
                <w:i/>
                <w:sz w:val="18"/>
                <w:szCs w:val="18"/>
              </w:rPr>
              <w:t>, vek alebo sexuáln</w:t>
            </w:r>
            <w:r>
              <w:rPr>
                <w:rFonts w:ascii="Times New Roman" w:eastAsia="Calibri" w:hAnsi="Times New Roman" w:cs="Times New Roman"/>
                <w:i/>
                <w:sz w:val="18"/>
                <w:szCs w:val="18"/>
              </w:rPr>
              <w:t>u</w:t>
            </w:r>
            <w:r w:rsidRPr="00D70EC5">
              <w:rPr>
                <w:rFonts w:ascii="Times New Roman" w:eastAsia="Calibri" w:hAnsi="Times New Roman" w:cs="Times New Roman"/>
                <w:i/>
                <w:sz w:val="18"/>
                <w:szCs w:val="18"/>
              </w:rPr>
              <w:t xml:space="preserve"> orientáci</w:t>
            </w:r>
            <w:r>
              <w:rPr>
                <w:rFonts w:ascii="Times New Roman" w:eastAsia="Calibri" w:hAnsi="Times New Roman" w:cs="Times New Roman"/>
                <w:i/>
                <w:sz w:val="18"/>
                <w:szCs w:val="18"/>
              </w:rPr>
              <w:t>u</w:t>
            </w:r>
            <w:r w:rsidRPr="00D70EC5">
              <w:rPr>
                <w:rFonts w:ascii="Times New Roman" w:eastAsia="Calibri" w:hAnsi="Times New Roman" w:cs="Times New Roman"/>
                <w:i/>
                <w:sz w:val="18"/>
                <w:szCs w:val="18"/>
              </w:rPr>
              <w:t xml:space="preserve"> azylanta a cudzinca, ktorému bola poskytnutá doplnková ochrana. Rovnosť príležitostí je zachovaná aj pri integračnom príspevku, s tým rozdielom, že v prípade integračného príspevku sa budú spoločne posudzovať rodinní príslušníci žijúci v spoločnej domácnosti. </w:t>
            </w:r>
          </w:p>
          <w:p w:rsidR="00436132" w:rsidRPr="002644DE" w:rsidRDefault="00436132" w:rsidP="008D53DB">
            <w:pPr>
              <w:spacing w:after="0" w:line="240" w:lineRule="auto"/>
              <w:rPr>
                <w:rFonts w:ascii="Times New Roman" w:eastAsia="Calibri" w:hAnsi="Times New Roman" w:cs="Times New Roman"/>
                <w:i/>
                <w:sz w:val="20"/>
              </w:rPr>
            </w:pPr>
          </w:p>
        </w:tc>
      </w:tr>
      <w:tr w:rsidR="00436132" w:rsidRPr="002644DE" w:rsidTr="008D53DB">
        <w:trPr>
          <w:trHeight w:val="345"/>
          <w:jc w:val="center"/>
        </w:trPr>
        <w:tc>
          <w:tcPr>
            <w:tcW w:w="132"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436132" w:rsidRPr="002644DE" w:rsidTr="008D53DB">
        <w:tblPrEx>
          <w:tblBorders>
            <w:top w:val="none" w:sz="0" w:space="0" w:color="auto"/>
            <w:bottom w:val="none" w:sz="0" w:space="0" w:color="auto"/>
          </w:tblBorders>
        </w:tblPrEx>
        <w:trPr>
          <w:trHeight w:val="372"/>
          <w:jc w:val="center"/>
        </w:trPr>
        <w:tc>
          <w:tcPr>
            <w:tcW w:w="132" w:type="pct"/>
            <w:shd w:val="clear" w:color="auto" w:fill="auto"/>
            <w:vAlign w:val="center"/>
          </w:tcPr>
          <w:p w:rsidR="00436132" w:rsidRPr="002644DE" w:rsidRDefault="00436132" w:rsidP="008D53DB">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436132" w:rsidRPr="00D70EC5" w:rsidRDefault="00436132" w:rsidP="008D53DB">
            <w:pPr>
              <w:spacing w:after="0" w:line="240" w:lineRule="auto"/>
              <w:jc w:val="both"/>
              <w:rPr>
                <w:rFonts w:ascii="Times New Roman" w:eastAsia="Calibri" w:hAnsi="Times New Roman" w:cs="Times New Roman"/>
                <w:i/>
                <w:sz w:val="18"/>
                <w:szCs w:val="18"/>
              </w:rPr>
            </w:pPr>
            <w:r w:rsidRPr="00D70EC5">
              <w:rPr>
                <w:rFonts w:ascii="Times New Roman" w:eastAsia="Calibri" w:hAnsi="Times New Roman" w:cs="Times New Roman"/>
                <w:i/>
                <w:sz w:val="18"/>
                <w:szCs w:val="18"/>
              </w:rPr>
              <w:t>Nie, návrh nevedie k zväčšovaniu nerovností medzi ženami a mužmi, ani nemá na nich odlišný vplyv.</w:t>
            </w:r>
          </w:p>
        </w:tc>
      </w:tr>
      <w:tr w:rsidR="00436132" w:rsidRPr="002644DE" w:rsidTr="008D53DB">
        <w:tblPrEx>
          <w:tblBorders>
            <w:top w:val="none" w:sz="0" w:space="0" w:color="auto"/>
            <w:bottom w:val="none" w:sz="0" w:space="0" w:color="auto"/>
          </w:tblBorders>
        </w:tblPrEx>
        <w:trPr>
          <w:trHeight w:val="371"/>
          <w:jc w:val="center"/>
        </w:trPr>
        <w:tc>
          <w:tcPr>
            <w:tcW w:w="132" w:type="pct"/>
            <w:shd w:val="clear" w:color="auto" w:fill="auto"/>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436132" w:rsidRPr="00D70EC5" w:rsidRDefault="00436132" w:rsidP="008D53DB">
            <w:pPr>
              <w:spacing w:after="0" w:line="240" w:lineRule="auto"/>
              <w:jc w:val="both"/>
              <w:rPr>
                <w:rFonts w:ascii="Times New Roman" w:eastAsia="Calibri" w:hAnsi="Times New Roman" w:cs="Times New Roman"/>
                <w:i/>
                <w:sz w:val="18"/>
                <w:szCs w:val="18"/>
              </w:rPr>
            </w:pPr>
            <w:r w:rsidRPr="00D70EC5">
              <w:rPr>
                <w:rFonts w:ascii="Times New Roman" w:eastAsia="Calibri" w:hAnsi="Times New Roman" w:cs="Times New Roman"/>
                <w:i/>
                <w:sz w:val="18"/>
                <w:szCs w:val="18"/>
              </w:rPr>
              <w:t>Všetky uvedené návrhy sa týkajú azylantov, cudzincov, ktorým sa poskytla doplnková ochrana a žiadateľov o udelenie azylu bez ohľadu na pohlavie. Návrh má teda pozitívny vplyv na rovnosť príležitostí žien a mužov.</w:t>
            </w:r>
          </w:p>
        </w:tc>
      </w:tr>
      <w:tr w:rsidR="00436132" w:rsidRPr="002644DE" w:rsidTr="008D53D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436132" w:rsidRPr="00D70EC5" w:rsidRDefault="00436132" w:rsidP="008D53DB">
            <w:pPr>
              <w:spacing w:after="0" w:line="240" w:lineRule="auto"/>
              <w:jc w:val="both"/>
              <w:rPr>
                <w:rFonts w:ascii="Times New Roman" w:eastAsia="Calibri" w:hAnsi="Times New Roman" w:cs="Times New Roman"/>
                <w:i/>
                <w:sz w:val="18"/>
                <w:szCs w:val="18"/>
              </w:rPr>
            </w:pPr>
            <w:r w:rsidRPr="00D70EC5">
              <w:rPr>
                <w:rFonts w:ascii="Times New Roman" w:eastAsia="Calibri" w:hAnsi="Times New Roman" w:cs="Times New Roman"/>
                <w:i/>
                <w:sz w:val="18"/>
                <w:szCs w:val="18"/>
                <w:lang w:eastAsia="sk-SK"/>
              </w:rPr>
              <w:t>Uvedený návrh má vplyv na zraniteľnú skupinu obyvateľstva, konkrétne ide o žiadateľov o udelenie azylu, azylantov a tiež o cudzincov, ktorým sa poskytla doplnková ochrana. Návrh zákona sa zaoberá iba vyššie uvedenou zraniteľnou skupinou, na ktorú má významne pozitívny vplyv. Medzi touto skupinou obyvateľstva sa nachádzajú aj deti, mladí ľudia, ľudia so zdravotným postihnutím, starší ľudia, dôchodcovia, neúplné rodiny, preto majú žiadatelia, azylanti a cudzinci, ktorým sa  poskytla doplnková ochrana častokrát viac zraniteľností súčasne. To sa vzťahuje aj na skupinu žien cudziniek, ktoré žiadajú o udelenie azylu alebo majú udelený azyl alebo poskytnutú doplnkovú ochrany.</w:t>
            </w:r>
          </w:p>
        </w:tc>
      </w:tr>
      <w:tr w:rsidR="00436132" w:rsidRPr="002644DE" w:rsidTr="008D53D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436132" w:rsidRPr="002644DE" w:rsidRDefault="00436132" w:rsidP="008D53DB">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436132" w:rsidRPr="002644DE" w:rsidRDefault="00436132" w:rsidP="00436132">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436132" w:rsidRPr="002644DE" w:rsidRDefault="00436132" w:rsidP="00436132">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436132" w:rsidRPr="002644DE" w:rsidRDefault="00436132" w:rsidP="00436132">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436132" w:rsidRPr="002644DE" w:rsidRDefault="00436132" w:rsidP="00436132">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436132" w:rsidRPr="002644DE" w:rsidRDefault="00436132" w:rsidP="00436132">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436132" w:rsidRPr="002644DE" w:rsidRDefault="00436132" w:rsidP="00436132">
            <w:pPr>
              <w:numPr>
                <w:ilvl w:val="0"/>
                <w:numId w:val="7"/>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436132" w:rsidRPr="002644DE" w:rsidRDefault="00436132" w:rsidP="00436132">
            <w:pPr>
              <w:numPr>
                <w:ilvl w:val="0"/>
                <w:numId w:val="7"/>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436132" w:rsidRPr="00D70EC5" w:rsidRDefault="00436132" w:rsidP="008D53DB">
            <w:pPr>
              <w:spacing w:after="0" w:line="240" w:lineRule="auto"/>
              <w:jc w:val="both"/>
              <w:rPr>
                <w:rFonts w:ascii="Times New Roman" w:eastAsia="Calibri" w:hAnsi="Times New Roman" w:cs="Times New Roman"/>
                <w:i/>
                <w:sz w:val="18"/>
                <w:szCs w:val="18"/>
              </w:rPr>
            </w:pPr>
            <w:r w:rsidRPr="00D70EC5">
              <w:rPr>
                <w:rFonts w:ascii="Times New Roman" w:eastAsia="Calibri" w:hAnsi="Times New Roman" w:cs="Times New Roman"/>
                <w:i/>
                <w:sz w:val="18"/>
                <w:szCs w:val="18"/>
              </w:rPr>
              <w:t>V návrhu nie sú žiadne ustanovenia, ktoré by negatívne ovplyvňovali rovnosť žien a mužov.</w:t>
            </w:r>
          </w:p>
        </w:tc>
      </w:tr>
    </w:tbl>
    <w:p w:rsidR="00436132" w:rsidRPr="002644DE" w:rsidRDefault="00436132" w:rsidP="00436132">
      <w:pPr>
        <w:spacing w:after="0" w:line="240" w:lineRule="auto"/>
        <w:rPr>
          <w:rFonts w:ascii="Times New Roman" w:eastAsia="Calibri" w:hAnsi="Times New Roman" w:cs="Times New Roman"/>
          <w:b/>
          <w:sz w:val="24"/>
          <w:lang w:eastAsia="sk-SK"/>
        </w:rPr>
        <w:sectPr w:rsidR="00436132" w:rsidRPr="002644DE" w:rsidSect="008D53D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4"/>
        <w:gridCol w:w="5715"/>
      </w:tblGrid>
      <w:tr w:rsidR="00436132" w:rsidRPr="002644DE" w:rsidTr="008D53DB">
        <w:trPr>
          <w:jc w:val="center"/>
        </w:trPr>
        <w:tc>
          <w:tcPr>
            <w:tcW w:w="5000" w:type="pct"/>
            <w:gridSpan w:val="3"/>
            <w:shd w:val="clear" w:color="auto" w:fill="D9D9D9"/>
          </w:tcPr>
          <w:p w:rsidR="00436132" w:rsidRPr="002644DE" w:rsidRDefault="00436132" w:rsidP="008D53DB">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436132" w:rsidRPr="002644DE" w:rsidRDefault="00436132" w:rsidP="008D53DB">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436132" w:rsidRPr="002644DE" w:rsidTr="008D53DB">
        <w:trPr>
          <w:trHeight w:val="287"/>
          <w:jc w:val="center"/>
        </w:trPr>
        <w:tc>
          <w:tcPr>
            <w:tcW w:w="129" w:type="pct"/>
            <w:tcBorders>
              <w:top w:val="nil"/>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436132" w:rsidRPr="002644DE" w:rsidTr="008D53DB">
        <w:trPr>
          <w:trHeight w:val="567"/>
          <w:jc w:val="center"/>
        </w:trPr>
        <w:tc>
          <w:tcPr>
            <w:tcW w:w="129" w:type="pct"/>
            <w:tcBorders>
              <w:top w:val="nil"/>
              <w:bottom w:val="single" w:sz="4" w:space="0" w:color="auto"/>
            </w:tcBorders>
            <w:shd w:val="clear" w:color="auto" w:fill="FFFFFF"/>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436132" w:rsidRPr="00D70EC5" w:rsidRDefault="00436132" w:rsidP="008D53DB">
            <w:pPr>
              <w:spacing w:after="0" w:line="240" w:lineRule="auto"/>
              <w:jc w:val="both"/>
              <w:rPr>
                <w:rFonts w:ascii="Times New Roman" w:eastAsia="Calibri" w:hAnsi="Times New Roman" w:cs="Times New Roman"/>
                <w:i/>
                <w:sz w:val="18"/>
                <w:szCs w:val="18"/>
              </w:rPr>
            </w:pPr>
            <w:r w:rsidRPr="00D70EC5">
              <w:rPr>
                <w:rFonts w:ascii="Times New Roman" w:eastAsia="Calibri" w:hAnsi="Times New Roman" w:cs="Times New Roman"/>
                <w:i/>
                <w:sz w:val="18"/>
                <w:szCs w:val="18"/>
              </w:rPr>
              <w:t>Pôjde o skupinu zamestnancov - žiadateľov o udelenie azylu.</w:t>
            </w:r>
          </w:p>
        </w:tc>
      </w:tr>
      <w:tr w:rsidR="00436132" w:rsidRPr="002644DE" w:rsidTr="008D53DB">
        <w:trPr>
          <w:trHeight w:val="270"/>
          <w:jc w:val="center"/>
        </w:trPr>
        <w:tc>
          <w:tcPr>
            <w:tcW w:w="129"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436132" w:rsidRPr="002644DE" w:rsidTr="008D53DB">
        <w:trPr>
          <w:trHeight w:val="454"/>
          <w:jc w:val="center"/>
        </w:trPr>
        <w:tc>
          <w:tcPr>
            <w:tcW w:w="129" w:type="pct"/>
            <w:tcBorders>
              <w:bottom w:val="single" w:sz="4" w:space="0" w:color="auto"/>
            </w:tcBorders>
            <w:shd w:val="clear" w:color="auto" w:fill="FFFFFF"/>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436132" w:rsidRPr="00D70EC5" w:rsidRDefault="00436132" w:rsidP="008D53DB">
            <w:pPr>
              <w:spacing w:after="0" w:line="240" w:lineRule="auto"/>
              <w:rPr>
                <w:rFonts w:ascii="Times New Roman" w:eastAsia="Calibri" w:hAnsi="Times New Roman" w:cs="Times New Roman"/>
                <w:i/>
                <w:sz w:val="18"/>
                <w:szCs w:val="18"/>
              </w:rPr>
            </w:pPr>
            <w:r w:rsidRPr="00D70EC5">
              <w:rPr>
                <w:rFonts w:ascii="Times New Roman" w:eastAsia="Calibri" w:hAnsi="Times New Roman" w:cs="Times New Roman"/>
                <w:i/>
                <w:sz w:val="18"/>
                <w:szCs w:val="18"/>
              </w:rPr>
              <w:t>Nie.</w:t>
            </w:r>
          </w:p>
        </w:tc>
      </w:tr>
      <w:tr w:rsidR="00436132" w:rsidRPr="002644DE" w:rsidTr="008D53DB">
        <w:trPr>
          <w:trHeight w:val="248"/>
          <w:jc w:val="center"/>
        </w:trPr>
        <w:tc>
          <w:tcPr>
            <w:tcW w:w="129"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436132" w:rsidRPr="002644DE" w:rsidTr="008D53DB">
        <w:trPr>
          <w:trHeight w:val="209"/>
          <w:jc w:val="center"/>
        </w:trPr>
        <w:tc>
          <w:tcPr>
            <w:tcW w:w="129" w:type="pct"/>
            <w:tcBorders>
              <w:bottom w:val="single" w:sz="4" w:space="0" w:color="auto"/>
            </w:tcBorders>
            <w:shd w:val="clear" w:color="auto" w:fill="FFFFFF"/>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436132" w:rsidRPr="00D70EC5" w:rsidRDefault="00436132" w:rsidP="008D53DB">
            <w:pPr>
              <w:spacing w:after="0" w:line="240" w:lineRule="auto"/>
              <w:rPr>
                <w:rFonts w:ascii="Times New Roman" w:eastAsia="Calibri" w:hAnsi="Times New Roman" w:cs="Times New Roman"/>
                <w:i/>
                <w:sz w:val="18"/>
                <w:szCs w:val="18"/>
              </w:rPr>
            </w:pPr>
            <w:r w:rsidRPr="00D70EC5">
              <w:rPr>
                <w:rFonts w:ascii="Times New Roman" w:eastAsia="Calibri" w:hAnsi="Times New Roman" w:cs="Times New Roman"/>
                <w:i/>
                <w:sz w:val="18"/>
                <w:szCs w:val="18"/>
              </w:rPr>
              <w:t>Nie.</w:t>
            </w:r>
          </w:p>
        </w:tc>
      </w:tr>
      <w:tr w:rsidR="00436132" w:rsidRPr="002644DE" w:rsidTr="008D53DB">
        <w:trPr>
          <w:trHeight w:val="208"/>
          <w:jc w:val="center"/>
        </w:trPr>
        <w:tc>
          <w:tcPr>
            <w:tcW w:w="129"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436132" w:rsidRPr="002644DE" w:rsidTr="008D53DB">
        <w:trPr>
          <w:trHeight w:val="794"/>
          <w:jc w:val="center"/>
        </w:trPr>
        <w:tc>
          <w:tcPr>
            <w:tcW w:w="129" w:type="pct"/>
            <w:tcBorders>
              <w:bottom w:val="single" w:sz="4" w:space="0" w:color="auto"/>
            </w:tcBorders>
            <w:shd w:val="clear" w:color="auto" w:fill="FFFFFF"/>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436132" w:rsidRPr="00D70EC5" w:rsidRDefault="00436132" w:rsidP="008D53DB">
            <w:pPr>
              <w:spacing w:after="0" w:line="240" w:lineRule="auto"/>
              <w:jc w:val="both"/>
              <w:rPr>
                <w:rFonts w:ascii="Times New Roman" w:eastAsia="Calibri" w:hAnsi="Times New Roman" w:cs="Times New Roman"/>
                <w:i/>
                <w:sz w:val="18"/>
                <w:szCs w:val="18"/>
              </w:rPr>
            </w:pPr>
            <w:r w:rsidRPr="00D70EC5">
              <w:rPr>
                <w:rFonts w:ascii="Times New Roman" w:eastAsia="Calibri" w:hAnsi="Times New Roman" w:cs="Times New Roman"/>
                <w:i/>
                <w:sz w:val="18"/>
                <w:szCs w:val="18"/>
              </w:rPr>
              <w:t>Uvedený návrh, ktorý skracuje lehotu prístupu žiadateľov o udelenie azylu na trh práce na šesť mesiacov (z pôvodných deviatich mesiacov), má zanedbateľný dosah na trh práce vzhľadom na dlhoročne nízke počty žiadateľov, avšak má pozitívny vplyv, nakoľko umožňuje využitie potenciálu žiadateľov. Návrh má pozitívny vplyv predovšetkým na samotných žiadateľov, ktorí sa oveľa rýchlejšie a jednoduchšie integrujú do spoločnosti, ak by im prípadne v budúcnosti bola udelená medzinárodná ochrana.</w:t>
            </w:r>
          </w:p>
        </w:tc>
      </w:tr>
      <w:tr w:rsidR="00436132" w:rsidRPr="002644DE" w:rsidTr="008D53DB">
        <w:trPr>
          <w:trHeight w:val="324"/>
          <w:jc w:val="center"/>
        </w:trPr>
        <w:tc>
          <w:tcPr>
            <w:tcW w:w="129"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436132" w:rsidRPr="002644DE" w:rsidTr="008D53DB">
        <w:trPr>
          <w:trHeight w:val="216"/>
          <w:jc w:val="center"/>
        </w:trPr>
        <w:tc>
          <w:tcPr>
            <w:tcW w:w="129" w:type="pct"/>
            <w:tcBorders>
              <w:bottom w:val="single" w:sz="4" w:space="0" w:color="auto"/>
            </w:tcBorders>
            <w:shd w:val="clear" w:color="auto" w:fill="FFFFFF"/>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436132" w:rsidRPr="00330C66" w:rsidRDefault="00436132" w:rsidP="008D53DB">
            <w:pPr>
              <w:spacing w:after="0" w:line="240" w:lineRule="auto"/>
              <w:jc w:val="both"/>
              <w:rPr>
                <w:rFonts w:ascii="Times New Roman" w:eastAsia="Calibri" w:hAnsi="Times New Roman" w:cs="Times New Roman"/>
                <w:i/>
                <w:sz w:val="18"/>
                <w:szCs w:val="18"/>
              </w:rPr>
            </w:pPr>
            <w:r w:rsidRPr="00330C66">
              <w:rPr>
                <w:rFonts w:ascii="Times New Roman" w:eastAsia="Calibri" w:hAnsi="Times New Roman" w:cs="Times New Roman"/>
                <w:i/>
                <w:sz w:val="18"/>
                <w:szCs w:val="18"/>
              </w:rPr>
              <w:t>Nie.</w:t>
            </w:r>
          </w:p>
        </w:tc>
      </w:tr>
      <w:tr w:rsidR="00436132" w:rsidRPr="002644DE" w:rsidTr="008D53DB">
        <w:trPr>
          <w:trHeight w:val="219"/>
          <w:jc w:val="center"/>
        </w:trPr>
        <w:tc>
          <w:tcPr>
            <w:tcW w:w="129" w:type="pct"/>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436132" w:rsidRPr="002644DE" w:rsidRDefault="00436132" w:rsidP="008D53DB">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436132" w:rsidRPr="002644DE" w:rsidTr="008D53DB">
        <w:trPr>
          <w:trHeight w:val="497"/>
          <w:jc w:val="center"/>
        </w:trPr>
        <w:tc>
          <w:tcPr>
            <w:tcW w:w="129" w:type="pct"/>
            <w:tcBorders>
              <w:bottom w:val="single" w:sz="4" w:space="0" w:color="auto"/>
            </w:tcBorders>
            <w:shd w:val="clear" w:color="auto" w:fill="FFFFFF"/>
            <w:vAlign w:val="center"/>
          </w:tcPr>
          <w:p w:rsidR="00436132" w:rsidRPr="002644DE" w:rsidRDefault="00436132" w:rsidP="008D53D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436132" w:rsidRPr="002644DE" w:rsidRDefault="00436132" w:rsidP="008D53D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436132" w:rsidRPr="00330C66" w:rsidRDefault="00436132" w:rsidP="008D53DB">
            <w:pPr>
              <w:spacing w:after="0" w:line="240" w:lineRule="auto"/>
              <w:jc w:val="both"/>
              <w:rPr>
                <w:rFonts w:ascii="Times New Roman" w:eastAsia="Calibri" w:hAnsi="Times New Roman" w:cs="Times New Roman"/>
                <w:i/>
                <w:sz w:val="18"/>
                <w:szCs w:val="18"/>
              </w:rPr>
            </w:pPr>
            <w:r w:rsidRPr="00330C66">
              <w:rPr>
                <w:rFonts w:ascii="Times New Roman" w:eastAsia="Calibri" w:hAnsi="Times New Roman" w:cs="Times New Roman"/>
                <w:i/>
                <w:sz w:val="18"/>
                <w:szCs w:val="18"/>
              </w:rPr>
              <w:t>Nie.</w:t>
            </w:r>
          </w:p>
        </w:tc>
      </w:tr>
    </w:tbl>
    <w:p w:rsidR="00436132" w:rsidRPr="0044119D" w:rsidRDefault="00436132" w:rsidP="00436132"/>
    <w:p w:rsidR="00436132" w:rsidRDefault="00436132" w:rsidP="00436132">
      <w:bookmarkStart w:id="1" w:name="_GoBack"/>
      <w:bookmarkEnd w:id="1"/>
    </w:p>
    <w:sectPr w:rsidR="00436132" w:rsidSect="00436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28" w:rsidRDefault="003B0F28">
      <w:pPr>
        <w:spacing w:after="0" w:line="240" w:lineRule="auto"/>
      </w:pPr>
      <w:r>
        <w:separator/>
      </w:r>
    </w:p>
  </w:endnote>
  <w:endnote w:type="continuationSeparator" w:id="0">
    <w:p w:rsidR="003B0F28" w:rsidRDefault="003B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DB" w:rsidRDefault="008D53D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D53DB" w:rsidRDefault="008D53D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952740188"/>
      <w:docPartObj>
        <w:docPartGallery w:val="Page Numbers (Bottom of Page)"/>
        <w:docPartUnique/>
      </w:docPartObj>
    </w:sdtPr>
    <w:sdtContent>
      <w:p w:rsidR="008D53DB" w:rsidRPr="008D53DB" w:rsidRDefault="008D53DB">
        <w:pPr>
          <w:pStyle w:val="Pta"/>
          <w:jc w:val="center"/>
          <w:rPr>
            <w:rFonts w:ascii="Times New Roman" w:hAnsi="Times New Roman" w:cs="Times New Roman"/>
            <w:sz w:val="20"/>
          </w:rPr>
        </w:pPr>
        <w:r w:rsidRPr="008D53DB">
          <w:rPr>
            <w:rFonts w:ascii="Times New Roman" w:hAnsi="Times New Roman" w:cs="Times New Roman"/>
            <w:sz w:val="20"/>
          </w:rPr>
          <w:fldChar w:fldCharType="begin"/>
        </w:r>
        <w:r w:rsidRPr="008D53DB">
          <w:rPr>
            <w:rFonts w:ascii="Times New Roman" w:hAnsi="Times New Roman" w:cs="Times New Roman"/>
            <w:sz w:val="20"/>
          </w:rPr>
          <w:instrText>PAGE   \* MERGEFORMAT</w:instrText>
        </w:r>
        <w:r w:rsidRPr="008D53DB">
          <w:rPr>
            <w:rFonts w:ascii="Times New Roman" w:hAnsi="Times New Roman" w:cs="Times New Roman"/>
            <w:sz w:val="20"/>
          </w:rPr>
          <w:fldChar w:fldCharType="separate"/>
        </w:r>
        <w:r w:rsidR="00FE46F6">
          <w:rPr>
            <w:rFonts w:ascii="Times New Roman" w:hAnsi="Times New Roman" w:cs="Times New Roman"/>
            <w:noProof/>
            <w:sz w:val="20"/>
          </w:rPr>
          <w:t>7</w:t>
        </w:r>
        <w:r w:rsidRPr="008D53DB">
          <w:rPr>
            <w:rFonts w:ascii="Times New Roman" w:hAnsi="Times New Roman" w:cs="Times New Roman"/>
            <w:sz w:val="20"/>
          </w:rPr>
          <w:fldChar w:fldCharType="end"/>
        </w:r>
      </w:p>
    </w:sdtContent>
  </w:sdt>
  <w:p w:rsidR="008D53DB" w:rsidRDefault="008D53D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DB" w:rsidRDefault="008D53DB">
    <w:pPr>
      <w:pStyle w:val="Pta"/>
      <w:jc w:val="right"/>
    </w:pPr>
    <w:r>
      <w:fldChar w:fldCharType="begin"/>
    </w:r>
    <w:r>
      <w:instrText>PAGE   \* MERGEFORMAT</w:instrText>
    </w:r>
    <w:r>
      <w:fldChar w:fldCharType="separate"/>
    </w:r>
    <w:r>
      <w:rPr>
        <w:noProof/>
      </w:rPr>
      <w:t>0</w:t>
    </w:r>
    <w:r>
      <w:fldChar w:fldCharType="end"/>
    </w:r>
  </w:p>
  <w:p w:rsidR="008D53DB" w:rsidRDefault="008D53D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8D53DB" w:rsidRPr="006045CB" w:rsidRDefault="008D53DB" w:rsidP="008D53DB">
        <w:pPr>
          <w:pStyle w:val="Pta"/>
          <w:jc w:val="center"/>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E46F6">
          <w:rPr>
            <w:rFonts w:ascii="Times New Roman" w:hAnsi="Times New Roman" w:cs="Times New Roman"/>
            <w:noProof/>
            <w:sz w:val="24"/>
            <w:szCs w:val="24"/>
          </w:rPr>
          <w:t>10</w:t>
        </w:r>
        <w:r w:rsidRPr="006045CB">
          <w:rPr>
            <w:rFonts w:ascii="Times New Roman" w:hAnsi="Times New Roman" w:cs="Times New Roman"/>
            <w:sz w:val="24"/>
            <w:szCs w:val="24"/>
          </w:rPr>
          <w:fldChar w:fldCharType="end"/>
        </w:r>
      </w:p>
    </w:sdtContent>
  </w:sdt>
  <w:p w:rsidR="008D53DB" w:rsidRDefault="008D53DB">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8D53DB" w:rsidRPr="001D6749" w:rsidRDefault="008D53DB" w:rsidP="008D53DB">
        <w:pPr>
          <w:pStyle w:val="Pta"/>
          <w:jc w:val="center"/>
          <w:rPr>
            <w:rFonts w:ascii="Times New Roman" w:hAnsi="Times New Roman" w:cs="Times New Roman"/>
          </w:rPr>
        </w:pPr>
        <w:r w:rsidRPr="00FE46F6">
          <w:rPr>
            <w:rFonts w:ascii="Times New Roman" w:hAnsi="Times New Roman" w:cs="Times New Roman"/>
            <w:sz w:val="16"/>
          </w:rPr>
          <w:fldChar w:fldCharType="begin"/>
        </w:r>
        <w:r w:rsidRPr="00FE46F6">
          <w:rPr>
            <w:rFonts w:ascii="Times New Roman" w:hAnsi="Times New Roman" w:cs="Times New Roman"/>
            <w:sz w:val="16"/>
          </w:rPr>
          <w:instrText>PAGE   \* MERGEFORMAT</w:instrText>
        </w:r>
        <w:r w:rsidRPr="00FE46F6">
          <w:rPr>
            <w:rFonts w:ascii="Times New Roman" w:hAnsi="Times New Roman" w:cs="Times New Roman"/>
            <w:sz w:val="16"/>
          </w:rPr>
          <w:fldChar w:fldCharType="separate"/>
        </w:r>
        <w:r w:rsidR="00FE46F6">
          <w:rPr>
            <w:rFonts w:ascii="Times New Roman" w:hAnsi="Times New Roman" w:cs="Times New Roman"/>
            <w:noProof/>
            <w:sz w:val="16"/>
          </w:rPr>
          <w:t>12</w:t>
        </w:r>
        <w:r w:rsidRPr="00FE46F6">
          <w:rPr>
            <w:rFonts w:ascii="Times New Roman" w:hAnsi="Times New Roman" w:cs="Times New Roman"/>
            <w:sz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78902475"/>
      <w:docPartObj>
        <w:docPartGallery w:val="Page Numbers (Bottom of Page)"/>
        <w:docPartUnique/>
      </w:docPartObj>
    </w:sdtPr>
    <w:sdtEndPr>
      <w:rPr>
        <w:rFonts w:ascii="Times New Roman" w:hAnsi="Times New Roman" w:cs="Times New Roman"/>
      </w:rPr>
    </w:sdtEndPr>
    <w:sdtContent>
      <w:p w:rsidR="008D53DB" w:rsidRPr="00FE46F6" w:rsidRDefault="008D53DB" w:rsidP="008D53DB">
        <w:pPr>
          <w:pStyle w:val="Pta"/>
          <w:jc w:val="center"/>
          <w:rPr>
            <w:rFonts w:ascii="Times New Roman" w:hAnsi="Times New Roman" w:cs="Times New Roman"/>
            <w:sz w:val="16"/>
            <w:szCs w:val="16"/>
          </w:rPr>
        </w:pPr>
        <w:r w:rsidRPr="00FE46F6">
          <w:rPr>
            <w:rFonts w:ascii="Times New Roman" w:hAnsi="Times New Roman" w:cs="Times New Roman"/>
            <w:sz w:val="16"/>
            <w:szCs w:val="16"/>
          </w:rPr>
          <w:fldChar w:fldCharType="begin"/>
        </w:r>
        <w:r w:rsidRPr="00FE46F6">
          <w:rPr>
            <w:rFonts w:ascii="Times New Roman" w:hAnsi="Times New Roman" w:cs="Times New Roman"/>
            <w:sz w:val="16"/>
            <w:szCs w:val="16"/>
          </w:rPr>
          <w:instrText>PAGE   \* MERGEFORMAT</w:instrText>
        </w:r>
        <w:r w:rsidRPr="00FE46F6">
          <w:rPr>
            <w:rFonts w:ascii="Times New Roman" w:hAnsi="Times New Roman" w:cs="Times New Roman"/>
            <w:sz w:val="16"/>
            <w:szCs w:val="16"/>
          </w:rPr>
          <w:fldChar w:fldCharType="separate"/>
        </w:r>
        <w:r w:rsidR="00FE46F6">
          <w:rPr>
            <w:rFonts w:ascii="Times New Roman" w:hAnsi="Times New Roman" w:cs="Times New Roman"/>
            <w:noProof/>
            <w:sz w:val="16"/>
            <w:szCs w:val="16"/>
          </w:rPr>
          <w:t>15</w:t>
        </w:r>
        <w:r w:rsidRPr="00FE46F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28" w:rsidRDefault="003B0F28">
      <w:pPr>
        <w:spacing w:after="0" w:line="240" w:lineRule="auto"/>
      </w:pPr>
      <w:r>
        <w:separator/>
      </w:r>
    </w:p>
  </w:footnote>
  <w:footnote w:type="continuationSeparator" w:id="0">
    <w:p w:rsidR="003B0F28" w:rsidRDefault="003B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DB" w:rsidRDefault="008D53DB" w:rsidP="008D53DB">
    <w:pPr>
      <w:pStyle w:val="Hlavika"/>
      <w:jc w:val="right"/>
      <w:rPr>
        <w:sz w:val="24"/>
        <w:szCs w:val="24"/>
      </w:rPr>
    </w:pPr>
    <w:r>
      <w:rPr>
        <w:sz w:val="24"/>
        <w:szCs w:val="24"/>
      </w:rPr>
      <w:t>Príloha č. 2</w:t>
    </w:r>
  </w:p>
  <w:p w:rsidR="008D53DB" w:rsidRPr="00EB59C8" w:rsidRDefault="008D53DB" w:rsidP="008D53DB">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DB" w:rsidRPr="0024067A" w:rsidRDefault="008D53DB">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DB" w:rsidRPr="000A15AE" w:rsidRDefault="008D53DB" w:rsidP="008D53DB">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DB" w:rsidRPr="00CD4982" w:rsidRDefault="008D53DB" w:rsidP="008D53DB">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DB" w:rsidRPr="00433C47" w:rsidRDefault="008D53DB" w:rsidP="008D53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6A4"/>
    <w:multiLevelType w:val="hybridMultilevel"/>
    <w:tmpl w:val="28EE816E"/>
    <w:lvl w:ilvl="0" w:tplc="6A02595A">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6E4140"/>
    <w:multiLevelType w:val="hybridMultilevel"/>
    <w:tmpl w:val="F0F4577E"/>
    <w:lvl w:ilvl="0" w:tplc="041B0005">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FBE2E7B"/>
    <w:multiLevelType w:val="hybridMultilevel"/>
    <w:tmpl w:val="39DE4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421D72"/>
    <w:multiLevelType w:val="hybridMultilevel"/>
    <w:tmpl w:val="B5680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58"/>
    <w:rsid w:val="000A624D"/>
    <w:rsid w:val="00126252"/>
    <w:rsid w:val="0016057B"/>
    <w:rsid w:val="00261CEE"/>
    <w:rsid w:val="00286CED"/>
    <w:rsid w:val="00286EE0"/>
    <w:rsid w:val="002A0CF1"/>
    <w:rsid w:val="002B781D"/>
    <w:rsid w:val="002F2A58"/>
    <w:rsid w:val="00322769"/>
    <w:rsid w:val="00333B84"/>
    <w:rsid w:val="003451F8"/>
    <w:rsid w:val="003B0F28"/>
    <w:rsid w:val="003D7A58"/>
    <w:rsid w:val="00436132"/>
    <w:rsid w:val="004B5BAA"/>
    <w:rsid w:val="00565439"/>
    <w:rsid w:val="006F0646"/>
    <w:rsid w:val="00717B81"/>
    <w:rsid w:val="0073033D"/>
    <w:rsid w:val="008346AF"/>
    <w:rsid w:val="00860838"/>
    <w:rsid w:val="0087401D"/>
    <w:rsid w:val="008B47B4"/>
    <w:rsid w:val="008D53DB"/>
    <w:rsid w:val="008F2E9C"/>
    <w:rsid w:val="00907AAA"/>
    <w:rsid w:val="00937517"/>
    <w:rsid w:val="00B56CD9"/>
    <w:rsid w:val="00B737A6"/>
    <w:rsid w:val="00C40568"/>
    <w:rsid w:val="00DB7CF1"/>
    <w:rsid w:val="00F20DB3"/>
    <w:rsid w:val="00FA0F35"/>
    <w:rsid w:val="00FE46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A036"/>
  <w15:docId w15:val="{5C62D233-F397-4FB5-A486-F63B0CBC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7A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3D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3D7A58"/>
    <w:pPr>
      <w:tabs>
        <w:tab w:val="center" w:pos="4536"/>
        <w:tab w:val="right" w:pos="9072"/>
      </w:tabs>
      <w:spacing w:after="0" w:line="240" w:lineRule="auto"/>
    </w:pPr>
  </w:style>
  <w:style w:type="character" w:customStyle="1" w:styleId="PtaChar">
    <w:name w:val="Päta Char"/>
    <w:basedOn w:val="Predvolenpsmoodseku"/>
    <w:link w:val="Pta"/>
    <w:uiPriority w:val="99"/>
    <w:rsid w:val="003D7A58"/>
  </w:style>
  <w:style w:type="character" w:styleId="Hypertextovprepojenie">
    <w:name w:val="Hyperlink"/>
    <w:basedOn w:val="Predvolenpsmoodseku"/>
    <w:uiPriority w:val="99"/>
    <w:unhideWhenUsed/>
    <w:rsid w:val="003D7A58"/>
    <w:rPr>
      <w:color w:val="0563C1" w:themeColor="hyperlink"/>
      <w:u w:val="single"/>
    </w:rPr>
  </w:style>
  <w:style w:type="table" w:styleId="Mriekatabuky">
    <w:name w:val="Table Grid"/>
    <w:basedOn w:val="Normlnatabuka"/>
    <w:uiPriority w:val="39"/>
    <w:rsid w:val="003D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00e1lny">
    <w:name w:val="norm_00e1lny"/>
    <w:basedOn w:val="Normlny"/>
    <w:rsid w:val="00286CED"/>
    <w:pPr>
      <w:spacing w:after="0" w:line="200" w:lineRule="atLeast"/>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2A0C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A0CF1"/>
    <w:rPr>
      <w:rFonts w:ascii="Tahoma" w:hAnsi="Tahoma" w:cs="Tahoma"/>
      <w:sz w:val="16"/>
      <w:szCs w:val="16"/>
    </w:rPr>
  </w:style>
  <w:style w:type="paragraph" w:styleId="Hlavika">
    <w:name w:val="header"/>
    <w:basedOn w:val="Normlny"/>
    <w:link w:val="HlavikaChar"/>
    <w:uiPriority w:val="99"/>
    <w:unhideWhenUsed/>
    <w:rsid w:val="00261C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CEE"/>
  </w:style>
  <w:style w:type="character" w:styleId="slostrany">
    <w:name w:val="page number"/>
    <w:basedOn w:val="Predvolenpsmoodseku"/>
    <w:uiPriority w:val="99"/>
    <w:rsid w:val="00261C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114">
      <w:bodyDiv w:val="1"/>
      <w:marLeft w:val="0"/>
      <w:marRight w:val="0"/>
      <w:marTop w:val="0"/>
      <w:marBottom w:val="0"/>
      <w:divBdr>
        <w:top w:val="none" w:sz="0" w:space="0" w:color="auto"/>
        <w:left w:val="none" w:sz="0" w:space="0" w:color="auto"/>
        <w:bottom w:val="none" w:sz="0" w:space="0" w:color="auto"/>
        <w:right w:val="none" w:sz="0" w:space="0" w:color="auto"/>
      </w:divBdr>
    </w:div>
    <w:div w:id="995449165">
      <w:bodyDiv w:val="1"/>
      <w:marLeft w:val="0"/>
      <w:marRight w:val="0"/>
      <w:marTop w:val="0"/>
      <w:marBottom w:val="0"/>
      <w:divBdr>
        <w:top w:val="none" w:sz="0" w:space="0" w:color="auto"/>
        <w:left w:val="none" w:sz="0" w:space="0" w:color="auto"/>
        <w:bottom w:val="none" w:sz="0" w:space="0" w:color="auto"/>
        <w:right w:val="none" w:sz="0" w:space="0" w:color="auto"/>
      </w:divBdr>
    </w:div>
    <w:div w:id="1498960286">
      <w:bodyDiv w:val="1"/>
      <w:marLeft w:val="0"/>
      <w:marRight w:val="0"/>
      <w:marTop w:val="0"/>
      <w:marBottom w:val="0"/>
      <w:divBdr>
        <w:top w:val="none" w:sz="0" w:space="0" w:color="auto"/>
        <w:left w:val="none" w:sz="0" w:space="0" w:color="auto"/>
        <w:bottom w:val="none" w:sz="0" w:space="0" w:color="auto"/>
        <w:right w:val="none" w:sz="0" w:space="0" w:color="auto"/>
      </w:divBdr>
    </w:div>
    <w:div w:id="20470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bradacova@minv.sk"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nina.secikova@minv.sk"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mfsr.sk/sk/financie/institut-financnej-politiky/ekonomicke-prognozy/makroekonomicke-prognozy/57-zasadnutie-vyboru-makroekonomicke-prognozy-september-2021.html"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minv.sk/?statistiky-20"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15</Pages>
  <Words>6060</Words>
  <Characters>34544</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Bradáčová</dc:creator>
  <cp:keywords/>
  <dc:description/>
  <cp:lastModifiedBy>Marianna Ferancova</cp:lastModifiedBy>
  <cp:revision>18</cp:revision>
  <cp:lastPrinted>2021-12-07T07:25:00Z</cp:lastPrinted>
  <dcterms:created xsi:type="dcterms:W3CDTF">2021-09-22T06:30:00Z</dcterms:created>
  <dcterms:modified xsi:type="dcterms:W3CDTF">2021-12-08T06:52:00Z</dcterms:modified>
</cp:coreProperties>
</file>