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3" w:tblpY="1"/>
        <w:tblOverlap w:val="never"/>
        <w:tblW w:w="15489"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52"/>
        <w:gridCol w:w="4253"/>
        <w:gridCol w:w="708"/>
        <w:gridCol w:w="993"/>
        <w:gridCol w:w="708"/>
        <w:gridCol w:w="6379"/>
        <w:gridCol w:w="567"/>
        <w:gridCol w:w="1129"/>
      </w:tblGrid>
      <w:tr w:rsidR="001B7551" w:rsidRPr="001902B7" w:rsidTr="000C53D4">
        <w:trPr>
          <w:trHeight w:val="396"/>
        </w:trPr>
        <w:tc>
          <w:tcPr>
            <w:tcW w:w="15489" w:type="dxa"/>
            <w:gridSpan w:val="8"/>
            <w:tcBorders>
              <w:top w:val="single" w:sz="12" w:space="0" w:color="auto"/>
              <w:left w:val="single" w:sz="12" w:space="0" w:color="auto"/>
              <w:bottom w:val="single" w:sz="4" w:space="0" w:color="auto"/>
              <w:right w:val="single" w:sz="12" w:space="0" w:color="auto"/>
            </w:tcBorders>
          </w:tcPr>
          <w:p w:rsidR="001B7551" w:rsidRPr="001902B7" w:rsidRDefault="001B7551" w:rsidP="00A33DAA">
            <w:pPr>
              <w:pStyle w:val="Nadpis1"/>
              <w:widowControl/>
              <w:contextualSpacing/>
              <w:rPr>
                <w:sz w:val="20"/>
                <w:szCs w:val="20"/>
              </w:rPr>
            </w:pPr>
            <w:bookmarkStart w:id="0" w:name="_GoBack"/>
            <w:bookmarkEnd w:id="0"/>
            <w:r w:rsidRPr="001902B7">
              <w:rPr>
                <w:sz w:val="20"/>
                <w:szCs w:val="20"/>
              </w:rPr>
              <w:t>TABUĽKA  ZHODY</w:t>
            </w:r>
          </w:p>
          <w:p w:rsidR="001B7551" w:rsidRPr="001902B7" w:rsidRDefault="0013370F" w:rsidP="000C53D4">
            <w:pPr>
              <w:contextualSpacing/>
              <w:jc w:val="center"/>
              <w:rPr>
                <w:b/>
                <w:sz w:val="20"/>
                <w:szCs w:val="20"/>
              </w:rPr>
            </w:pPr>
            <w:r w:rsidRPr="001902B7">
              <w:rPr>
                <w:b/>
                <w:sz w:val="20"/>
                <w:szCs w:val="20"/>
              </w:rPr>
              <w:t>návrhu zákona</w:t>
            </w:r>
            <w:r w:rsidR="001B7551" w:rsidRPr="001902B7">
              <w:rPr>
                <w:sz w:val="20"/>
                <w:szCs w:val="20"/>
              </w:rPr>
              <w:t xml:space="preserve"> </w:t>
            </w:r>
            <w:r w:rsidRPr="001902B7">
              <w:rPr>
                <w:b/>
                <w:sz w:val="20"/>
                <w:szCs w:val="20"/>
              </w:rPr>
              <w:t>o centrálnom registri účtov a o zmene a doplnení niektorých zákonov</w:t>
            </w:r>
          </w:p>
        </w:tc>
      </w:tr>
      <w:tr w:rsidR="001B7551" w:rsidRPr="001902B7" w:rsidTr="000C53D4">
        <w:trPr>
          <w:trHeight w:val="567"/>
        </w:trPr>
        <w:tc>
          <w:tcPr>
            <w:tcW w:w="5713" w:type="dxa"/>
            <w:gridSpan w:val="3"/>
            <w:tcBorders>
              <w:top w:val="single" w:sz="4" w:space="0" w:color="auto"/>
              <w:left w:val="single" w:sz="12" w:space="0" w:color="auto"/>
              <w:bottom w:val="single" w:sz="4" w:space="0" w:color="auto"/>
              <w:right w:val="single" w:sz="12" w:space="0" w:color="auto"/>
            </w:tcBorders>
          </w:tcPr>
          <w:p w:rsidR="001B7551" w:rsidRPr="00C1754E" w:rsidRDefault="00C1754E" w:rsidP="00C1754E">
            <w:pPr>
              <w:pStyle w:val="Zkladntext3"/>
              <w:widowControl/>
              <w:contextualSpacing/>
              <w:rPr>
                <w:b/>
                <w:bCs/>
                <w:sz w:val="20"/>
                <w:szCs w:val="20"/>
              </w:rPr>
            </w:pPr>
            <w:r w:rsidRPr="00C1754E">
              <w:rPr>
                <w:b/>
                <w:bCs/>
                <w:sz w:val="20"/>
                <w:szCs w:val="20"/>
              </w:rPr>
              <w:t>Smernica Európskeho parlamentu a Rady (EÚ) 2018/843 z 30. mája 2018, ktorou sa mení smernica (EÚ) 2015/849 o predchádzaní využívaniu finančného systému na účely prania špinavých peňazí alebo financovania terorizmu a smernice 2009/138/ES a 2013/</w:t>
            </w:r>
            <w:r>
              <w:rPr>
                <w:b/>
                <w:bCs/>
                <w:sz w:val="20"/>
                <w:szCs w:val="20"/>
              </w:rPr>
              <w:t>36/EÚ (Text s významom pre EHP) (Ú. v. EÚ L 156, 19. 6. 2018)</w:t>
            </w:r>
          </w:p>
        </w:tc>
        <w:tc>
          <w:tcPr>
            <w:tcW w:w="9776" w:type="dxa"/>
            <w:gridSpan w:val="5"/>
            <w:tcBorders>
              <w:top w:val="single" w:sz="4" w:space="0" w:color="auto"/>
              <w:left w:val="nil"/>
              <w:bottom w:val="single" w:sz="4" w:space="0" w:color="auto"/>
              <w:right w:val="single" w:sz="12" w:space="0" w:color="auto"/>
            </w:tcBorders>
          </w:tcPr>
          <w:p w:rsidR="001B7551" w:rsidRPr="00301DE6" w:rsidRDefault="001B7551" w:rsidP="00301DE6">
            <w:pPr>
              <w:pStyle w:val="Hlavika"/>
              <w:widowControl/>
              <w:tabs>
                <w:tab w:val="left" w:pos="709"/>
              </w:tabs>
              <w:contextualSpacing/>
              <w:jc w:val="center"/>
              <w:rPr>
                <w:b/>
                <w:sz w:val="20"/>
                <w:szCs w:val="20"/>
              </w:rPr>
            </w:pPr>
            <w:r w:rsidRPr="00301DE6">
              <w:rPr>
                <w:b/>
                <w:sz w:val="20"/>
                <w:szCs w:val="20"/>
              </w:rPr>
              <w:t>Právne predpisy Slovenskej republiky</w:t>
            </w:r>
          </w:p>
          <w:p w:rsidR="0013370F" w:rsidRPr="001902B7" w:rsidRDefault="0013370F" w:rsidP="00301DE6">
            <w:pPr>
              <w:pStyle w:val="Hlavika"/>
              <w:widowControl/>
              <w:tabs>
                <w:tab w:val="left" w:pos="709"/>
              </w:tabs>
              <w:ind w:left="245"/>
              <w:contextualSpacing/>
              <w:jc w:val="both"/>
              <w:rPr>
                <w:sz w:val="20"/>
                <w:szCs w:val="20"/>
              </w:rPr>
            </w:pPr>
          </w:p>
          <w:p w:rsidR="001B7551" w:rsidRPr="00C1754E" w:rsidRDefault="000C53D4" w:rsidP="00C1754E">
            <w:pPr>
              <w:pStyle w:val="Hlavika"/>
              <w:widowControl/>
              <w:numPr>
                <w:ilvl w:val="0"/>
                <w:numId w:val="1"/>
              </w:numPr>
              <w:tabs>
                <w:tab w:val="clear" w:pos="360"/>
                <w:tab w:val="left" w:pos="709"/>
              </w:tabs>
              <w:ind w:left="245" w:hanging="245"/>
              <w:contextualSpacing/>
              <w:jc w:val="both"/>
              <w:rPr>
                <w:sz w:val="20"/>
                <w:szCs w:val="20"/>
              </w:rPr>
            </w:pPr>
            <w:r w:rsidRPr="00301DE6">
              <w:rPr>
                <w:sz w:val="20"/>
                <w:szCs w:val="20"/>
              </w:rPr>
              <w:t>návrh zákona o centrálnom registri účtov a o zmene a doplnení niektorých zákonov</w:t>
            </w:r>
            <w:r w:rsidR="001E5E69" w:rsidRPr="00301DE6">
              <w:rPr>
                <w:sz w:val="20"/>
                <w:szCs w:val="20"/>
              </w:rPr>
              <w:t xml:space="preserve"> (ďalej len „návrh zákona“)</w:t>
            </w:r>
          </w:p>
        </w:tc>
      </w:tr>
      <w:tr w:rsidR="001B7551" w:rsidRPr="001902B7" w:rsidTr="000C53D4">
        <w:tc>
          <w:tcPr>
            <w:tcW w:w="752" w:type="dxa"/>
            <w:tcBorders>
              <w:top w:val="single" w:sz="4" w:space="0" w:color="auto"/>
              <w:left w:val="single" w:sz="12" w:space="0" w:color="auto"/>
              <w:bottom w:val="single" w:sz="4" w:space="0" w:color="auto"/>
              <w:right w:val="single" w:sz="4" w:space="0" w:color="auto"/>
            </w:tcBorders>
          </w:tcPr>
          <w:p w:rsidR="001B7551" w:rsidRPr="001902B7" w:rsidRDefault="001B7551" w:rsidP="00A33DAA">
            <w:pPr>
              <w:widowControl/>
              <w:contextualSpacing/>
              <w:jc w:val="center"/>
              <w:rPr>
                <w:sz w:val="20"/>
                <w:szCs w:val="20"/>
              </w:rPr>
            </w:pPr>
            <w:r w:rsidRPr="001902B7">
              <w:rPr>
                <w:sz w:val="20"/>
                <w:szCs w:val="20"/>
              </w:rPr>
              <w:t>1</w:t>
            </w:r>
          </w:p>
        </w:tc>
        <w:tc>
          <w:tcPr>
            <w:tcW w:w="4253"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widowControl/>
              <w:contextualSpacing/>
              <w:jc w:val="center"/>
              <w:rPr>
                <w:sz w:val="20"/>
                <w:szCs w:val="20"/>
              </w:rPr>
            </w:pPr>
            <w:r w:rsidRPr="001902B7">
              <w:rPr>
                <w:sz w:val="20"/>
                <w:szCs w:val="20"/>
              </w:rPr>
              <w:t>2</w:t>
            </w:r>
          </w:p>
        </w:tc>
        <w:tc>
          <w:tcPr>
            <w:tcW w:w="708" w:type="dxa"/>
            <w:tcBorders>
              <w:top w:val="single" w:sz="4" w:space="0" w:color="auto"/>
              <w:left w:val="single" w:sz="4" w:space="0" w:color="auto"/>
              <w:bottom w:val="single" w:sz="4" w:space="0" w:color="auto"/>
              <w:right w:val="single" w:sz="12" w:space="0" w:color="auto"/>
            </w:tcBorders>
          </w:tcPr>
          <w:p w:rsidR="001B7551" w:rsidRPr="001902B7" w:rsidRDefault="001B7551" w:rsidP="00A33DAA">
            <w:pPr>
              <w:widowControl/>
              <w:contextualSpacing/>
              <w:jc w:val="center"/>
              <w:rPr>
                <w:sz w:val="20"/>
                <w:szCs w:val="20"/>
              </w:rPr>
            </w:pPr>
            <w:r w:rsidRPr="001902B7">
              <w:rPr>
                <w:sz w:val="20"/>
                <w:szCs w:val="20"/>
              </w:rPr>
              <w:t>3</w:t>
            </w:r>
          </w:p>
        </w:tc>
        <w:tc>
          <w:tcPr>
            <w:tcW w:w="993" w:type="dxa"/>
            <w:tcBorders>
              <w:top w:val="single" w:sz="4" w:space="0" w:color="auto"/>
              <w:left w:val="nil"/>
              <w:bottom w:val="single" w:sz="4" w:space="0" w:color="auto"/>
              <w:right w:val="single" w:sz="4" w:space="0" w:color="auto"/>
            </w:tcBorders>
          </w:tcPr>
          <w:p w:rsidR="001B7551" w:rsidRPr="001902B7" w:rsidRDefault="001B7551" w:rsidP="00A33DAA">
            <w:pPr>
              <w:widowControl/>
              <w:contextualSpacing/>
              <w:jc w:val="center"/>
              <w:rPr>
                <w:sz w:val="20"/>
                <w:szCs w:val="20"/>
              </w:rPr>
            </w:pPr>
            <w:r w:rsidRPr="001902B7">
              <w:rPr>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Zarkazkladnhotextu"/>
              <w:widowControl/>
              <w:spacing w:after="0"/>
              <w:ind w:left="0"/>
              <w:contextualSpacing/>
              <w:jc w:val="center"/>
            </w:pPr>
            <w:r w:rsidRPr="001902B7">
              <w:t>5</w:t>
            </w:r>
          </w:p>
        </w:tc>
        <w:tc>
          <w:tcPr>
            <w:tcW w:w="6379"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Zarkazkladnhotextu"/>
              <w:widowControl/>
              <w:spacing w:after="0"/>
              <w:ind w:left="0"/>
              <w:contextualSpacing/>
              <w:jc w:val="center"/>
            </w:pPr>
            <w:r w:rsidRPr="001902B7">
              <w:t>6</w:t>
            </w:r>
          </w:p>
        </w:tc>
        <w:tc>
          <w:tcPr>
            <w:tcW w:w="567"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widowControl/>
              <w:contextualSpacing/>
              <w:jc w:val="center"/>
              <w:rPr>
                <w:sz w:val="20"/>
                <w:szCs w:val="20"/>
              </w:rPr>
            </w:pPr>
            <w:r w:rsidRPr="001902B7">
              <w:rPr>
                <w:sz w:val="20"/>
                <w:szCs w:val="20"/>
              </w:rPr>
              <w:t>7</w:t>
            </w:r>
          </w:p>
        </w:tc>
        <w:tc>
          <w:tcPr>
            <w:tcW w:w="1129" w:type="dxa"/>
            <w:tcBorders>
              <w:top w:val="single" w:sz="4" w:space="0" w:color="auto"/>
              <w:left w:val="single" w:sz="4" w:space="0" w:color="auto"/>
              <w:bottom w:val="single" w:sz="4" w:space="0" w:color="auto"/>
            </w:tcBorders>
          </w:tcPr>
          <w:p w:rsidR="001B7551" w:rsidRPr="001902B7" w:rsidRDefault="001B7551" w:rsidP="00A33DAA">
            <w:pPr>
              <w:widowControl/>
              <w:contextualSpacing/>
              <w:jc w:val="center"/>
              <w:rPr>
                <w:sz w:val="20"/>
                <w:szCs w:val="20"/>
              </w:rPr>
            </w:pPr>
            <w:r w:rsidRPr="001902B7">
              <w:rPr>
                <w:sz w:val="20"/>
                <w:szCs w:val="20"/>
              </w:rPr>
              <w:t>8</w:t>
            </w:r>
          </w:p>
        </w:tc>
      </w:tr>
      <w:tr w:rsidR="001B7551" w:rsidRPr="001902B7" w:rsidTr="000C53D4">
        <w:tc>
          <w:tcPr>
            <w:tcW w:w="752" w:type="dxa"/>
            <w:tcBorders>
              <w:top w:val="single" w:sz="4" w:space="0" w:color="auto"/>
              <w:left w:val="single" w:sz="12" w:space="0" w:color="auto"/>
              <w:bottom w:val="single" w:sz="4" w:space="0" w:color="auto"/>
              <w:right w:val="single" w:sz="4" w:space="0" w:color="auto"/>
            </w:tcBorders>
          </w:tcPr>
          <w:p w:rsidR="001B7551" w:rsidRPr="001902B7" w:rsidRDefault="001B7551" w:rsidP="00A33DAA">
            <w:pPr>
              <w:pStyle w:val="Normlny0"/>
              <w:widowControl/>
              <w:contextualSpacing/>
            </w:pPr>
            <w:r w:rsidRPr="001902B7">
              <w:t>Článok</w:t>
            </w:r>
          </w:p>
          <w:p w:rsidR="001B7551" w:rsidRPr="001902B7" w:rsidRDefault="00333042" w:rsidP="00A33DAA">
            <w:pPr>
              <w:pStyle w:val="Normlny0"/>
              <w:widowControl/>
              <w:contextualSpacing/>
            </w:pPr>
            <w:r w:rsidRPr="001902B7">
              <w:t>(Č, O, B, V, P)</w:t>
            </w:r>
          </w:p>
        </w:tc>
        <w:tc>
          <w:tcPr>
            <w:tcW w:w="4253"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Normlny0"/>
              <w:widowControl/>
              <w:contextualSpacing/>
              <w:jc w:val="center"/>
            </w:pPr>
            <w:r w:rsidRPr="001902B7">
              <w:t>Text</w:t>
            </w:r>
          </w:p>
        </w:tc>
        <w:tc>
          <w:tcPr>
            <w:tcW w:w="708" w:type="dxa"/>
            <w:tcBorders>
              <w:top w:val="single" w:sz="4" w:space="0" w:color="auto"/>
              <w:left w:val="single" w:sz="4" w:space="0" w:color="auto"/>
              <w:bottom w:val="single" w:sz="4" w:space="0" w:color="auto"/>
              <w:right w:val="single" w:sz="12" w:space="0" w:color="auto"/>
            </w:tcBorders>
          </w:tcPr>
          <w:p w:rsidR="001B7551" w:rsidRPr="001902B7" w:rsidRDefault="001B7551" w:rsidP="00A33DAA">
            <w:pPr>
              <w:pStyle w:val="Normlny0"/>
              <w:widowControl/>
              <w:contextualSpacing/>
              <w:jc w:val="center"/>
            </w:pPr>
            <w:r w:rsidRPr="001902B7">
              <w:t>Spôsob transp.</w:t>
            </w:r>
          </w:p>
          <w:p w:rsidR="001B7551" w:rsidRPr="001902B7" w:rsidRDefault="001B7551" w:rsidP="00A33DAA">
            <w:pPr>
              <w:pStyle w:val="Normlny0"/>
              <w:widowControl/>
              <w:contextualSpacing/>
              <w:jc w:val="center"/>
            </w:pPr>
            <w:r w:rsidRPr="001902B7">
              <w:t>(N, O, D, n.a.)</w:t>
            </w:r>
          </w:p>
        </w:tc>
        <w:tc>
          <w:tcPr>
            <w:tcW w:w="993" w:type="dxa"/>
            <w:tcBorders>
              <w:top w:val="single" w:sz="4" w:space="0" w:color="auto"/>
              <w:left w:val="nil"/>
              <w:bottom w:val="single" w:sz="4" w:space="0" w:color="auto"/>
              <w:right w:val="single" w:sz="4" w:space="0" w:color="auto"/>
            </w:tcBorders>
          </w:tcPr>
          <w:p w:rsidR="001B7551" w:rsidRPr="001902B7" w:rsidRDefault="001B7551" w:rsidP="00A33DAA">
            <w:pPr>
              <w:pStyle w:val="Normlny0"/>
              <w:widowControl/>
              <w:contextualSpacing/>
              <w:jc w:val="center"/>
            </w:pPr>
            <w:r w:rsidRPr="001902B7">
              <w:t>Číslo</w:t>
            </w:r>
          </w:p>
        </w:tc>
        <w:tc>
          <w:tcPr>
            <w:tcW w:w="708"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Normlny0"/>
              <w:widowControl/>
              <w:contextualSpacing/>
              <w:jc w:val="center"/>
            </w:pPr>
            <w:r w:rsidRPr="001902B7">
              <w:t>Článok (Č, §, O, V, P)</w:t>
            </w:r>
          </w:p>
        </w:tc>
        <w:tc>
          <w:tcPr>
            <w:tcW w:w="6379" w:type="dxa"/>
            <w:tcBorders>
              <w:top w:val="single" w:sz="4" w:space="0" w:color="auto"/>
              <w:left w:val="single" w:sz="4" w:space="0" w:color="auto"/>
              <w:bottom w:val="single" w:sz="4" w:space="0" w:color="auto"/>
              <w:right w:val="single" w:sz="4" w:space="0" w:color="auto"/>
            </w:tcBorders>
          </w:tcPr>
          <w:p w:rsidR="001B7551" w:rsidRPr="001902B7" w:rsidRDefault="001B7551" w:rsidP="00A33DAA">
            <w:pPr>
              <w:pStyle w:val="Normlny0"/>
              <w:widowControl/>
              <w:contextualSpacing/>
              <w:jc w:val="center"/>
            </w:pPr>
            <w:r w:rsidRPr="001902B7">
              <w:t>Text</w:t>
            </w:r>
          </w:p>
        </w:tc>
        <w:tc>
          <w:tcPr>
            <w:tcW w:w="567" w:type="dxa"/>
            <w:tcBorders>
              <w:top w:val="single" w:sz="4" w:space="0" w:color="auto"/>
              <w:left w:val="single" w:sz="4" w:space="0" w:color="auto"/>
              <w:bottom w:val="single" w:sz="4" w:space="0" w:color="auto"/>
              <w:right w:val="single" w:sz="4" w:space="0" w:color="auto"/>
            </w:tcBorders>
          </w:tcPr>
          <w:p w:rsidR="001B7551" w:rsidRPr="001902B7" w:rsidRDefault="001B7551" w:rsidP="000C53D4">
            <w:pPr>
              <w:pStyle w:val="Normlny0"/>
              <w:widowControl/>
              <w:ind w:left="-47" w:right="-44"/>
              <w:contextualSpacing/>
              <w:jc w:val="center"/>
            </w:pPr>
            <w:r w:rsidRPr="001902B7">
              <w:t>Zhoda</w:t>
            </w:r>
          </w:p>
        </w:tc>
        <w:tc>
          <w:tcPr>
            <w:tcW w:w="1129" w:type="dxa"/>
            <w:tcBorders>
              <w:top w:val="single" w:sz="4" w:space="0" w:color="auto"/>
              <w:left w:val="single" w:sz="4" w:space="0" w:color="auto"/>
              <w:bottom w:val="single" w:sz="4" w:space="0" w:color="auto"/>
            </w:tcBorders>
          </w:tcPr>
          <w:p w:rsidR="001B7551" w:rsidRPr="001902B7" w:rsidRDefault="001B7551" w:rsidP="00A33DAA">
            <w:pPr>
              <w:pStyle w:val="Normlny0"/>
              <w:widowControl/>
              <w:contextualSpacing/>
              <w:jc w:val="center"/>
            </w:pPr>
            <w:r w:rsidRPr="001902B7">
              <w:t>Poznámky</w:t>
            </w:r>
          </w:p>
          <w:p w:rsidR="001B7551" w:rsidRPr="001902B7" w:rsidRDefault="001B7551" w:rsidP="00A33DAA">
            <w:pPr>
              <w:pStyle w:val="Normlny0"/>
              <w:widowControl/>
              <w:contextualSpacing/>
            </w:pPr>
          </w:p>
        </w:tc>
      </w:tr>
      <w:tr w:rsidR="00333042" w:rsidRPr="001902B7" w:rsidTr="000C53D4">
        <w:tc>
          <w:tcPr>
            <w:tcW w:w="752" w:type="dxa"/>
            <w:tcBorders>
              <w:top w:val="single" w:sz="4" w:space="0" w:color="auto"/>
              <w:left w:val="single" w:sz="12" w:space="0" w:color="auto"/>
              <w:bottom w:val="single" w:sz="4" w:space="0" w:color="auto"/>
              <w:right w:val="single" w:sz="4" w:space="0" w:color="auto"/>
            </w:tcBorders>
          </w:tcPr>
          <w:p w:rsidR="00C83F74" w:rsidRDefault="00C83F74" w:rsidP="00A33DAA">
            <w:pPr>
              <w:contextualSpacing/>
              <w:rPr>
                <w:sz w:val="20"/>
                <w:szCs w:val="20"/>
              </w:rPr>
            </w:pPr>
            <w:r>
              <w:rPr>
                <w:sz w:val="20"/>
                <w:szCs w:val="20"/>
              </w:rPr>
              <w:t>Č: 1</w:t>
            </w:r>
          </w:p>
          <w:p w:rsidR="00333042" w:rsidRPr="001902B7" w:rsidRDefault="00C1754E" w:rsidP="00A33DAA">
            <w:pPr>
              <w:contextualSpacing/>
              <w:rPr>
                <w:sz w:val="20"/>
                <w:szCs w:val="20"/>
              </w:rPr>
            </w:pPr>
            <w:r>
              <w:rPr>
                <w:sz w:val="20"/>
                <w:szCs w:val="20"/>
              </w:rPr>
              <w:t>B</w:t>
            </w:r>
            <w:r w:rsidR="00333042" w:rsidRPr="001902B7">
              <w:rPr>
                <w:sz w:val="20"/>
                <w:szCs w:val="20"/>
              </w:rPr>
              <w:t>: 1</w:t>
            </w:r>
            <w:r>
              <w:rPr>
                <w:sz w:val="20"/>
                <w:szCs w:val="20"/>
              </w:rPr>
              <w:t>9</w:t>
            </w:r>
          </w:p>
        </w:tc>
        <w:tc>
          <w:tcPr>
            <w:tcW w:w="4253" w:type="dxa"/>
            <w:tcBorders>
              <w:top w:val="single" w:sz="4" w:space="0" w:color="auto"/>
              <w:left w:val="single" w:sz="4" w:space="0" w:color="auto"/>
              <w:bottom w:val="single" w:sz="4" w:space="0" w:color="auto"/>
              <w:right w:val="single" w:sz="4" w:space="0" w:color="auto"/>
            </w:tcBorders>
          </w:tcPr>
          <w:p w:rsidR="00C1754E" w:rsidRDefault="00C1754E" w:rsidP="00C1754E">
            <w:pPr>
              <w:pStyle w:val="Normlny0"/>
              <w:widowControl/>
              <w:contextualSpacing/>
              <w:jc w:val="both"/>
            </w:pPr>
            <w:r>
              <w:t>19. Vkladá sa tento článok:</w:t>
            </w:r>
          </w:p>
          <w:p w:rsidR="00C1754E" w:rsidRDefault="00C1754E" w:rsidP="00C1754E">
            <w:pPr>
              <w:pStyle w:val="Normlny0"/>
              <w:widowControl/>
              <w:contextualSpacing/>
              <w:jc w:val="both"/>
            </w:pPr>
            <w:r>
              <w:t>„Článok 32a</w:t>
            </w:r>
          </w:p>
          <w:p w:rsidR="00C1754E" w:rsidRDefault="00C1754E" w:rsidP="00C1754E">
            <w:pPr>
              <w:pStyle w:val="Normlny0"/>
              <w:widowControl/>
              <w:contextualSpacing/>
              <w:jc w:val="both"/>
            </w:pPr>
            <w:r>
              <w:t>1. Členské štáty zavedú centralizované automatizované mechanizmy, ako sú napríklad centrálne registre alebo centrálne elektronické systémy vyhľadávania údajov, ktoré umožňujú včasnú identifikáciu akýchkoľvek fyzických alebo právnických osôb, ktoré vlastnia alebo kontrolujú platobné účty a bankové účty identifikované číslom IBAN, ako sú vymedzené v nariadení Európskeho parlamentu a Rady (EÚ) č. 260/2012 (</w:t>
            </w:r>
            <w:r w:rsidRPr="00247565">
              <w:rPr>
                <w:vertAlign w:val="superscript"/>
              </w:rPr>
              <w:t>*7</w:t>
            </w:r>
            <w:r>
              <w:t>), a bezpečnostné schránky vedené úverovou inštitúciou na ich území. Členské štáty oznámia Komisii charakteristické znaky uvedených vnútroštátnych mechanizmov.</w:t>
            </w:r>
          </w:p>
          <w:p w:rsidR="00C1754E" w:rsidRDefault="00C1754E" w:rsidP="00C1754E">
            <w:pPr>
              <w:pStyle w:val="Normlny0"/>
              <w:widowControl/>
              <w:contextualSpacing/>
              <w:jc w:val="both"/>
            </w:pPr>
          </w:p>
          <w:p w:rsidR="00C1754E" w:rsidRDefault="00C1754E" w:rsidP="00C1754E">
            <w:pPr>
              <w:pStyle w:val="Normlny0"/>
              <w:widowControl/>
              <w:contextualSpacing/>
              <w:jc w:val="both"/>
            </w:pPr>
            <w:r>
              <w:t>2. Členské štáty zabezpečia, aby sa informácie uchovávané v centralizovaných mechanizmoch uvedených v odseku 1 tohto článku okamžite a nefiltrovane priamo sprístupnili vnútroštátnej FIU. Tieto informácie musia byť sprístupnené aj vnútroštátnym príslušným orgánom na účely plnenia ich povinností podľa tejto smernice. Členské štáty zabezpečia, aby každá FIU bola schopná včas poskytnúť informácie uchovávané v centralizovaných mechanizmoch uvedených v odseku 1 tohto článku akejkoľvek inej FIU v súlade s článkom 53.</w:t>
            </w:r>
          </w:p>
          <w:p w:rsidR="00C1754E" w:rsidRDefault="00C1754E" w:rsidP="00C1754E">
            <w:pPr>
              <w:pStyle w:val="Normlny0"/>
              <w:widowControl/>
              <w:contextualSpacing/>
              <w:jc w:val="both"/>
            </w:pPr>
          </w:p>
          <w:p w:rsidR="00C1754E" w:rsidRDefault="00C1754E" w:rsidP="00C1754E">
            <w:pPr>
              <w:pStyle w:val="Normlny0"/>
              <w:widowControl/>
              <w:contextualSpacing/>
              <w:jc w:val="both"/>
            </w:pPr>
            <w:r>
              <w:lastRenderedPageBreak/>
              <w:t>3. Prostredníctvom centralizovaných mechanizmov uvedených v odseku 1 sa sprístupnia a dajú sa vyhľadávať tieto informácie:</w:t>
            </w:r>
          </w:p>
          <w:p w:rsidR="00C1754E" w:rsidRDefault="00C1754E" w:rsidP="00C1754E">
            <w:pPr>
              <w:pStyle w:val="Normlny0"/>
              <w:widowControl/>
              <w:contextualSpacing/>
              <w:jc w:val="both"/>
            </w:pPr>
            <w:r>
              <w:t>— v prípade klienta, ktorý je držiteľom účtu, a v prípade akejkoľvek osoby, ktorá tvrdí, že koná v mene klienta: meno doplnené buď ďalšími identifikačnými údajmi požadovanými podľa vnútroštátnych ustanovení transponujúcich článok 13 ods. 1 písm. a) alebo jedinečným identifikačným číslom;</w:t>
            </w:r>
          </w:p>
          <w:p w:rsidR="00C1754E" w:rsidRDefault="00C1754E" w:rsidP="00C1754E">
            <w:pPr>
              <w:pStyle w:val="Normlny0"/>
              <w:widowControl/>
              <w:contextualSpacing/>
              <w:jc w:val="both"/>
            </w:pPr>
            <w:r>
              <w:t>— v prípade končeného užívateľa výhod v súvislosti s klientom, ktorý je držiteľom účtu: meno doplnené buď ďalšími identifikačnými údajmi požadovanými podľa vnútroštátnych ustanovení transponujúcich článok 13 ods. 1 písm. b) alebo jedinečným identifikačným číslom;</w:t>
            </w:r>
          </w:p>
          <w:p w:rsidR="00C1754E" w:rsidRDefault="00C1754E" w:rsidP="00C1754E">
            <w:pPr>
              <w:pStyle w:val="Normlny0"/>
              <w:widowControl/>
              <w:contextualSpacing/>
              <w:jc w:val="both"/>
            </w:pPr>
            <w:r>
              <w:t>— v prípade bankového účtu alebo platobného účtu: číslo IBAN a dátum založenia a zrušenia účtu;</w:t>
            </w:r>
          </w:p>
          <w:p w:rsidR="00C1754E" w:rsidRDefault="00C1754E" w:rsidP="00C1754E">
            <w:pPr>
              <w:pStyle w:val="Normlny0"/>
              <w:widowControl/>
              <w:contextualSpacing/>
              <w:jc w:val="both"/>
            </w:pPr>
            <w:r>
              <w:t>— v prípade bezpečnostných schránok: meno prenajímateľa doplnené buď ďalšími identifikačnými údajmi požadovanými podľa vnútroštátnych ustanovení transponujúcich článok 13 ods. 1 alebo jedinečným identifikačným číslom a trvanie nájmu.</w:t>
            </w:r>
          </w:p>
          <w:p w:rsidR="00C1754E" w:rsidRDefault="00C1754E" w:rsidP="00C1754E">
            <w:pPr>
              <w:pStyle w:val="Normlny0"/>
              <w:widowControl/>
              <w:contextualSpacing/>
              <w:jc w:val="both"/>
            </w:pPr>
          </w:p>
          <w:p w:rsidR="00C1754E" w:rsidRDefault="00C1754E" w:rsidP="00C1754E">
            <w:pPr>
              <w:pStyle w:val="Normlny0"/>
              <w:widowControl/>
              <w:contextualSpacing/>
              <w:jc w:val="both"/>
            </w:pPr>
            <w:r>
              <w:t>4. Členské štáty môžu zvážiť, či budú vyžadovať, aby ďalšie informácie, ktoré sa považujú za dôležité pre FIU a príslušné orgány na účely plnenia ich povinností podľa tejto smernice, boli prístupné a vyhľadateľné prostredníctvom centralizovaných mechanizmov.</w:t>
            </w:r>
          </w:p>
          <w:p w:rsidR="00C1754E" w:rsidRDefault="00C1754E" w:rsidP="00C1754E">
            <w:pPr>
              <w:pStyle w:val="Normlny0"/>
              <w:widowControl/>
              <w:contextualSpacing/>
              <w:jc w:val="both"/>
            </w:pPr>
          </w:p>
          <w:p w:rsidR="00C1754E" w:rsidRDefault="00C1754E" w:rsidP="00C1754E">
            <w:pPr>
              <w:pStyle w:val="Normlny0"/>
              <w:widowControl/>
              <w:contextualSpacing/>
              <w:jc w:val="both"/>
            </w:pPr>
            <w:r>
              <w:t>5. Komisia do 26. júna 2020 predloží Európskemu parlamentu a Rade správu, v ktorej posúdi podmienky, technické špecifikácie a postupy na zaistenie bezpečného a účinného prepojenia centralizovaných automatizovaných mechanizmov. K tejto správe sa v náležitých prípadoch pripojí legislatívny návrh.</w:t>
            </w:r>
          </w:p>
          <w:p w:rsidR="00C1754E" w:rsidRDefault="00C1754E" w:rsidP="00C1754E">
            <w:pPr>
              <w:pStyle w:val="Normlny0"/>
              <w:widowControl/>
              <w:contextualSpacing/>
              <w:jc w:val="both"/>
            </w:pPr>
          </w:p>
          <w:p w:rsidR="00333042" w:rsidRPr="00247565" w:rsidRDefault="00C1754E" w:rsidP="00247565">
            <w:pPr>
              <w:pStyle w:val="Normlny0"/>
              <w:widowControl/>
              <w:contextualSpacing/>
              <w:jc w:val="both"/>
              <w:rPr>
                <w:sz w:val="16"/>
                <w:szCs w:val="16"/>
              </w:rPr>
            </w:pPr>
            <w:r w:rsidRPr="00247565">
              <w:rPr>
                <w:sz w:val="16"/>
                <w:szCs w:val="16"/>
              </w:rPr>
              <w:t xml:space="preserve">(*7) Nariadenie Európskeho parlamentu a Rady (EÚ) č. 260/2012 zo 14. marca 2012, ktorým sa ustanovujú technické a obchodné požiadavky na úhrady a inkasá v eurách a ktorým sa mení a dopĺňa nariadenie (ES) č. 924/2009 (Ú. </w:t>
            </w:r>
            <w:r w:rsidR="00247565" w:rsidRPr="00247565">
              <w:rPr>
                <w:sz w:val="16"/>
                <w:szCs w:val="16"/>
              </w:rPr>
              <w:t>v. EÚ L 94, 30.3.2012, s. 22).</w:t>
            </w:r>
          </w:p>
        </w:tc>
        <w:tc>
          <w:tcPr>
            <w:tcW w:w="708" w:type="dxa"/>
            <w:tcBorders>
              <w:top w:val="single" w:sz="4" w:space="0" w:color="auto"/>
              <w:left w:val="single" w:sz="4" w:space="0" w:color="auto"/>
              <w:bottom w:val="single" w:sz="4" w:space="0" w:color="auto"/>
              <w:right w:val="single" w:sz="12" w:space="0" w:color="auto"/>
            </w:tcBorders>
          </w:tcPr>
          <w:p w:rsidR="00333042" w:rsidRPr="001902B7" w:rsidRDefault="00C83F74" w:rsidP="00A33DAA">
            <w:pPr>
              <w:widowControl/>
              <w:contextualSpacing/>
              <w:jc w:val="center"/>
              <w:rPr>
                <w:sz w:val="20"/>
                <w:szCs w:val="20"/>
              </w:rPr>
            </w:pPr>
            <w:r>
              <w:rPr>
                <w:sz w:val="20"/>
                <w:szCs w:val="20"/>
              </w:rPr>
              <w:lastRenderedPageBreak/>
              <w:t>N</w:t>
            </w:r>
          </w:p>
        </w:tc>
        <w:tc>
          <w:tcPr>
            <w:tcW w:w="993" w:type="dxa"/>
            <w:tcBorders>
              <w:top w:val="single" w:sz="4" w:space="0" w:color="auto"/>
              <w:left w:val="nil"/>
              <w:bottom w:val="single" w:sz="4" w:space="0" w:color="auto"/>
              <w:right w:val="single" w:sz="4" w:space="0" w:color="auto"/>
            </w:tcBorders>
          </w:tcPr>
          <w:p w:rsidR="00333042" w:rsidRPr="001902B7" w:rsidRDefault="00B944F4" w:rsidP="00A33DAA">
            <w:pPr>
              <w:pStyle w:val="Normlny0"/>
              <w:widowControl/>
              <w:contextualSpacing/>
              <w:jc w:val="center"/>
            </w:pPr>
            <w:r>
              <w:t>návrh zákona</w:t>
            </w:r>
          </w:p>
        </w:tc>
        <w:tc>
          <w:tcPr>
            <w:tcW w:w="708" w:type="dxa"/>
            <w:tcBorders>
              <w:top w:val="single" w:sz="4" w:space="0" w:color="auto"/>
              <w:left w:val="single" w:sz="4" w:space="0" w:color="auto"/>
              <w:bottom w:val="single" w:sz="4" w:space="0" w:color="auto"/>
              <w:right w:val="single" w:sz="4" w:space="0" w:color="auto"/>
            </w:tcBorders>
          </w:tcPr>
          <w:p w:rsidR="00333042" w:rsidRDefault="00B944F4" w:rsidP="00A33DAA">
            <w:pPr>
              <w:pStyle w:val="Normlny0"/>
              <w:widowControl/>
              <w:contextualSpacing/>
              <w:jc w:val="center"/>
            </w:pPr>
            <w:r>
              <w:t>§ 3</w:t>
            </w:r>
          </w:p>
          <w:p w:rsidR="00B944F4" w:rsidRDefault="00B944F4" w:rsidP="00A33DAA">
            <w:pPr>
              <w:pStyle w:val="Normlny0"/>
              <w:widowControl/>
              <w:contextualSpacing/>
              <w:jc w:val="center"/>
            </w:pPr>
            <w:r>
              <w:t>O: 1</w:t>
            </w: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r>
              <w:t>§ 4</w:t>
            </w:r>
          </w:p>
          <w:p w:rsidR="00B944F4" w:rsidRDefault="00B944F4" w:rsidP="00A33DAA">
            <w:pPr>
              <w:pStyle w:val="Normlny0"/>
              <w:widowControl/>
              <w:contextualSpacing/>
              <w:jc w:val="center"/>
            </w:pPr>
            <w:r>
              <w:t>O: 1</w:t>
            </w: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r>
              <w:t>§ 5</w:t>
            </w:r>
          </w:p>
          <w:p w:rsidR="00B944F4" w:rsidRDefault="00B944F4" w:rsidP="00A33DAA">
            <w:pPr>
              <w:pStyle w:val="Normlny0"/>
              <w:widowControl/>
              <w:contextualSpacing/>
              <w:jc w:val="center"/>
            </w:pPr>
            <w:r>
              <w:t>O: 1</w:t>
            </w:r>
          </w:p>
          <w:p w:rsidR="00B944F4" w:rsidRDefault="00B944F4" w:rsidP="00A33DAA">
            <w:pPr>
              <w:pStyle w:val="Normlny0"/>
              <w:widowControl/>
              <w:contextualSpacing/>
              <w:jc w:val="center"/>
            </w:pPr>
            <w:r>
              <w:t>P: a)</w:t>
            </w: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p>
          <w:p w:rsidR="00B944F4" w:rsidRDefault="00B944F4" w:rsidP="00A33DAA">
            <w:pPr>
              <w:pStyle w:val="Normlny0"/>
              <w:widowControl/>
              <w:contextualSpacing/>
              <w:jc w:val="center"/>
            </w:pPr>
            <w:r>
              <w:t>§ 5</w:t>
            </w:r>
          </w:p>
          <w:p w:rsidR="00B944F4" w:rsidRDefault="00B944F4" w:rsidP="00A33DAA">
            <w:pPr>
              <w:pStyle w:val="Normlny0"/>
              <w:widowControl/>
              <w:contextualSpacing/>
              <w:jc w:val="center"/>
            </w:pPr>
            <w:r>
              <w:t>O: 2</w:t>
            </w:r>
          </w:p>
          <w:p w:rsidR="00B944F4" w:rsidRPr="001902B7" w:rsidRDefault="00B944F4" w:rsidP="00A33DAA">
            <w:pPr>
              <w:pStyle w:val="Normlny0"/>
              <w:widowControl/>
              <w:contextualSpacing/>
              <w:jc w:val="center"/>
            </w:pPr>
            <w:r>
              <w:t>V: 1</w:t>
            </w:r>
          </w:p>
        </w:tc>
        <w:tc>
          <w:tcPr>
            <w:tcW w:w="6379" w:type="dxa"/>
            <w:tcBorders>
              <w:top w:val="single" w:sz="4" w:space="0" w:color="auto"/>
              <w:left w:val="single" w:sz="4" w:space="0" w:color="auto"/>
              <w:bottom w:val="single" w:sz="4" w:space="0" w:color="auto"/>
              <w:right w:val="single" w:sz="4" w:space="0" w:color="auto"/>
            </w:tcBorders>
          </w:tcPr>
          <w:p w:rsidR="00530F5A" w:rsidRDefault="00B944F4" w:rsidP="00A33DAA">
            <w:pPr>
              <w:pStyle w:val="Normlny0"/>
              <w:widowControl/>
              <w:contextualSpacing/>
              <w:jc w:val="both"/>
            </w:pPr>
            <w:r w:rsidRPr="00B944F4">
              <w:lastRenderedPageBreak/>
              <w:t>Zriaďuje sa centrálny register účtov. Centrálny register účtov je informačný systém verejnej správy, ktorý sa vedie na účely uľahčenia prístupu orgánov uvedených v § 5 ods. 1 (ďalej len „oprávnený orgán“) k údajom o účtoch a bezpečnostných schránkach v rozsahu podľa § 4 ods. 1 vedených alebo prenajímaných na území Slovenskej republiky.</w:t>
            </w:r>
          </w:p>
          <w:p w:rsidR="00B944F4" w:rsidRDefault="00B944F4" w:rsidP="00A33DAA">
            <w:pPr>
              <w:pStyle w:val="Normlny0"/>
              <w:widowControl/>
              <w:contextualSpacing/>
              <w:jc w:val="both"/>
            </w:pPr>
          </w:p>
          <w:p w:rsidR="00B944F4" w:rsidRDefault="00B944F4" w:rsidP="00B944F4">
            <w:pPr>
              <w:pStyle w:val="Normlny0"/>
              <w:widowControl/>
              <w:contextualSpacing/>
              <w:jc w:val="both"/>
            </w:pPr>
            <w:r>
              <w:t>Do centrálneho registra účtov sa zapisujú tieto údaje a ich zmeny:</w:t>
            </w:r>
          </w:p>
          <w:p w:rsidR="00B944F4" w:rsidRDefault="00B944F4" w:rsidP="00B944F4">
            <w:pPr>
              <w:pStyle w:val="Normlny0"/>
              <w:widowControl/>
              <w:contextualSpacing/>
              <w:jc w:val="both"/>
            </w:pPr>
            <w:r>
              <w:t>a) názov alebo obchodné meno, adresa sídla a identifikačné číslo</w:t>
            </w:r>
            <w:r w:rsidRPr="00B944F4">
              <w:rPr>
                <w:vertAlign w:val="superscript"/>
              </w:rPr>
              <w:t>13</w:t>
            </w:r>
            <w:r>
              <w:t>) finančnej inštitúcie, ktorá vedie účet alebo prenajíma bezpečnostnú schránku,</w:t>
            </w:r>
          </w:p>
          <w:p w:rsidR="00B944F4" w:rsidRDefault="00B944F4" w:rsidP="00B944F4">
            <w:pPr>
              <w:pStyle w:val="Normlny0"/>
              <w:widowControl/>
              <w:contextualSpacing/>
              <w:jc w:val="both"/>
            </w:pPr>
            <w:r>
              <w:t>b) dátum založenia účtu,</w:t>
            </w:r>
          </w:p>
          <w:p w:rsidR="00B944F4" w:rsidRDefault="00B944F4" w:rsidP="00B944F4">
            <w:pPr>
              <w:pStyle w:val="Normlny0"/>
              <w:widowControl/>
              <w:contextualSpacing/>
              <w:jc w:val="both"/>
            </w:pPr>
            <w:r>
              <w:t>c) dátum začatia prenájmu bezpečnostnej schránky,</w:t>
            </w:r>
          </w:p>
          <w:p w:rsidR="00B944F4" w:rsidRDefault="00B944F4" w:rsidP="00B944F4">
            <w:pPr>
              <w:pStyle w:val="Normlny0"/>
              <w:widowControl/>
              <w:contextualSpacing/>
              <w:jc w:val="both"/>
            </w:pPr>
            <w:r>
              <w:t>d) číslo účtu a medzinárodné bankové číslo účtu IBAN,</w:t>
            </w:r>
            <w:r w:rsidRPr="00B944F4">
              <w:rPr>
                <w:vertAlign w:val="superscript"/>
              </w:rPr>
              <w:t>14</w:t>
            </w:r>
            <w:r>
              <w:t>) ak bolo pridelené</w:t>
            </w:r>
          </w:p>
          <w:p w:rsidR="00B944F4" w:rsidRDefault="00B944F4" w:rsidP="00B944F4">
            <w:pPr>
              <w:pStyle w:val="Normlny0"/>
              <w:widowControl/>
              <w:contextualSpacing/>
              <w:jc w:val="both"/>
            </w:pPr>
            <w:r>
              <w:t>e) jednoznačné označenie bezpečnostnej schránky,</w:t>
            </w:r>
          </w:p>
          <w:p w:rsidR="00B944F4" w:rsidRDefault="00B944F4" w:rsidP="00B944F4">
            <w:pPr>
              <w:pStyle w:val="Normlny0"/>
              <w:widowControl/>
              <w:contextualSpacing/>
              <w:jc w:val="both"/>
            </w:pPr>
            <w:r>
              <w:t>f) identifikačné údaje klienta v rozsahu:</w:t>
            </w:r>
          </w:p>
          <w:p w:rsidR="00B944F4" w:rsidRDefault="00B944F4" w:rsidP="00B944F4">
            <w:pPr>
              <w:pStyle w:val="Normlny0"/>
              <w:widowControl/>
              <w:ind w:left="99"/>
              <w:contextualSpacing/>
              <w:jc w:val="both"/>
            </w:pPr>
            <w:r>
              <w:t>1. meno, priezvisko, rodné číslo alebo dátum narodenia, ak rodné číslo nebolo pridelené, adresa trvalého pobytu alebo iného pobytu, ak ide o fyzickú osobu,</w:t>
            </w:r>
          </w:p>
          <w:p w:rsidR="00B944F4" w:rsidRDefault="00B944F4" w:rsidP="00B944F4">
            <w:pPr>
              <w:pStyle w:val="Normlny0"/>
              <w:widowControl/>
              <w:ind w:left="99"/>
              <w:contextualSpacing/>
              <w:jc w:val="both"/>
            </w:pPr>
            <w:r>
              <w:t>2. údaje podľa prvého bodu, obchodné meno, adresa miesta podnikania a identifikačné číslo, ak ide o fyzickú osobu – podnikateľa,</w:t>
            </w:r>
          </w:p>
          <w:p w:rsidR="00B944F4" w:rsidRDefault="00B944F4" w:rsidP="00B944F4">
            <w:pPr>
              <w:pStyle w:val="Normlny0"/>
              <w:widowControl/>
              <w:ind w:left="99"/>
              <w:contextualSpacing/>
              <w:jc w:val="both"/>
            </w:pPr>
            <w:r>
              <w:t>3. názov, adresa sídla a identifikačné číslo, ak ide o právnickú osobu,</w:t>
            </w:r>
          </w:p>
          <w:p w:rsidR="00B944F4" w:rsidRDefault="00B944F4" w:rsidP="00B944F4">
            <w:pPr>
              <w:pStyle w:val="Normlny0"/>
              <w:widowControl/>
              <w:contextualSpacing/>
              <w:jc w:val="both"/>
            </w:pPr>
            <w:r>
              <w:t>g) meno, priezvisko, rodné číslo alebo dátum narodenia, ak rodné číslo nebolo pridelené a adresa trvalého alebo iného pobytu konečného užívateľa výhod klienta,</w:t>
            </w:r>
            <w:r w:rsidRPr="00B944F4">
              <w:rPr>
                <w:vertAlign w:val="superscript"/>
              </w:rPr>
              <w:t>15</w:t>
            </w:r>
            <w:r>
              <w:t>)</w:t>
            </w:r>
          </w:p>
          <w:p w:rsidR="00B944F4" w:rsidRDefault="00B944F4" w:rsidP="00B944F4">
            <w:pPr>
              <w:pStyle w:val="Normlny0"/>
              <w:widowControl/>
              <w:contextualSpacing/>
              <w:jc w:val="both"/>
            </w:pPr>
            <w:r>
              <w:t>h) dátum vzniku a zániku oprávnenia klienta na nakladanie s finančnými prostriedkami na účte,</w:t>
            </w:r>
          </w:p>
          <w:p w:rsidR="00B944F4" w:rsidRDefault="00B944F4" w:rsidP="00B944F4">
            <w:pPr>
              <w:pStyle w:val="Normlny0"/>
              <w:widowControl/>
              <w:contextualSpacing/>
              <w:jc w:val="both"/>
            </w:pPr>
            <w:r>
              <w:t>i) dátum zrušenia účtu,</w:t>
            </w:r>
          </w:p>
          <w:p w:rsidR="00B944F4" w:rsidRDefault="00B944F4" w:rsidP="00B944F4">
            <w:pPr>
              <w:pStyle w:val="Normlny0"/>
              <w:widowControl/>
              <w:contextualSpacing/>
              <w:jc w:val="both"/>
            </w:pPr>
            <w:r>
              <w:t>j) dátum ukončenia prenájmu bezpečnostnej schránky.</w:t>
            </w:r>
          </w:p>
          <w:p w:rsidR="00B944F4" w:rsidRDefault="00B944F4" w:rsidP="00B944F4">
            <w:pPr>
              <w:pStyle w:val="Normlny0"/>
              <w:widowControl/>
              <w:contextualSpacing/>
              <w:jc w:val="both"/>
            </w:pPr>
          </w:p>
          <w:p w:rsidR="00B944F4" w:rsidRPr="00B944F4" w:rsidRDefault="00B944F4" w:rsidP="00B944F4">
            <w:pPr>
              <w:pStyle w:val="Normlny0"/>
              <w:widowControl/>
              <w:contextualSpacing/>
              <w:jc w:val="both"/>
              <w:rPr>
                <w:sz w:val="16"/>
                <w:szCs w:val="16"/>
              </w:rPr>
            </w:pPr>
            <w:r w:rsidRPr="00B944F4">
              <w:rPr>
                <w:sz w:val="16"/>
                <w:szCs w:val="16"/>
                <w:vertAlign w:val="superscript"/>
              </w:rPr>
              <w:t>13</w:t>
            </w:r>
            <w:r w:rsidRPr="00B944F4">
              <w:rPr>
                <w:sz w:val="16"/>
                <w:szCs w:val="16"/>
              </w:rPr>
              <w:t xml:space="preserve">) § 9 zákona č. 272/2015 Z. z. o registri právnických osôb, podnikateľov a orgánov verejnej moci a o zmene a doplnení niektorých zákonov </w:t>
            </w:r>
          </w:p>
          <w:p w:rsidR="00B944F4" w:rsidRPr="00B944F4" w:rsidRDefault="00B944F4" w:rsidP="00B944F4">
            <w:pPr>
              <w:pStyle w:val="Normlny0"/>
              <w:widowControl/>
              <w:contextualSpacing/>
              <w:jc w:val="both"/>
              <w:rPr>
                <w:sz w:val="16"/>
                <w:szCs w:val="16"/>
              </w:rPr>
            </w:pPr>
            <w:r w:rsidRPr="00B944F4">
              <w:rPr>
                <w:sz w:val="16"/>
                <w:szCs w:val="16"/>
                <w:vertAlign w:val="superscript"/>
              </w:rPr>
              <w:t>14</w:t>
            </w:r>
            <w:r w:rsidRPr="00B944F4">
              <w:rPr>
                <w:sz w:val="16"/>
                <w:szCs w:val="16"/>
              </w:rPr>
              <w:t>) Čl. 2 bod 15 nariadenia Európskeho parlamentu a Rady (EÚ) č. 260/2012 zo 14. marca 2012, ktorým sa ustanovujú technické a obchodné požiadavky na úhrady a inkasá v eurách a ktorým sa mení a dopĺňa nariadenie (ES) č. 924/2009 (Ú. v. EÚ L 94, 30. 3. 2012) v platnom znení.</w:t>
            </w:r>
          </w:p>
          <w:p w:rsidR="00B944F4" w:rsidRPr="00B944F4" w:rsidRDefault="00B944F4" w:rsidP="00B944F4">
            <w:pPr>
              <w:pStyle w:val="Normlny0"/>
              <w:widowControl/>
              <w:contextualSpacing/>
              <w:jc w:val="both"/>
              <w:rPr>
                <w:sz w:val="16"/>
                <w:szCs w:val="16"/>
              </w:rPr>
            </w:pPr>
            <w:r w:rsidRPr="00B944F4">
              <w:rPr>
                <w:sz w:val="16"/>
                <w:szCs w:val="16"/>
                <w:vertAlign w:val="superscript"/>
              </w:rPr>
              <w:lastRenderedPageBreak/>
              <w:t>15</w:t>
            </w:r>
            <w:r w:rsidRPr="00B944F4">
              <w:rPr>
                <w:sz w:val="16"/>
                <w:szCs w:val="16"/>
              </w:rPr>
              <w:t>) § 6a zákona č. 297/2008 Z. z. o ochrane pred legalizáciou príjmov z trestnej činnosti a o ochrane pred financovaním terorizmu a o zmene a doplnení niektorých zákonov v znení neskorších predpisov.</w:t>
            </w:r>
          </w:p>
          <w:p w:rsidR="00B944F4" w:rsidRDefault="00B944F4" w:rsidP="00B944F4">
            <w:pPr>
              <w:pStyle w:val="Normlny0"/>
              <w:widowControl/>
              <w:contextualSpacing/>
              <w:jc w:val="both"/>
            </w:pPr>
          </w:p>
          <w:p w:rsidR="00B944F4" w:rsidRDefault="00B944F4" w:rsidP="00B944F4">
            <w:pPr>
              <w:pStyle w:val="Normlny0"/>
              <w:widowControl/>
              <w:contextualSpacing/>
              <w:jc w:val="both"/>
            </w:pPr>
          </w:p>
          <w:p w:rsidR="00B944F4" w:rsidRDefault="00B944F4" w:rsidP="00B944F4">
            <w:pPr>
              <w:pStyle w:val="Normlny0"/>
              <w:widowControl/>
              <w:contextualSpacing/>
              <w:jc w:val="both"/>
            </w:pPr>
            <w:r>
              <w:t xml:space="preserve">Údaje z centrálneho registra účtov sa poskytujú </w:t>
            </w:r>
          </w:p>
          <w:p w:rsidR="00B944F4" w:rsidRDefault="00B944F4" w:rsidP="00B944F4">
            <w:pPr>
              <w:pStyle w:val="Normlny0"/>
              <w:widowControl/>
              <w:contextualSpacing/>
              <w:jc w:val="both"/>
            </w:pPr>
            <w:r>
              <w:t>osobitnému útvaru služby finančnej polície Policajného zboru  na účely plnenia úloh podľa osobitného predpisu,</w:t>
            </w:r>
            <w:r w:rsidRPr="00B944F4">
              <w:rPr>
                <w:vertAlign w:val="superscript"/>
              </w:rPr>
              <w:t>17</w:t>
            </w:r>
            <w:r>
              <w:t>)</w:t>
            </w:r>
          </w:p>
          <w:p w:rsidR="00B944F4" w:rsidRDefault="00B944F4" w:rsidP="00B944F4">
            <w:pPr>
              <w:pStyle w:val="Normlny0"/>
              <w:widowControl/>
              <w:contextualSpacing/>
              <w:jc w:val="both"/>
            </w:pPr>
          </w:p>
          <w:p w:rsidR="00B944F4" w:rsidRPr="00B944F4" w:rsidRDefault="00B944F4" w:rsidP="00B944F4">
            <w:pPr>
              <w:pStyle w:val="Normlny0"/>
              <w:widowControl/>
              <w:contextualSpacing/>
              <w:jc w:val="both"/>
              <w:rPr>
                <w:sz w:val="16"/>
                <w:szCs w:val="16"/>
              </w:rPr>
            </w:pPr>
            <w:r w:rsidRPr="00B944F4">
              <w:rPr>
                <w:sz w:val="16"/>
                <w:szCs w:val="16"/>
                <w:vertAlign w:val="superscript"/>
              </w:rPr>
              <w:t>17</w:t>
            </w:r>
            <w:r w:rsidRPr="00B944F4">
              <w:rPr>
                <w:sz w:val="16"/>
                <w:szCs w:val="16"/>
              </w:rPr>
              <w:t>) Zákon č. 297/2008 Z. z. v znení neskorších predpisov.</w:t>
            </w:r>
          </w:p>
          <w:p w:rsidR="00B944F4" w:rsidRDefault="00B944F4" w:rsidP="00B944F4">
            <w:pPr>
              <w:pStyle w:val="Normlny0"/>
              <w:widowControl/>
              <w:contextualSpacing/>
              <w:jc w:val="both"/>
            </w:pPr>
          </w:p>
          <w:p w:rsidR="00B944F4" w:rsidRDefault="00B944F4" w:rsidP="00B944F4">
            <w:pPr>
              <w:pStyle w:val="Normlny0"/>
              <w:widowControl/>
              <w:contextualSpacing/>
              <w:jc w:val="both"/>
            </w:pPr>
            <w:r w:rsidRPr="00B944F4">
              <w:t>Údaje z centrálneho registra účtov sa poskytujú v elektronickej podobe priamym, nepretržitým a diaľkovým spôsobom.</w:t>
            </w:r>
          </w:p>
          <w:p w:rsidR="00333042" w:rsidRPr="001902B7" w:rsidRDefault="00333042" w:rsidP="00A33DAA">
            <w:pPr>
              <w:pStyle w:val="Normlny0"/>
              <w:widowControl/>
              <w:contextualSpacing/>
              <w:jc w:val="both"/>
            </w:pPr>
          </w:p>
        </w:tc>
        <w:tc>
          <w:tcPr>
            <w:tcW w:w="567" w:type="dxa"/>
            <w:tcBorders>
              <w:top w:val="single" w:sz="4" w:space="0" w:color="auto"/>
              <w:left w:val="single" w:sz="4" w:space="0" w:color="auto"/>
              <w:bottom w:val="single" w:sz="4" w:space="0" w:color="auto"/>
              <w:right w:val="single" w:sz="4" w:space="0" w:color="auto"/>
            </w:tcBorders>
          </w:tcPr>
          <w:p w:rsidR="00333042" w:rsidRPr="001902B7" w:rsidRDefault="00C83F74" w:rsidP="00A33DAA">
            <w:pPr>
              <w:widowControl/>
              <w:contextualSpacing/>
              <w:jc w:val="center"/>
              <w:rPr>
                <w:sz w:val="20"/>
                <w:szCs w:val="20"/>
              </w:rPr>
            </w:pPr>
            <w:r>
              <w:rPr>
                <w:sz w:val="20"/>
                <w:szCs w:val="20"/>
              </w:rPr>
              <w:lastRenderedPageBreak/>
              <w:t>Ú</w:t>
            </w:r>
          </w:p>
        </w:tc>
        <w:tc>
          <w:tcPr>
            <w:tcW w:w="1129" w:type="dxa"/>
            <w:tcBorders>
              <w:top w:val="single" w:sz="4" w:space="0" w:color="auto"/>
              <w:left w:val="single" w:sz="4" w:space="0" w:color="auto"/>
              <w:bottom w:val="single" w:sz="4" w:space="0" w:color="auto"/>
            </w:tcBorders>
          </w:tcPr>
          <w:p w:rsidR="00333042" w:rsidRPr="001902B7" w:rsidRDefault="00333042" w:rsidP="00A33DAA">
            <w:pPr>
              <w:pStyle w:val="Nadpis1"/>
              <w:widowControl/>
              <w:contextualSpacing/>
              <w:rPr>
                <w:b w:val="0"/>
                <w:bCs w:val="0"/>
                <w:sz w:val="20"/>
                <w:szCs w:val="20"/>
              </w:rPr>
            </w:pPr>
          </w:p>
        </w:tc>
      </w:tr>
    </w:tbl>
    <w:p w:rsidR="001B7551" w:rsidRPr="001902B7" w:rsidRDefault="001B7551" w:rsidP="00A33DAA">
      <w:pPr>
        <w:contextualSpacing/>
        <w:rPr>
          <w:sz w:val="20"/>
          <w:szCs w:val="20"/>
        </w:rPr>
      </w:pPr>
    </w:p>
    <w:p w:rsidR="00030FF0" w:rsidRPr="000616C2" w:rsidRDefault="00030FF0" w:rsidP="00A33DAA">
      <w:pPr>
        <w:contextualSpacing/>
        <w:jc w:val="both"/>
        <w:rPr>
          <w:sz w:val="16"/>
          <w:szCs w:val="16"/>
        </w:rPr>
      </w:pPr>
      <w:r w:rsidRPr="000616C2">
        <w:rPr>
          <w:sz w:val="16"/>
          <w:szCs w:val="16"/>
        </w:rPr>
        <w:t>LEGENDA:</w:t>
      </w:r>
    </w:p>
    <w:tbl>
      <w:tblPr>
        <w:tblW w:w="15805" w:type="dxa"/>
        <w:tblCellMar>
          <w:left w:w="70" w:type="dxa"/>
          <w:right w:w="70" w:type="dxa"/>
        </w:tblCellMar>
        <w:tblLook w:val="04A0" w:firstRow="1" w:lastRow="0" w:firstColumn="1" w:lastColumn="0" w:noHBand="0" w:noVBand="1"/>
      </w:tblPr>
      <w:tblGrid>
        <w:gridCol w:w="2373"/>
        <w:gridCol w:w="3722"/>
        <w:gridCol w:w="2304"/>
        <w:gridCol w:w="7406"/>
      </w:tblGrid>
      <w:tr w:rsidR="00030FF0" w:rsidRPr="000616C2" w:rsidTr="00C37511">
        <w:trPr>
          <w:trHeight w:val="2029"/>
        </w:trPr>
        <w:tc>
          <w:tcPr>
            <w:tcW w:w="2373" w:type="dxa"/>
          </w:tcPr>
          <w:p w:rsidR="00030FF0" w:rsidRPr="000616C2" w:rsidRDefault="00030FF0" w:rsidP="00A33DAA">
            <w:pPr>
              <w:pStyle w:val="Normlny0"/>
              <w:contextualSpacing/>
              <w:jc w:val="both"/>
              <w:rPr>
                <w:b/>
                <w:sz w:val="16"/>
                <w:szCs w:val="16"/>
              </w:rPr>
            </w:pPr>
            <w:r w:rsidRPr="000616C2">
              <w:rPr>
                <w:b/>
                <w:sz w:val="16"/>
                <w:szCs w:val="16"/>
              </w:rPr>
              <w:t xml:space="preserve">   V stĺpci (1):</w:t>
            </w:r>
          </w:p>
          <w:p w:rsidR="00030FF0" w:rsidRPr="000616C2" w:rsidRDefault="00030FF0" w:rsidP="00A33DAA">
            <w:pPr>
              <w:contextualSpacing/>
              <w:jc w:val="both"/>
              <w:rPr>
                <w:sz w:val="16"/>
                <w:szCs w:val="16"/>
              </w:rPr>
            </w:pPr>
            <w:r w:rsidRPr="000616C2">
              <w:rPr>
                <w:sz w:val="16"/>
                <w:szCs w:val="16"/>
              </w:rPr>
              <w:t xml:space="preserve">   Č – článok</w:t>
            </w:r>
          </w:p>
          <w:p w:rsidR="00030FF0" w:rsidRPr="000616C2" w:rsidRDefault="00030FF0" w:rsidP="00A33DAA">
            <w:pPr>
              <w:contextualSpacing/>
              <w:jc w:val="both"/>
              <w:rPr>
                <w:sz w:val="16"/>
                <w:szCs w:val="16"/>
              </w:rPr>
            </w:pPr>
            <w:r w:rsidRPr="000616C2">
              <w:rPr>
                <w:sz w:val="16"/>
                <w:szCs w:val="16"/>
              </w:rPr>
              <w:t xml:space="preserve">   O – odsek</w:t>
            </w:r>
          </w:p>
          <w:p w:rsidR="00030FF0" w:rsidRPr="000616C2" w:rsidRDefault="00030FF0" w:rsidP="00A33DAA">
            <w:pPr>
              <w:contextualSpacing/>
              <w:jc w:val="both"/>
              <w:rPr>
                <w:sz w:val="16"/>
                <w:szCs w:val="16"/>
              </w:rPr>
            </w:pPr>
            <w:r w:rsidRPr="000616C2">
              <w:rPr>
                <w:sz w:val="16"/>
                <w:szCs w:val="16"/>
              </w:rPr>
              <w:t xml:space="preserve">   B – bod </w:t>
            </w:r>
          </w:p>
          <w:p w:rsidR="00030FF0" w:rsidRPr="000616C2" w:rsidRDefault="00030FF0" w:rsidP="00A33DAA">
            <w:pPr>
              <w:contextualSpacing/>
              <w:jc w:val="both"/>
              <w:rPr>
                <w:sz w:val="16"/>
                <w:szCs w:val="16"/>
              </w:rPr>
            </w:pPr>
            <w:r w:rsidRPr="000616C2">
              <w:rPr>
                <w:sz w:val="16"/>
                <w:szCs w:val="16"/>
              </w:rPr>
              <w:t xml:space="preserve">   V – veta</w:t>
            </w:r>
          </w:p>
          <w:p w:rsidR="00030FF0" w:rsidRPr="000616C2" w:rsidRDefault="00030FF0" w:rsidP="00A33DAA">
            <w:pPr>
              <w:contextualSpacing/>
              <w:jc w:val="both"/>
              <w:rPr>
                <w:sz w:val="16"/>
                <w:szCs w:val="16"/>
              </w:rPr>
            </w:pPr>
            <w:r w:rsidRPr="000616C2">
              <w:rPr>
                <w:sz w:val="16"/>
                <w:szCs w:val="16"/>
              </w:rPr>
              <w:t xml:space="preserve">   P – písmeno (číslo)</w:t>
            </w:r>
          </w:p>
          <w:p w:rsidR="00030FF0" w:rsidRPr="000616C2" w:rsidRDefault="00030FF0" w:rsidP="00A33DAA">
            <w:pPr>
              <w:contextualSpacing/>
              <w:jc w:val="both"/>
              <w:rPr>
                <w:sz w:val="16"/>
                <w:szCs w:val="16"/>
              </w:rPr>
            </w:pPr>
          </w:p>
        </w:tc>
        <w:tc>
          <w:tcPr>
            <w:tcW w:w="3722" w:type="dxa"/>
            <w:hideMark/>
          </w:tcPr>
          <w:p w:rsidR="00030FF0" w:rsidRPr="000616C2" w:rsidRDefault="00030FF0" w:rsidP="00A33DAA">
            <w:pPr>
              <w:pStyle w:val="Normlny0"/>
              <w:contextualSpacing/>
              <w:jc w:val="both"/>
              <w:rPr>
                <w:b/>
                <w:sz w:val="16"/>
                <w:szCs w:val="16"/>
              </w:rPr>
            </w:pPr>
            <w:r w:rsidRPr="000616C2">
              <w:rPr>
                <w:b/>
                <w:sz w:val="16"/>
                <w:szCs w:val="16"/>
              </w:rPr>
              <w:t>V stĺpci (3):</w:t>
            </w:r>
          </w:p>
          <w:p w:rsidR="00030FF0" w:rsidRPr="000616C2" w:rsidRDefault="00030FF0" w:rsidP="00A33DAA">
            <w:pPr>
              <w:contextualSpacing/>
              <w:jc w:val="both"/>
              <w:rPr>
                <w:sz w:val="16"/>
                <w:szCs w:val="16"/>
              </w:rPr>
            </w:pPr>
            <w:r w:rsidRPr="000616C2">
              <w:rPr>
                <w:sz w:val="16"/>
                <w:szCs w:val="16"/>
              </w:rPr>
              <w:t>N – bežná transpozícia</w:t>
            </w:r>
          </w:p>
          <w:p w:rsidR="00030FF0" w:rsidRPr="000616C2" w:rsidRDefault="00030FF0" w:rsidP="00A33DAA">
            <w:pPr>
              <w:contextualSpacing/>
              <w:jc w:val="both"/>
              <w:rPr>
                <w:sz w:val="16"/>
                <w:szCs w:val="16"/>
              </w:rPr>
            </w:pPr>
            <w:r w:rsidRPr="000616C2">
              <w:rPr>
                <w:sz w:val="16"/>
                <w:szCs w:val="16"/>
              </w:rPr>
              <w:t>O – transpozícia s možnosťou voľby</w:t>
            </w:r>
          </w:p>
          <w:p w:rsidR="00030FF0" w:rsidRPr="000616C2" w:rsidRDefault="00030FF0" w:rsidP="00A33DAA">
            <w:pPr>
              <w:contextualSpacing/>
              <w:jc w:val="both"/>
              <w:rPr>
                <w:sz w:val="16"/>
                <w:szCs w:val="16"/>
              </w:rPr>
            </w:pPr>
            <w:r w:rsidRPr="000616C2">
              <w:rPr>
                <w:sz w:val="16"/>
                <w:szCs w:val="16"/>
              </w:rPr>
              <w:t>D – transpozícia podľa úvahy (dobrovoľná)</w:t>
            </w:r>
          </w:p>
          <w:p w:rsidR="00030FF0" w:rsidRPr="000616C2" w:rsidRDefault="00030FF0" w:rsidP="00A33DAA">
            <w:pPr>
              <w:contextualSpacing/>
              <w:jc w:val="both"/>
              <w:rPr>
                <w:sz w:val="16"/>
                <w:szCs w:val="16"/>
              </w:rPr>
            </w:pPr>
            <w:r w:rsidRPr="000616C2">
              <w:rPr>
                <w:sz w:val="16"/>
                <w:szCs w:val="16"/>
              </w:rPr>
              <w:t>n.a. – transpozícia sa neuskutočňuje</w:t>
            </w:r>
          </w:p>
        </w:tc>
        <w:tc>
          <w:tcPr>
            <w:tcW w:w="2304" w:type="dxa"/>
            <w:hideMark/>
          </w:tcPr>
          <w:p w:rsidR="00030FF0" w:rsidRPr="000616C2" w:rsidRDefault="00030FF0" w:rsidP="00A33DAA">
            <w:pPr>
              <w:pStyle w:val="Normlny0"/>
              <w:contextualSpacing/>
              <w:jc w:val="both"/>
              <w:rPr>
                <w:b/>
                <w:sz w:val="16"/>
                <w:szCs w:val="16"/>
              </w:rPr>
            </w:pPr>
            <w:r w:rsidRPr="000616C2">
              <w:rPr>
                <w:b/>
                <w:sz w:val="16"/>
                <w:szCs w:val="16"/>
              </w:rPr>
              <w:t>V stĺpci (5):</w:t>
            </w:r>
          </w:p>
          <w:p w:rsidR="00030FF0" w:rsidRPr="000616C2" w:rsidRDefault="00030FF0" w:rsidP="00A33DAA">
            <w:pPr>
              <w:contextualSpacing/>
              <w:jc w:val="both"/>
              <w:rPr>
                <w:sz w:val="16"/>
                <w:szCs w:val="16"/>
              </w:rPr>
            </w:pPr>
            <w:r w:rsidRPr="000616C2">
              <w:rPr>
                <w:sz w:val="16"/>
                <w:szCs w:val="16"/>
              </w:rPr>
              <w:t>Č – článok</w:t>
            </w:r>
          </w:p>
          <w:p w:rsidR="00030FF0" w:rsidRPr="000616C2" w:rsidRDefault="00030FF0" w:rsidP="00A33DAA">
            <w:pPr>
              <w:contextualSpacing/>
              <w:jc w:val="both"/>
              <w:rPr>
                <w:sz w:val="16"/>
                <w:szCs w:val="16"/>
              </w:rPr>
            </w:pPr>
            <w:r w:rsidRPr="000616C2">
              <w:rPr>
                <w:sz w:val="16"/>
                <w:szCs w:val="16"/>
              </w:rPr>
              <w:t>§ – paragraf</w:t>
            </w:r>
          </w:p>
          <w:p w:rsidR="00030FF0" w:rsidRPr="000616C2" w:rsidRDefault="00030FF0" w:rsidP="00A33DAA">
            <w:pPr>
              <w:contextualSpacing/>
              <w:jc w:val="both"/>
              <w:rPr>
                <w:sz w:val="16"/>
                <w:szCs w:val="16"/>
              </w:rPr>
            </w:pPr>
            <w:r w:rsidRPr="000616C2">
              <w:rPr>
                <w:sz w:val="16"/>
                <w:szCs w:val="16"/>
              </w:rPr>
              <w:t>O – odsek</w:t>
            </w:r>
          </w:p>
          <w:p w:rsidR="00030FF0" w:rsidRPr="000616C2" w:rsidRDefault="00030FF0" w:rsidP="00A33DAA">
            <w:pPr>
              <w:contextualSpacing/>
              <w:jc w:val="both"/>
              <w:rPr>
                <w:sz w:val="16"/>
                <w:szCs w:val="16"/>
              </w:rPr>
            </w:pPr>
            <w:r w:rsidRPr="000616C2">
              <w:rPr>
                <w:sz w:val="16"/>
                <w:szCs w:val="16"/>
              </w:rPr>
              <w:t>V – veta</w:t>
            </w:r>
          </w:p>
          <w:p w:rsidR="00030FF0" w:rsidRPr="000616C2" w:rsidRDefault="00030FF0" w:rsidP="00A33DAA">
            <w:pPr>
              <w:contextualSpacing/>
              <w:jc w:val="both"/>
              <w:rPr>
                <w:sz w:val="16"/>
                <w:szCs w:val="16"/>
              </w:rPr>
            </w:pPr>
            <w:r w:rsidRPr="000616C2">
              <w:rPr>
                <w:sz w:val="16"/>
                <w:szCs w:val="16"/>
              </w:rPr>
              <w:t>P – písmeno (číslo)</w:t>
            </w:r>
          </w:p>
        </w:tc>
        <w:tc>
          <w:tcPr>
            <w:tcW w:w="7406" w:type="dxa"/>
            <w:hideMark/>
          </w:tcPr>
          <w:p w:rsidR="00030FF0" w:rsidRPr="000616C2" w:rsidRDefault="00030FF0" w:rsidP="00A33DAA">
            <w:pPr>
              <w:pStyle w:val="Normlny0"/>
              <w:contextualSpacing/>
              <w:jc w:val="both"/>
              <w:rPr>
                <w:b/>
                <w:sz w:val="16"/>
                <w:szCs w:val="16"/>
              </w:rPr>
            </w:pPr>
            <w:r w:rsidRPr="000616C2">
              <w:rPr>
                <w:b/>
                <w:sz w:val="16"/>
                <w:szCs w:val="16"/>
              </w:rPr>
              <w:t>V stĺpci (7):</w:t>
            </w:r>
          </w:p>
          <w:p w:rsidR="00030FF0" w:rsidRPr="000616C2" w:rsidRDefault="00030FF0" w:rsidP="00A33DAA">
            <w:pPr>
              <w:contextualSpacing/>
              <w:jc w:val="both"/>
              <w:rPr>
                <w:sz w:val="16"/>
                <w:szCs w:val="16"/>
              </w:rPr>
            </w:pPr>
            <w:r w:rsidRPr="000616C2">
              <w:rPr>
                <w:sz w:val="16"/>
                <w:szCs w:val="16"/>
              </w:rPr>
              <w:t>Ú – úplná zhoda</w:t>
            </w:r>
          </w:p>
          <w:p w:rsidR="00030FF0" w:rsidRPr="000616C2" w:rsidRDefault="00030FF0" w:rsidP="00A33DAA">
            <w:pPr>
              <w:contextualSpacing/>
              <w:jc w:val="both"/>
              <w:rPr>
                <w:sz w:val="16"/>
                <w:szCs w:val="16"/>
              </w:rPr>
            </w:pPr>
            <w:r w:rsidRPr="000616C2">
              <w:rPr>
                <w:sz w:val="16"/>
                <w:szCs w:val="16"/>
              </w:rPr>
              <w:t>Č – čiastočná zhoda</w:t>
            </w:r>
          </w:p>
          <w:p w:rsidR="00030FF0" w:rsidRPr="000616C2" w:rsidRDefault="00030FF0" w:rsidP="00A33DAA">
            <w:pPr>
              <w:contextualSpacing/>
              <w:jc w:val="both"/>
              <w:rPr>
                <w:sz w:val="16"/>
                <w:szCs w:val="16"/>
              </w:rPr>
            </w:pPr>
            <w:r w:rsidRPr="000616C2">
              <w:rPr>
                <w:sz w:val="16"/>
                <w:szCs w:val="16"/>
              </w:rPr>
              <w:t>Ž – žiadna zhoda (ak nebola dosiahnutá ani čiast. ani úplná zhoda alebo k prebratiu dôjde v budúcnosti)</w:t>
            </w:r>
          </w:p>
          <w:p w:rsidR="00030FF0" w:rsidRPr="000616C2" w:rsidRDefault="00030FF0" w:rsidP="00A33DAA">
            <w:pPr>
              <w:contextualSpacing/>
              <w:jc w:val="both"/>
              <w:rPr>
                <w:sz w:val="16"/>
                <w:szCs w:val="16"/>
              </w:rPr>
            </w:pPr>
            <w:r w:rsidRPr="000616C2">
              <w:rPr>
                <w:sz w:val="16"/>
                <w:szCs w:val="16"/>
              </w:rPr>
              <w:t>n.a. – neaplikovateľnosť (ak sa ustanovenie smernice netýka SR alebo nie je potrebné ho prebrať)</w:t>
            </w:r>
          </w:p>
        </w:tc>
      </w:tr>
    </w:tbl>
    <w:p w:rsidR="00245F1E" w:rsidRPr="00C0722A" w:rsidRDefault="00245F1E" w:rsidP="00A33DAA">
      <w:pPr>
        <w:contextualSpacing/>
        <w:rPr>
          <w:sz w:val="20"/>
          <w:szCs w:val="20"/>
        </w:rPr>
      </w:pPr>
    </w:p>
    <w:sectPr w:rsidR="00245F1E" w:rsidRPr="00C0722A" w:rsidSect="00BB28A1">
      <w:footerReference w:type="default" r:id="rId8"/>
      <w:pgSz w:w="16838" w:h="11906" w:orient="landscape"/>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B4" w:rsidRDefault="000E79B4" w:rsidP="007949E7">
      <w:r>
        <w:separator/>
      </w:r>
    </w:p>
  </w:endnote>
  <w:endnote w:type="continuationSeparator" w:id="0">
    <w:p w:rsidR="000E79B4" w:rsidRDefault="000E79B4" w:rsidP="007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eXGyreBonum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D4" w:rsidRPr="000C53D4" w:rsidRDefault="000C53D4" w:rsidP="000C53D4">
    <w:pPr>
      <w:pStyle w:val="Pta"/>
      <w:jc w:val="center"/>
      <w:rPr>
        <w:sz w:val="16"/>
        <w:szCs w:val="16"/>
      </w:rPr>
    </w:pPr>
    <w:r w:rsidRPr="000C53D4">
      <w:rPr>
        <w:sz w:val="16"/>
        <w:szCs w:val="16"/>
      </w:rPr>
      <w:fldChar w:fldCharType="begin"/>
    </w:r>
    <w:r w:rsidRPr="000C53D4">
      <w:rPr>
        <w:sz w:val="16"/>
        <w:szCs w:val="16"/>
      </w:rPr>
      <w:instrText>PAGE   \* MERGEFORMAT</w:instrText>
    </w:r>
    <w:r w:rsidRPr="000C53D4">
      <w:rPr>
        <w:sz w:val="16"/>
        <w:szCs w:val="16"/>
      </w:rPr>
      <w:fldChar w:fldCharType="separate"/>
    </w:r>
    <w:r w:rsidR="0013088E">
      <w:rPr>
        <w:noProof/>
        <w:sz w:val="16"/>
        <w:szCs w:val="16"/>
      </w:rPr>
      <w:t>2</w:t>
    </w:r>
    <w:r w:rsidRPr="000C53D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B4" w:rsidRDefault="000E79B4" w:rsidP="007949E7">
      <w:r>
        <w:separator/>
      </w:r>
    </w:p>
  </w:footnote>
  <w:footnote w:type="continuationSeparator" w:id="0">
    <w:p w:rsidR="000E79B4" w:rsidRDefault="000E79B4" w:rsidP="0079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2D5"/>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6D427F8"/>
    <w:multiLevelType w:val="hybridMultilevel"/>
    <w:tmpl w:val="D0B89C76"/>
    <w:lvl w:ilvl="0" w:tplc="6C3A8696">
      <w:start w:val="1"/>
      <w:numFmt w:val="decimal"/>
      <w:suff w:val="nothing"/>
      <w:lvlText w:val="%1."/>
      <w:lvlJc w:val="left"/>
      <w:pPr>
        <w:ind w:firstLine="709"/>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C124B2F"/>
    <w:multiLevelType w:val="multilevel"/>
    <w:tmpl w:val="FDA8CA74"/>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3" w15:restartNumberingAfterBreak="0">
    <w:nsid w:val="0C6079EF"/>
    <w:multiLevelType w:val="hybridMultilevel"/>
    <w:tmpl w:val="B9FA5D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A4595C"/>
    <w:multiLevelType w:val="hybridMultilevel"/>
    <w:tmpl w:val="D326DC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BA736C"/>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09B2A8E"/>
    <w:multiLevelType w:val="hybridMultilevel"/>
    <w:tmpl w:val="4B5C7BEA"/>
    <w:lvl w:ilvl="0" w:tplc="FA761D7A">
      <w:start w:val="1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303380"/>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 w15:restartNumberingAfterBreak="0">
    <w:nsid w:val="1C702101"/>
    <w:multiLevelType w:val="hybridMultilevel"/>
    <w:tmpl w:val="567AD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EA54E5F"/>
    <w:multiLevelType w:val="hybridMultilevel"/>
    <w:tmpl w:val="400A14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5CB1692"/>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5DD4BEC"/>
    <w:multiLevelType w:val="multilevel"/>
    <w:tmpl w:val="45289ED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3301A9"/>
    <w:multiLevelType w:val="multilevel"/>
    <w:tmpl w:val="A29CC2B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19718E9"/>
    <w:multiLevelType w:val="hybridMultilevel"/>
    <w:tmpl w:val="61A09DC4"/>
    <w:lvl w:ilvl="0" w:tplc="AC20F6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58D2404"/>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7903E69"/>
    <w:multiLevelType w:val="hybridMultilevel"/>
    <w:tmpl w:val="51E089D4"/>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16" w15:restartNumberingAfterBreak="0">
    <w:nsid w:val="44967E62"/>
    <w:multiLevelType w:val="hybridMultilevel"/>
    <w:tmpl w:val="793C871A"/>
    <w:lvl w:ilvl="0" w:tplc="9FCE2D54">
      <w:start w:val="1"/>
      <w:numFmt w:val="decimal"/>
      <w:suff w:val="nothing"/>
      <w:lvlText w:val="%1."/>
      <w:lvlJc w:val="left"/>
      <w:pPr>
        <w:ind w:left="-769" w:firstLine="769"/>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15:restartNumberingAfterBreak="0">
    <w:nsid w:val="472D4533"/>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C5511DE"/>
    <w:multiLevelType w:val="hybridMultilevel"/>
    <w:tmpl w:val="876A4F8A"/>
    <w:lvl w:ilvl="0" w:tplc="FD9A7F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CE06CBB"/>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0581019"/>
    <w:multiLevelType w:val="multilevel"/>
    <w:tmpl w:val="6FC6686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1" w15:restartNumberingAfterBreak="0">
    <w:nsid w:val="537C7EC5"/>
    <w:multiLevelType w:val="hybridMultilevel"/>
    <w:tmpl w:val="567AD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4A63EF2"/>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77735D3"/>
    <w:multiLevelType w:val="multilevel"/>
    <w:tmpl w:val="4FC6CFB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4" w15:restartNumberingAfterBreak="0">
    <w:nsid w:val="5C1F50CD"/>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D085626"/>
    <w:multiLevelType w:val="hybridMultilevel"/>
    <w:tmpl w:val="DC7AACFE"/>
    <w:lvl w:ilvl="0" w:tplc="F196C7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D5D75F6"/>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7" w15:restartNumberingAfterBreak="0">
    <w:nsid w:val="5F127BA4"/>
    <w:multiLevelType w:val="hybridMultilevel"/>
    <w:tmpl w:val="DD9404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F965199"/>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A32F9B"/>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A2F48B8"/>
    <w:multiLevelType w:val="hybridMultilevel"/>
    <w:tmpl w:val="FC9C898E"/>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31" w15:restartNumberingAfterBreak="0">
    <w:nsid w:val="6D150217"/>
    <w:multiLevelType w:val="hybridMultilevel"/>
    <w:tmpl w:val="75DA9A56"/>
    <w:lvl w:ilvl="0" w:tplc="041B0017">
      <w:start w:val="4"/>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2306D05"/>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30B30E9"/>
    <w:multiLevelType w:val="hybridMultilevel"/>
    <w:tmpl w:val="98CC6326"/>
    <w:lvl w:ilvl="0" w:tplc="A4B07E1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4F11FF1"/>
    <w:multiLevelType w:val="hybridMultilevel"/>
    <w:tmpl w:val="3306F000"/>
    <w:lvl w:ilvl="0" w:tplc="1FC8A5DA">
      <w:start w:val="1"/>
      <w:numFmt w:val="decimal"/>
      <w:suff w:val="nothing"/>
      <w:lvlText w:val="%1."/>
      <w:lvlJc w:val="left"/>
      <w:pPr>
        <w:ind w:firstLine="709"/>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5" w15:restartNumberingAfterBreak="0">
    <w:nsid w:val="77677C4A"/>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6" w15:restartNumberingAfterBreak="0">
    <w:nsid w:val="77BE78CC"/>
    <w:multiLevelType w:val="multilevel"/>
    <w:tmpl w:val="113A1B9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B083002"/>
    <w:multiLevelType w:val="hybridMultilevel"/>
    <w:tmpl w:val="D58621D2"/>
    <w:lvl w:ilvl="0" w:tplc="041B0017">
      <w:start w:val="1"/>
      <w:numFmt w:val="lowerLetter"/>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EB240BC"/>
    <w:multiLevelType w:val="multilevel"/>
    <w:tmpl w:val="45289ED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5"/>
  </w:num>
  <w:num w:numId="2">
    <w:abstractNumId w:val="30"/>
  </w:num>
  <w:num w:numId="3">
    <w:abstractNumId w:val="25"/>
  </w:num>
  <w:num w:numId="4">
    <w:abstractNumId w:val="8"/>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8"/>
  </w:num>
  <w:num w:numId="10">
    <w:abstractNumId w:val="33"/>
  </w:num>
  <w:num w:numId="11">
    <w:abstractNumId w:val="3"/>
  </w:num>
  <w:num w:numId="12">
    <w:abstractNumId w:val="4"/>
  </w:num>
  <w:num w:numId="13">
    <w:abstractNumId w:val="2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1"/>
  </w:num>
  <w:num w:numId="18">
    <w:abstractNumId w:val="35"/>
  </w:num>
  <w:num w:numId="19">
    <w:abstractNumId w:val="6"/>
  </w:num>
  <w:num w:numId="20">
    <w:abstractNumId w:val="32"/>
  </w:num>
  <w:num w:numId="21">
    <w:abstractNumId w:val="38"/>
  </w:num>
  <w:num w:numId="22">
    <w:abstractNumId w:val="20"/>
  </w:num>
  <w:num w:numId="23">
    <w:abstractNumId w:val="2"/>
  </w:num>
  <w:num w:numId="24">
    <w:abstractNumId w:val="19"/>
  </w:num>
  <w:num w:numId="25">
    <w:abstractNumId w:val="23"/>
  </w:num>
  <w:num w:numId="26">
    <w:abstractNumId w:val="36"/>
  </w:num>
  <w:num w:numId="27">
    <w:abstractNumId w:val="5"/>
  </w:num>
  <w:num w:numId="28">
    <w:abstractNumId w:val="10"/>
  </w:num>
  <w:num w:numId="29">
    <w:abstractNumId w:val="17"/>
  </w:num>
  <w:num w:numId="30">
    <w:abstractNumId w:val="12"/>
  </w:num>
  <w:num w:numId="31">
    <w:abstractNumId w:val="29"/>
  </w:num>
  <w:num w:numId="32">
    <w:abstractNumId w:val="28"/>
  </w:num>
  <w:num w:numId="33">
    <w:abstractNumId w:val="14"/>
  </w:num>
  <w:num w:numId="34">
    <w:abstractNumId w:val="22"/>
  </w:num>
  <w:num w:numId="35">
    <w:abstractNumId w:val="0"/>
  </w:num>
  <w:num w:numId="36">
    <w:abstractNumId w:val="24"/>
  </w:num>
  <w:num w:numId="37">
    <w:abstractNumId w:val="13"/>
  </w:num>
  <w:num w:numId="38">
    <w:abstractNumId w:val="31"/>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51"/>
    <w:rsid w:val="000008B7"/>
    <w:rsid w:val="000008D7"/>
    <w:rsid w:val="00003BD9"/>
    <w:rsid w:val="0001034B"/>
    <w:rsid w:val="00010446"/>
    <w:rsid w:val="000133BB"/>
    <w:rsid w:val="00023155"/>
    <w:rsid w:val="00025F82"/>
    <w:rsid w:val="00030FF0"/>
    <w:rsid w:val="00043674"/>
    <w:rsid w:val="00051EA3"/>
    <w:rsid w:val="00056169"/>
    <w:rsid w:val="000616C2"/>
    <w:rsid w:val="00076533"/>
    <w:rsid w:val="00080B20"/>
    <w:rsid w:val="00091DE2"/>
    <w:rsid w:val="00094E36"/>
    <w:rsid w:val="00096801"/>
    <w:rsid w:val="00096C5E"/>
    <w:rsid w:val="000976FD"/>
    <w:rsid w:val="000A0525"/>
    <w:rsid w:val="000A0893"/>
    <w:rsid w:val="000A67E3"/>
    <w:rsid w:val="000B1938"/>
    <w:rsid w:val="000B2CF2"/>
    <w:rsid w:val="000B4427"/>
    <w:rsid w:val="000B4DF0"/>
    <w:rsid w:val="000C0CF5"/>
    <w:rsid w:val="000C21E8"/>
    <w:rsid w:val="000C474C"/>
    <w:rsid w:val="000C53D4"/>
    <w:rsid w:val="000C5B28"/>
    <w:rsid w:val="000C682B"/>
    <w:rsid w:val="000E0E23"/>
    <w:rsid w:val="000E36C8"/>
    <w:rsid w:val="000E79B4"/>
    <w:rsid w:val="000F5782"/>
    <w:rsid w:val="000F6767"/>
    <w:rsid w:val="000F6AC0"/>
    <w:rsid w:val="00100746"/>
    <w:rsid w:val="00115F2C"/>
    <w:rsid w:val="001202A5"/>
    <w:rsid w:val="00121608"/>
    <w:rsid w:val="0013088E"/>
    <w:rsid w:val="0013370F"/>
    <w:rsid w:val="00144F66"/>
    <w:rsid w:val="00146BF5"/>
    <w:rsid w:val="00150641"/>
    <w:rsid w:val="001534BF"/>
    <w:rsid w:val="0015371F"/>
    <w:rsid w:val="00157022"/>
    <w:rsid w:val="001614A9"/>
    <w:rsid w:val="001628DE"/>
    <w:rsid w:val="001679D1"/>
    <w:rsid w:val="0018080D"/>
    <w:rsid w:val="00186680"/>
    <w:rsid w:val="001902B7"/>
    <w:rsid w:val="001962B6"/>
    <w:rsid w:val="001A1AE8"/>
    <w:rsid w:val="001A2267"/>
    <w:rsid w:val="001A7F7B"/>
    <w:rsid w:val="001B7551"/>
    <w:rsid w:val="001C29D4"/>
    <w:rsid w:val="001C3E1B"/>
    <w:rsid w:val="001C601A"/>
    <w:rsid w:val="001C734C"/>
    <w:rsid w:val="001D47C7"/>
    <w:rsid w:val="001E5E69"/>
    <w:rsid w:val="001F3FCD"/>
    <w:rsid w:val="001F401E"/>
    <w:rsid w:val="001F71C2"/>
    <w:rsid w:val="00200783"/>
    <w:rsid w:val="00202DD1"/>
    <w:rsid w:val="002065FA"/>
    <w:rsid w:val="00230B53"/>
    <w:rsid w:val="00231042"/>
    <w:rsid w:val="0023565F"/>
    <w:rsid w:val="00237508"/>
    <w:rsid w:val="00243B3D"/>
    <w:rsid w:val="00245F1E"/>
    <w:rsid w:val="00247565"/>
    <w:rsid w:val="002558EA"/>
    <w:rsid w:val="00256039"/>
    <w:rsid w:val="002643F8"/>
    <w:rsid w:val="002673A9"/>
    <w:rsid w:val="002739C1"/>
    <w:rsid w:val="002821BA"/>
    <w:rsid w:val="002828F1"/>
    <w:rsid w:val="00283404"/>
    <w:rsid w:val="00284124"/>
    <w:rsid w:val="00285AD6"/>
    <w:rsid w:val="00294095"/>
    <w:rsid w:val="002B47A8"/>
    <w:rsid w:val="002B6EB5"/>
    <w:rsid w:val="002E0A9C"/>
    <w:rsid w:val="002F2288"/>
    <w:rsid w:val="002F2B77"/>
    <w:rsid w:val="002F4D1C"/>
    <w:rsid w:val="002F6981"/>
    <w:rsid w:val="003001A7"/>
    <w:rsid w:val="00301DE6"/>
    <w:rsid w:val="003110C9"/>
    <w:rsid w:val="00316CCF"/>
    <w:rsid w:val="00320BD0"/>
    <w:rsid w:val="00331F1E"/>
    <w:rsid w:val="00333042"/>
    <w:rsid w:val="00335BF2"/>
    <w:rsid w:val="00342687"/>
    <w:rsid w:val="00355349"/>
    <w:rsid w:val="00362A1C"/>
    <w:rsid w:val="003679AD"/>
    <w:rsid w:val="00380A2F"/>
    <w:rsid w:val="0038162A"/>
    <w:rsid w:val="00390A8C"/>
    <w:rsid w:val="00391745"/>
    <w:rsid w:val="00391A6D"/>
    <w:rsid w:val="00392096"/>
    <w:rsid w:val="003934AC"/>
    <w:rsid w:val="003B5636"/>
    <w:rsid w:val="003B6018"/>
    <w:rsid w:val="003C320B"/>
    <w:rsid w:val="003C6B94"/>
    <w:rsid w:val="003D5F1E"/>
    <w:rsid w:val="003E0D97"/>
    <w:rsid w:val="003E6CB2"/>
    <w:rsid w:val="003E6D9F"/>
    <w:rsid w:val="003E7844"/>
    <w:rsid w:val="003F6756"/>
    <w:rsid w:val="0040488E"/>
    <w:rsid w:val="004201F5"/>
    <w:rsid w:val="00420BFC"/>
    <w:rsid w:val="00421084"/>
    <w:rsid w:val="00421873"/>
    <w:rsid w:val="00424C29"/>
    <w:rsid w:val="00425EE7"/>
    <w:rsid w:val="00427BB2"/>
    <w:rsid w:val="00433C67"/>
    <w:rsid w:val="00440D31"/>
    <w:rsid w:val="0044346D"/>
    <w:rsid w:val="00450231"/>
    <w:rsid w:val="00452F53"/>
    <w:rsid w:val="00455E03"/>
    <w:rsid w:val="0045789F"/>
    <w:rsid w:val="0046431C"/>
    <w:rsid w:val="00481CAC"/>
    <w:rsid w:val="004861FE"/>
    <w:rsid w:val="00495F8E"/>
    <w:rsid w:val="00496353"/>
    <w:rsid w:val="00496F0F"/>
    <w:rsid w:val="004A2929"/>
    <w:rsid w:val="004A293D"/>
    <w:rsid w:val="004B0C8D"/>
    <w:rsid w:val="004B4A51"/>
    <w:rsid w:val="004C0A19"/>
    <w:rsid w:val="004C35A9"/>
    <w:rsid w:val="004C5870"/>
    <w:rsid w:val="004C6E90"/>
    <w:rsid w:val="004D17B9"/>
    <w:rsid w:val="004D1E51"/>
    <w:rsid w:val="004D786C"/>
    <w:rsid w:val="004E186B"/>
    <w:rsid w:val="004E6AE1"/>
    <w:rsid w:val="0051435A"/>
    <w:rsid w:val="00515DFE"/>
    <w:rsid w:val="00516FEF"/>
    <w:rsid w:val="00523DAC"/>
    <w:rsid w:val="00525592"/>
    <w:rsid w:val="00526109"/>
    <w:rsid w:val="00530F5A"/>
    <w:rsid w:val="00530FBC"/>
    <w:rsid w:val="005345B4"/>
    <w:rsid w:val="005434A0"/>
    <w:rsid w:val="00551FE4"/>
    <w:rsid w:val="005545AC"/>
    <w:rsid w:val="00556147"/>
    <w:rsid w:val="005676E2"/>
    <w:rsid w:val="005865F3"/>
    <w:rsid w:val="00587F0A"/>
    <w:rsid w:val="005918C1"/>
    <w:rsid w:val="00593E11"/>
    <w:rsid w:val="005940BE"/>
    <w:rsid w:val="005A3B31"/>
    <w:rsid w:val="005B6162"/>
    <w:rsid w:val="005B7BF7"/>
    <w:rsid w:val="005D763C"/>
    <w:rsid w:val="005E1CA7"/>
    <w:rsid w:val="005E72A2"/>
    <w:rsid w:val="005E795C"/>
    <w:rsid w:val="005F7F2D"/>
    <w:rsid w:val="006012C2"/>
    <w:rsid w:val="00607E6E"/>
    <w:rsid w:val="00610209"/>
    <w:rsid w:val="00631C80"/>
    <w:rsid w:val="006366D4"/>
    <w:rsid w:val="00641899"/>
    <w:rsid w:val="00653819"/>
    <w:rsid w:val="00663287"/>
    <w:rsid w:val="00667AA5"/>
    <w:rsid w:val="006836E1"/>
    <w:rsid w:val="00685C09"/>
    <w:rsid w:val="0069191D"/>
    <w:rsid w:val="0069534E"/>
    <w:rsid w:val="006A05E6"/>
    <w:rsid w:val="006A0667"/>
    <w:rsid w:val="006B0362"/>
    <w:rsid w:val="006B1966"/>
    <w:rsid w:val="006B35E0"/>
    <w:rsid w:val="006C3644"/>
    <w:rsid w:val="006C7EE1"/>
    <w:rsid w:val="006D58D8"/>
    <w:rsid w:val="006D6FF6"/>
    <w:rsid w:val="006E32CB"/>
    <w:rsid w:val="006F2395"/>
    <w:rsid w:val="006F32DC"/>
    <w:rsid w:val="006F62A8"/>
    <w:rsid w:val="00704F14"/>
    <w:rsid w:val="007064FD"/>
    <w:rsid w:val="007146D4"/>
    <w:rsid w:val="00714B55"/>
    <w:rsid w:val="0071612C"/>
    <w:rsid w:val="00726228"/>
    <w:rsid w:val="00732981"/>
    <w:rsid w:val="00751FF0"/>
    <w:rsid w:val="007629E8"/>
    <w:rsid w:val="00762BD7"/>
    <w:rsid w:val="00762C5F"/>
    <w:rsid w:val="0076301B"/>
    <w:rsid w:val="00774D34"/>
    <w:rsid w:val="00783097"/>
    <w:rsid w:val="007949E7"/>
    <w:rsid w:val="00795BAC"/>
    <w:rsid w:val="007A4673"/>
    <w:rsid w:val="007A47F9"/>
    <w:rsid w:val="007A5A00"/>
    <w:rsid w:val="007B7649"/>
    <w:rsid w:val="007C6852"/>
    <w:rsid w:val="007C754A"/>
    <w:rsid w:val="007D1152"/>
    <w:rsid w:val="007D2689"/>
    <w:rsid w:val="007D6DFC"/>
    <w:rsid w:val="0080613E"/>
    <w:rsid w:val="008077AE"/>
    <w:rsid w:val="008101AF"/>
    <w:rsid w:val="00814F67"/>
    <w:rsid w:val="008276AA"/>
    <w:rsid w:val="008364F8"/>
    <w:rsid w:val="00837E5C"/>
    <w:rsid w:val="00845B52"/>
    <w:rsid w:val="0085144D"/>
    <w:rsid w:val="00853CDD"/>
    <w:rsid w:val="00854623"/>
    <w:rsid w:val="008604CA"/>
    <w:rsid w:val="0086144E"/>
    <w:rsid w:val="008620A7"/>
    <w:rsid w:val="00862B81"/>
    <w:rsid w:val="00865CA6"/>
    <w:rsid w:val="0087704D"/>
    <w:rsid w:val="00880273"/>
    <w:rsid w:val="00882767"/>
    <w:rsid w:val="008849E5"/>
    <w:rsid w:val="00890667"/>
    <w:rsid w:val="00893177"/>
    <w:rsid w:val="008947CC"/>
    <w:rsid w:val="008B3AF1"/>
    <w:rsid w:val="008B6B46"/>
    <w:rsid w:val="008C10F4"/>
    <w:rsid w:val="008D087D"/>
    <w:rsid w:val="008D0C2A"/>
    <w:rsid w:val="008D6852"/>
    <w:rsid w:val="008E59D4"/>
    <w:rsid w:val="008F501C"/>
    <w:rsid w:val="008F68B6"/>
    <w:rsid w:val="00902F4D"/>
    <w:rsid w:val="00907AA2"/>
    <w:rsid w:val="0091707A"/>
    <w:rsid w:val="00922B72"/>
    <w:rsid w:val="00922E4F"/>
    <w:rsid w:val="009231CB"/>
    <w:rsid w:val="00935B7A"/>
    <w:rsid w:val="009435CF"/>
    <w:rsid w:val="00944AE7"/>
    <w:rsid w:val="00945589"/>
    <w:rsid w:val="00950074"/>
    <w:rsid w:val="0095484D"/>
    <w:rsid w:val="0095597C"/>
    <w:rsid w:val="009561E0"/>
    <w:rsid w:val="00957073"/>
    <w:rsid w:val="00961C6A"/>
    <w:rsid w:val="00962AA3"/>
    <w:rsid w:val="00967AB0"/>
    <w:rsid w:val="009719C6"/>
    <w:rsid w:val="00975E12"/>
    <w:rsid w:val="009809F3"/>
    <w:rsid w:val="009950D2"/>
    <w:rsid w:val="009A57C9"/>
    <w:rsid w:val="009A7CB8"/>
    <w:rsid w:val="009B043A"/>
    <w:rsid w:val="009C3BD9"/>
    <w:rsid w:val="009D2789"/>
    <w:rsid w:val="009E0BA8"/>
    <w:rsid w:val="009E1BBC"/>
    <w:rsid w:val="009E4149"/>
    <w:rsid w:val="009E4810"/>
    <w:rsid w:val="009E4F15"/>
    <w:rsid w:val="009F3506"/>
    <w:rsid w:val="009F56E0"/>
    <w:rsid w:val="00A02C04"/>
    <w:rsid w:val="00A02ED6"/>
    <w:rsid w:val="00A05AED"/>
    <w:rsid w:val="00A0702F"/>
    <w:rsid w:val="00A104E1"/>
    <w:rsid w:val="00A216BD"/>
    <w:rsid w:val="00A21B94"/>
    <w:rsid w:val="00A250EC"/>
    <w:rsid w:val="00A31BC3"/>
    <w:rsid w:val="00A32C85"/>
    <w:rsid w:val="00A33DAA"/>
    <w:rsid w:val="00A462A8"/>
    <w:rsid w:val="00A47790"/>
    <w:rsid w:val="00A61E7E"/>
    <w:rsid w:val="00A62C52"/>
    <w:rsid w:val="00A718CF"/>
    <w:rsid w:val="00A73E15"/>
    <w:rsid w:val="00A77DCB"/>
    <w:rsid w:val="00AA5B83"/>
    <w:rsid w:val="00AB1BA2"/>
    <w:rsid w:val="00AB20BD"/>
    <w:rsid w:val="00AB38E4"/>
    <w:rsid w:val="00AB4E3D"/>
    <w:rsid w:val="00AE02B0"/>
    <w:rsid w:val="00AE0E50"/>
    <w:rsid w:val="00AE2B88"/>
    <w:rsid w:val="00AE5445"/>
    <w:rsid w:val="00AF69F3"/>
    <w:rsid w:val="00B02B09"/>
    <w:rsid w:val="00B166F0"/>
    <w:rsid w:val="00B223D9"/>
    <w:rsid w:val="00B22F4C"/>
    <w:rsid w:val="00B23D6C"/>
    <w:rsid w:val="00B250C5"/>
    <w:rsid w:val="00B33DAC"/>
    <w:rsid w:val="00B350D2"/>
    <w:rsid w:val="00B37F04"/>
    <w:rsid w:val="00B40264"/>
    <w:rsid w:val="00B41521"/>
    <w:rsid w:val="00B4165D"/>
    <w:rsid w:val="00B43834"/>
    <w:rsid w:val="00B460FF"/>
    <w:rsid w:val="00B5647B"/>
    <w:rsid w:val="00B576E4"/>
    <w:rsid w:val="00B8267B"/>
    <w:rsid w:val="00B82A0D"/>
    <w:rsid w:val="00B8325F"/>
    <w:rsid w:val="00B944F4"/>
    <w:rsid w:val="00BB077B"/>
    <w:rsid w:val="00BB1E20"/>
    <w:rsid w:val="00BB28A1"/>
    <w:rsid w:val="00BB48AC"/>
    <w:rsid w:val="00BB59BB"/>
    <w:rsid w:val="00BB7457"/>
    <w:rsid w:val="00BC2420"/>
    <w:rsid w:val="00BC2BEF"/>
    <w:rsid w:val="00BC5285"/>
    <w:rsid w:val="00BC617E"/>
    <w:rsid w:val="00BD0F02"/>
    <w:rsid w:val="00BE406D"/>
    <w:rsid w:val="00BF3669"/>
    <w:rsid w:val="00BF4885"/>
    <w:rsid w:val="00C00BE2"/>
    <w:rsid w:val="00C023A3"/>
    <w:rsid w:val="00C03269"/>
    <w:rsid w:val="00C0722A"/>
    <w:rsid w:val="00C078BD"/>
    <w:rsid w:val="00C1539D"/>
    <w:rsid w:val="00C154F3"/>
    <w:rsid w:val="00C159BE"/>
    <w:rsid w:val="00C16B01"/>
    <w:rsid w:val="00C1754E"/>
    <w:rsid w:val="00C220F7"/>
    <w:rsid w:val="00C37511"/>
    <w:rsid w:val="00C41D3F"/>
    <w:rsid w:val="00C544EF"/>
    <w:rsid w:val="00C65A9C"/>
    <w:rsid w:val="00C70AF1"/>
    <w:rsid w:val="00C73085"/>
    <w:rsid w:val="00C7480E"/>
    <w:rsid w:val="00C81D17"/>
    <w:rsid w:val="00C81E4A"/>
    <w:rsid w:val="00C821A8"/>
    <w:rsid w:val="00C839A7"/>
    <w:rsid w:val="00C83F74"/>
    <w:rsid w:val="00C8582D"/>
    <w:rsid w:val="00C94B09"/>
    <w:rsid w:val="00C96643"/>
    <w:rsid w:val="00C978E1"/>
    <w:rsid w:val="00CA66B7"/>
    <w:rsid w:val="00CB055B"/>
    <w:rsid w:val="00CC0A1D"/>
    <w:rsid w:val="00CC3020"/>
    <w:rsid w:val="00CC7E31"/>
    <w:rsid w:val="00CD12D5"/>
    <w:rsid w:val="00CD17D0"/>
    <w:rsid w:val="00CD1E56"/>
    <w:rsid w:val="00CD6007"/>
    <w:rsid w:val="00CD7788"/>
    <w:rsid w:val="00CE59F1"/>
    <w:rsid w:val="00CF4AD2"/>
    <w:rsid w:val="00D03E42"/>
    <w:rsid w:val="00D13B00"/>
    <w:rsid w:val="00D201E0"/>
    <w:rsid w:val="00D3397E"/>
    <w:rsid w:val="00D36B15"/>
    <w:rsid w:val="00D4059E"/>
    <w:rsid w:val="00D41E23"/>
    <w:rsid w:val="00D4286E"/>
    <w:rsid w:val="00D4386B"/>
    <w:rsid w:val="00D44FD2"/>
    <w:rsid w:val="00D45C37"/>
    <w:rsid w:val="00D476FA"/>
    <w:rsid w:val="00D47B93"/>
    <w:rsid w:val="00D5016A"/>
    <w:rsid w:val="00D63239"/>
    <w:rsid w:val="00D72558"/>
    <w:rsid w:val="00D823F9"/>
    <w:rsid w:val="00D85203"/>
    <w:rsid w:val="00D85556"/>
    <w:rsid w:val="00D90CDF"/>
    <w:rsid w:val="00DA0B4E"/>
    <w:rsid w:val="00DA0FC3"/>
    <w:rsid w:val="00DA73EC"/>
    <w:rsid w:val="00DB129F"/>
    <w:rsid w:val="00DC583D"/>
    <w:rsid w:val="00DD2E7A"/>
    <w:rsid w:val="00DD4259"/>
    <w:rsid w:val="00DE1394"/>
    <w:rsid w:val="00DE3074"/>
    <w:rsid w:val="00E0287B"/>
    <w:rsid w:val="00E05AF9"/>
    <w:rsid w:val="00E07359"/>
    <w:rsid w:val="00E11EA0"/>
    <w:rsid w:val="00E14199"/>
    <w:rsid w:val="00E201FB"/>
    <w:rsid w:val="00E30307"/>
    <w:rsid w:val="00E35931"/>
    <w:rsid w:val="00E43B23"/>
    <w:rsid w:val="00E45975"/>
    <w:rsid w:val="00E51A19"/>
    <w:rsid w:val="00E54BFB"/>
    <w:rsid w:val="00E57335"/>
    <w:rsid w:val="00E711C6"/>
    <w:rsid w:val="00E84581"/>
    <w:rsid w:val="00E92A54"/>
    <w:rsid w:val="00E92CC2"/>
    <w:rsid w:val="00E935EB"/>
    <w:rsid w:val="00E963BB"/>
    <w:rsid w:val="00EB0B68"/>
    <w:rsid w:val="00EB2935"/>
    <w:rsid w:val="00EC4133"/>
    <w:rsid w:val="00ED3105"/>
    <w:rsid w:val="00ED511F"/>
    <w:rsid w:val="00EE31B1"/>
    <w:rsid w:val="00EE3AF6"/>
    <w:rsid w:val="00EE4F99"/>
    <w:rsid w:val="00F07A31"/>
    <w:rsid w:val="00F13B5C"/>
    <w:rsid w:val="00F140DC"/>
    <w:rsid w:val="00F15E72"/>
    <w:rsid w:val="00F241DC"/>
    <w:rsid w:val="00F32093"/>
    <w:rsid w:val="00F41951"/>
    <w:rsid w:val="00F4580B"/>
    <w:rsid w:val="00F51505"/>
    <w:rsid w:val="00F643D2"/>
    <w:rsid w:val="00F646CF"/>
    <w:rsid w:val="00F7080F"/>
    <w:rsid w:val="00F73449"/>
    <w:rsid w:val="00F77482"/>
    <w:rsid w:val="00F77E8E"/>
    <w:rsid w:val="00F8078E"/>
    <w:rsid w:val="00FA4818"/>
    <w:rsid w:val="00FC3DE3"/>
    <w:rsid w:val="00FD2B8A"/>
    <w:rsid w:val="00FD733A"/>
    <w:rsid w:val="00FE57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E513FD-EECE-4FB3-AE3A-B90FEF41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7551"/>
    <w:pPr>
      <w:widowControl w:val="0"/>
      <w:adjustRightInd w:val="0"/>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1B7551"/>
    <w:pPr>
      <w:keepNext/>
      <w:jc w:val="center"/>
      <w:outlineLvl w:val="0"/>
    </w:pPr>
    <w:rPr>
      <w:b/>
      <w:bCs/>
    </w:rPr>
  </w:style>
  <w:style w:type="paragraph" w:styleId="Nadpis2">
    <w:name w:val="heading 2"/>
    <w:basedOn w:val="Normlny"/>
    <w:next w:val="Normlny"/>
    <w:link w:val="Nadpis2Char"/>
    <w:uiPriority w:val="9"/>
    <w:semiHidden/>
    <w:unhideWhenUsed/>
    <w:qFormat/>
    <w:rsid w:val="00BB59BB"/>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y"/>
    <w:next w:val="Normlny"/>
    <w:link w:val="Nadpis3Char"/>
    <w:uiPriority w:val="9"/>
    <w:semiHidden/>
    <w:unhideWhenUsed/>
    <w:qFormat/>
    <w:rsid w:val="001B7551"/>
    <w:pPr>
      <w:keepNext/>
      <w:keepLines/>
      <w:spacing w:before="200"/>
      <w:outlineLvl w:val="2"/>
    </w:pPr>
    <w:rPr>
      <w:rFonts w:asciiTheme="majorHAnsi" w:eastAsiaTheme="majorEastAsia" w:hAnsiTheme="majorHAnsi"/>
      <w:b/>
      <w:bCs/>
      <w:color w:val="4F81BD" w:themeColor="accent1"/>
    </w:rPr>
  </w:style>
  <w:style w:type="paragraph" w:styleId="Nadpis4">
    <w:name w:val="heading 4"/>
    <w:basedOn w:val="Normlny"/>
    <w:next w:val="Normlny"/>
    <w:link w:val="Nadpis4Char"/>
    <w:uiPriority w:val="9"/>
    <w:qFormat/>
    <w:rsid w:val="001B7551"/>
    <w:pPr>
      <w:keepNext/>
      <w:jc w:val="center"/>
      <w:outlineLvl w:val="3"/>
    </w:pPr>
    <w:rPr>
      <w:b/>
      <w:bCs/>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B7551"/>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
    <w:semiHidden/>
    <w:locked/>
    <w:rsid w:val="00BB59BB"/>
    <w:rPr>
      <w:rFonts w:asciiTheme="majorHAnsi" w:eastAsiaTheme="majorEastAsia" w:hAnsiTheme="majorHAnsi" w:cs="Times New Roman"/>
      <w:b/>
      <w:bCs/>
      <w:color w:val="4F81BD" w:themeColor="accent1"/>
      <w:sz w:val="26"/>
      <w:szCs w:val="26"/>
      <w:lang w:val="x-none" w:eastAsia="sk-SK"/>
    </w:rPr>
  </w:style>
  <w:style w:type="character" w:customStyle="1" w:styleId="Nadpis3Char">
    <w:name w:val="Nadpis 3 Char"/>
    <w:basedOn w:val="Predvolenpsmoodseku"/>
    <w:link w:val="Nadpis3"/>
    <w:uiPriority w:val="9"/>
    <w:semiHidden/>
    <w:locked/>
    <w:rsid w:val="001B7551"/>
    <w:rPr>
      <w:rFonts w:asciiTheme="majorHAnsi" w:eastAsiaTheme="majorEastAsia" w:hAnsiTheme="majorHAnsi" w:cs="Times New Roman"/>
      <w:b/>
      <w:bCs/>
      <w:color w:val="4F81BD" w:themeColor="accent1"/>
      <w:sz w:val="24"/>
      <w:szCs w:val="24"/>
      <w:lang w:val="x-none" w:eastAsia="sk-SK"/>
    </w:rPr>
  </w:style>
  <w:style w:type="character" w:customStyle="1" w:styleId="Nadpis4Char">
    <w:name w:val="Nadpis 4 Char"/>
    <w:basedOn w:val="Predvolenpsmoodseku"/>
    <w:link w:val="Nadpis4"/>
    <w:uiPriority w:val="9"/>
    <w:locked/>
    <w:rsid w:val="001B7551"/>
    <w:rPr>
      <w:rFonts w:ascii="Times New Roman" w:hAnsi="Times New Roman" w:cs="Times New Roman"/>
      <w:b/>
      <w:bCs/>
      <w:lang w:val="x-none" w:eastAsia="sk-SK"/>
    </w:rPr>
  </w:style>
  <w:style w:type="paragraph" w:styleId="Zkladntext3">
    <w:name w:val="Body Text 3"/>
    <w:basedOn w:val="Normlny"/>
    <w:link w:val="Zkladntext3Char"/>
    <w:uiPriority w:val="99"/>
    <w:rsid w:val="001B7551"/>
    <w:pPr>
      <w:spacing w:line="240" w:lineRule="atLeast"/>
      <w:jc w:val="both"/>
    </w:pPr>
  </w:style>
  <w:style w:type="character" w:customStyle="1" w:styleId="Zkladntext3Char">
    <w:name w:val="Základný text 3 Char"/>
    <w:basedOn w:val="Predvolenpsmoodseku"/>
    <w:link w:val="Zkladntext3"/>
    <w:uiPriority w:val="99"/>
    <w:locked/>
    <w:rsid w:val="001B7551"/>
    <w:rPr>
      <w:rFonts w:ascii="Times New Roman" w:hAnsi="Times New Roman" w:cs="Times New Roman"/>
      <w:sz w:val="24"/>
      <w:szCs w:val="24"/>
      <w:lang w:val="x-none" w:eastAsia="sk-SK"/>
    </w:rPr>
  </w:style>
  <w:style w:type="paragraph" w:styleId="Hlavika">
    <w:name w:val="header"/>
    <w:basedOn w:val="Normlny"/>
    <w:link w:val="HlavikaChar"/>
    <w:uiPriority w:val="99"/>
    <w:rsid w:val="001B7551"/>
    <w:pPr>
      <w:tabs>
        <w:tab w:val="center" w:pos="4536"/>
        <w:tab w:val="right" w:pos="9072"/>
      </w:tabs>
    </w:pPr>
  </w:style>
  <w:style w:type="character" w:customStyle="1" w:styleId="HlavikaChar">
    <w:name w:val="Hlavička Char"/>
    <w:basedOn w:val="Predvolenpsmoodseku"/>
    <w:link w:val="Hlavika"/>
    <w:uiPriority w:val="99"/>
    <w:locked/>
    <w:rsid w:val="001B7551"/>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1B7551"/>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sid w:val="001B7551"/>
    <w:rPr>
      <w:rFonts w:ascii="Times New Roman" w:hAnsi="Times New Roman" w:cs="Times New Roman"/>
      <w:sz w:val="20"/>
      <w:szCs w:val="20"/>
      <w:lang w:val="x-none" w:eastAsia="sk-SK"/>
    </w:rPr>
  </w:style>
  <w:style w:type="paragraph" w:customStyle="1" w:styleId="Normlny0">
    <w:name w:val="_Normálny"/>
    <w:basedOn w:val="Normlny"/>
    <w:rsid w:val="001B7551"/>
    <w:rPr>
      <w:sz w:val="20"/>
      <w:szCs w:val="20"/>
    </w:rPr>
  </w:style>
  <w:style w:type="paragraph" w:customStyle="1" w:styleId="CarCharCharCharCharChar1">
    <w:name w:val="Car Char Char Char Char Char1"/>
    <w:basedOn w:val="Normlny"/>
    <w:rsid w:val="001B7551"/>
    <w:pPr>
      <w:spacing w:after="160" w:line="240" w:lineRule="exact"/>
    </w:pPr>
    <w:rPr>
      <w:rFonts w:ascii="Tahoma" w:hAnsi="Tahoma" w:cs="Tahoma"/>
      <w:sz w:val="20"/>
      <w:szCs w:val="20"/>
      <w:lang w:val="en-US"/>
    </w:rPr>
  </w:style>
  <w:style w:type="paragraph" w:customStyle="1" w:styleId="Normlnywebov8">
    <w:name w:val="Normálny (webový)8"/>
    <w:basedOn w:val="Normlny"/>
    <w:rsid w:val="001B7551"/>
    <w:pPr>
      <w:spacing w:before="90" w:after="90"/>
      <w:ind w:left="270" w:right="270"/>
    </w:pPr>
    <w:rPr>
      <w:sz w:val="22"/>
      <w:szCs w:val="22"/>
    </w:rPr>
  </w:style>
  <w:style w:type="paragraph" w:customStyle="1" w:styleId="Default">
    <w:name w:val="Default"/>
    <w:rsid w:val="001B7551"/>
    <w:pPr>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Odsekzoznamu">
    <w:name w:val="List Paragraph"/>
    <w:basedOn w:val="Normlny"/>
    <w:uiPriority w:val="34"/>
    <w:qFormat/>
    <w:rsid w:val="001B7551"/>
    <w:pPr>
      <w:widowControl/>
      <w:adjustRightInd/>
      <w:spacing w:after="160" w:line="259" w:lineRule="auto"/>
      <w:ind w:left="720"/>
      <w:contextualSpacing/>
    </w:pPr>
    <w:rPr>
      <w:rFonts w:ascii="Calibri" w:hAnsi="Calibri"/>
      <w:sz w:val="22"/>
      <w:szCs w:val="22"/>
      <w:lang w:eastAsia="en-US"/>
    </w:rPr>
  </w:style>
  <w:style w:type="character" w:styleId="Odkaznakomentr">
    <w:name w:val="annotation reference"/>
    <w:basedOn w:val="Predvolenpsmoodseku"/>
    <w:uiPriority w:val="99"/>
    <w:unhideWhenUsed/>
    <w:rsid w:val="001B7551"/>
    <w:rPr>
      <w:rFonts w:cs="Times New Roman"/>
      <w:sz w:val="16"/>
      <w:szCs w:val="16"/>
    </w:rPr>
  </w:style>
  <w:style w:type="paragraph" w:styleId="Textkomentra">
    <w:name w:val="annotation text"/>
    <w:basedOn w:val="Normlny"/>
    <w:link w:val="TextkomentraChar"/>
    <w:uiPriority w:val="99"/>
    <w:unhideWhenUsed/>
    <w:rsid w:val="001B7551"/>
    <w:pPr>
      <w:widowControl/>
      <w:adjustRightInd/>
      <w:spacing w:after="160"/>
    </w:pPr>
    <w:rPr>
      <w:rFonts w:asciiTheme="minorHAnsi" w:hAnsiTheme="minorHAnsi"/>
      <w:sz w:val="20"/>
      <w:szCs w:val="20"/>
      <w:lang w:eastAsia="en-US"/>
    </w:rPr>
  </w:style>
  <w:style w:type="character" w:customStyle="1" w:styleId="TextkomentraChar">
    <w:name w:val="Text komentára Char"/>
    <w:basedOn w:val="Predvolenpsmoodseku"/>
    <w:link w:val="Textkomentra"/>
    <w:uiPriority w:val="99"/>
    <w:locked/>
    <w:rsid w:val="001B7551"/>
    <w:rPr>
      <w:rFonts w:cs="Times New Roman"/>
      <w:sz w:val="20"/>
      <w:szCs w:val="20"/>
    </w:rPr>
  </w:style>
  <w:style w:type="paragraph" w:styleId="Textbubliny">
    <w:name w:val="Balloon Text"/>
    <w:basedOn w:val="Normlny"/>
    <w:link w:val="TextbublinyChar"/>
    <w:uiPriority w:val="99"/>
    <w:semiHidden/>
    <w:unhideWhenUsed/>
    <w:rsid w:val="001B755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B7551"/>
    <w:rPr>
      <w:rFonts w:ascii="Tahoma" w:hAnsi="Tahoma" w:cs="Tahoma"/>
      <w:sz w:val="16"/>
      <w:szCs w:val="16"/>
      <w:lang w:val="x-none" w:eastAsia="sk-SK"/>
    </w:rPr>
  </w:style>
  <w:style w:type="character" w:styleId="Hypertextovprepojenie">
    <w:name w:val="Hyperlink"/>
    <w:basedOn w:val="Predvolenpsmoodseku"/>
    <w:uiPriority w:val="99"/>
    <w:semiHidden/>
    <w:unhideWhenUsed/>
    <w:rsid w:val="001B7551"/>
    <w:rPr>
      <w:rFonts w:cs="Times New Roman"/>
      <w:color w:val="05507A"/>
      <w:u w:val="none"/>
      <w:effect w:val="none"/>
    </w:rPr>
  </w:style>
  <w:style w:type="character" w:styleId="PremennHTML">
    <w:name w:val="HTML Variable"/>
    <w:basedOn w:val="Predvolenpsmoodseku"/>
    <w:uiPriority w:val="99"/>
    <w:semiHidden/>
    <w:unhideWhenUsed/>
    <w:rsid w:val="001B7551"/>
    <w:rPr>
      <w:rFonts w:cs="Times New Roman"/>
      <w:b/>
      <w:bCs/>
    </w:rPr>
  </w:style>
  <w:style w:type="paragraph" w:styleId="Normlnywebov">
    <w:name w:val="Normal (Web)"/>
    <w:basedOn w:val="Normlny"/>
    <w:uiPriority w:val="99"/>
    <w:semiHidden/>
    <w:unhideWhenUsed/>
    <w:rsid w:val="001B7551"/>
    <w:pPr>
      <w:widowControl/>
      <w:adjustRightInd/>
      <w:spacing w:before="144" w:after="144"/>
    </w:pPr>
  </w:style>
  <w:style w:type="paragraph" w:styleId="Bezriadkovania">
    <w:name w:val="No Spacing"/>
    <w:uiPriority w:val="1"/>
    <w:qFormat/>
    <w:rsid w:val="001B7551"/>
    <w:pPr>
      <w:widowControl w:val="0"/>
      <w:adjustRightInd w:val="0"/>
      <w:spacing w:after="0" w:line="240" w:lineRule="auto"/>
    </w:pPr>
    <w:rPr>
      <w:rFonts w:ascii="Times New Roman" w:hAnsi="Times New Roman" w:cs="Times New Roman"/>
      <w:sz w:val="24"/>
      <w:szCs w:val="24"/>
      <w:lang w:eastAsia="sk-SK"/>
    </w:rPr>
  </w:style>
  <w:style w:type="paragraph" w:customStyle="1" w:styleId="CM1">
    <w:name w:val="CM1"/>
    <w:basedOn w:val="Default"/>
    <w:next w:val="Default"/>
    <w:uiPriority w:val="99"/>
    <w:rsid w:val="009950D2"/>
    <w:rPr>
      <w:rFonts w:ascii="EU Albertina" w:hAnsi="EU Albertina"/>
      <w:color w:val="auto"/>
      <w:lang w:eastAsia="en-US"/>
    </w:rPr>
  </w:style>
  <w:style w:type="paragraph" w:customStyle="1" w:styleId="CM3">
    <w:name w:val="CM3"/>
    <w:basedOn w:val="Default"/>
    <w:next w:val="Default"/>
    <w:uiPriority w:val="99"/>
    <w:rsid w:val="009950D2"/>
    <w:rPr>
      <w:rFonts w:ascii="EU Albertina" w:hAnsi="EU Albertina"/>
      <w:color w:val="auto"/>
      <w:lang w:eastAsia="en-US"/>
    </w:rPr>
  </w:style>
  <w:style w:type="paragraph" w:customStyle="1" w:styleId="CM4">
    <w:name w:val="CM4"/>
    <w:basedOn w:val="Default"/>
    <w:next w:val="Default"/>
    <w:uiPriority w:val="99"/>
    <w:rsid w:val="009950D2"/>
    <w:rPr>
      <w:rFonts w:ascii="EU Albertina" w:hAnsi="EU Albertina"/>
      <w:color w:val="auto"/>
      <w:lang w:eastAsia="en-US"/>
    </w:rPr>
  </w:style>
  <w:style w:type="character" w:customStyle="1" w:styleId="fontstyle01">
    <w:name w:val="fontstyle01"/>
    <w:basedOn w:val="Predvolenpsmoodseku"/>
    <w:rsid w:val="003110C9"/>
    <w:rPr>
      <w:rFonts w:ascii="TeXGyreBonumRegular" w:hAnsi="TeXGyreBonumRegular" w:cs="Times New Roman"/>
      <w:color w:val="000000"/>
      <w:sz w:val="20"/>
      <w:szCs w:val="20"/>
    </w:rPr>
  </w:style>
  <w:style w:type="character" w:styleId="Siln">
    <w:name w:val="Strong"/>
    <w:basedOn w:val="Predvolenpsmoodseku"/>
    <w:uiPriority w:val="22"/>
    <w:qFormat/>
    <w:rsid w:val="00A77DCB"/>
    <w:rPr>
      <w:rFonts w:cs="Times New Roman"/>
      <w:b/>
      <w:bCs/>
    </w:rPr>
  </w:style>
  <w:style w:type="paragraph" w:styleId="Predmetkomentra">
    <w:name w:val="annotation subject"/>
    <w:basedOn w:val="Textkomentra"/>
    <w:next w:val="Textkomentra"/>
    <w:link w:val="PredmetkomentraChar"/>
    <w:uiPriority w:val="99"/>
    <w:unhideWhenUsed/>
    <w:rsid w:val="003F6756"/>
    <w:pPr>
      <w:spacing w:after="0"/>
    </w:pPr>
    <w:rPr>
      <w:rFonts w:ascii="Calibri" w:hAnsi="Calibri" w:cs="Calibri"/>
      <w:b/>
      <w:bCs/>
      <w:lang w:eastAsia="sk-SK"/>
    </w:rPr>
  </w:style>
  <w:style w:type="character" w:customStyle="1" w:styleId="PredmetkomentraChar">
    <w:name w:val="Predmet komentára Char"/>
    <w:basedOn w:val="TextkomentraChar"/>
    <w:link w:val="Predmetkomentra"/>
    <w:uiPriority w:val="99"/>
    <w:locked/>
    <w:rsid w:val="003F6756"/>
    <w:rPr>
      <w:rFonts w:ascii="Calibri" w:hAnsi="Calibri" w:cs="Calibri"/>
      <w:b/>
      <w:bCs/>
      <w:sz w:val="20"/>
      <w:szCs w:val="20"/>
      <w:lang w:val="x-none" w:eastAsia="sk-SK"/>
    </w:rPr>
  </w:style>
  <w:style w:type="paragraph" w:styleId="Textpoznmkypodiarou">
    <w:name w:val="footnote text"/>
    <w:basedOn w:val="Normlny"/>
    <w:link w:val="TextpoznmkypodiarouChar"/>
    <w:uiPriority w:val="99"/>
    <w:unhideWhenUsed/>
    <w:rsid w:val="001F3FCD"/>
    <w:pPr>
      <w:widowControl/>
      <w:adjustRightInd/>
    </w:pPr>
    <w:rPr>
      <w:rFonts w:ascii="Calibri" w:hAnsi="Calibri" w:cs="Calibri"/>
      <w:sz w:val="20"/>
      <w:szCs w:val="20"/>
    </w:rPr>
  </w:style>
  <w:style w:type="character" w:customStyle="1" w:styleId="TextpoznmkypodiarouChar">
    <w:name w:val="Text poznámky pod čiarou Char"/>
    <w:basedOn w:val="Predvolenpsmoodseku"/>
    <w:link w:val="Textpoznmkypodiarou"/>
    <w:uiPriority w:val="99"/>
    <w:locked/>
    <w:rsid w:val="001F3FCD"/>
    <w:rPr>
      <w:rFonts w:ascii="Calibri" w:hAnsi="Calibri" w:cs="Calibri"/>
      <w:sz w:val="20"/>
      <w:szCs w:val="20"/>
      <w:lang w:val="x-none" w:eastAsia="sk-SK"/>
    </w:rPr>
  </w:style>
  <w:style w:type="character" w:styleId="Odkaznapoznmkupodiarou">
    <w:name w:val="footnote reference"/>
    <w:basedOn w:val="Predvolenpsmoodseku"/>
    <w:uiPriority w:val="99"/>
    <w:unhideWhenUsed/>
    <w:rsid w:val="001F3FCD"/>
    <w:rPr>
      <w:rFonts w:cs="Times New Roman"/>
      <w:vertAlign w:val="superscript"/>
    </w:rPr>
  </w:style>
  <w:style w:type="paragraph" w:styleId="Pta">
    <w:name w:val="footer"/>
    <w:basedOn w:val="Normlny"/>
    <w:link w:val="PtaChar"/>
    <w:uiPriority w:val="99"/>
    <w:rsid w:val="000C53D4"/>
    <w:pPr>
      <w:tabs>
        <w:tab w:val="center" w:pos="4536"/>
        <w:tab w:val="right" w:pos="9072"/>
      </w:tabs>
    </w:pPr>
  </w:style>
  <w:style w:type="character" w:customStyle="1" w:styleId="PtaChar">
    <w:name w:val="Päta Char"/>
    <w:basedOn w:val="Predvolenpsmoodseku"/>
    <w:link w:val="Pta"/>
    <w:uiPriority w:val="99"/>
    <w:locked/>
    <w:rsid w:val="000C53D4"/>
    <w:rPr>
      <w:rFonts w:ascii="Times New Roman" w:hAnsi="Times New Roman" w:cs="Times New Roman"/>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94873">
      <w:marLeft w:val="0"/>
      <w:marRight w:val="0"/>
      <w:marTop w:val="0"/>
      <w:marBottom w:val="0"/>
      <w:divBdr>
        <w:top w:val="none" w:sz="0" w:space="0" w:color="auto"/>
        <w:left w:val="none" w:sz="0" w:space="0" w:color="auto"/>
        <w:bottom w:val="none" w:sz="0" w:space="0" w:color="auto"/>
        <w:right w:val="none" w:sz="0" w:space="0" w:color="auto"/>
      </w:divBdr>
    </w:div>
    <w:div w:id="1691494874">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 w:id="1691494948">
          <w:marLeft w:val="0"/>
          <w:marRight w:val="0"/>
          <w:marTop w:val="0"/>
          <w:marBottom w:val="0"/>
          <w:divBdr>
            <w:top w:val="none" w:sz="0" w:space="0" w:color="auto"/>
            <w:left w:val="none" w:sz="0" w:space="0" w:color="auto"/>
            <w:bottom w:val="none" w:sz="0" w:space="0" w:color="auto"/>
            <w:right w:val="none" w:sz="0" w:space="0" w:color="auto"/>
          </w:divBdr>
        </w:div>
      </w:divsChild>
    </w:div>
    <w:div w:id="1691494879">
      <w:marLeft w:val="0"/>
      <w:marRight w:val="0"/>
      <w:marTop w:val="0"/>
      <w:marBottom w:val="0"/>
      <w:divBdr>
        <w:top w:val="none" w:sz="0" w:space="0" w:color="auto"/>
        <w:left w:val="none" w:sz="0" w:space="0" w:color="auto"/>
        <w:bottom w:val="none" w:sz="0" w:space="0" w:color="auto"/>
        <w:right w:val="none" w:sz="0" w:space="0" w:color="auto"/>
      </w:divBdr>
      <w:divsChild>
        <w:div w:id="1691494877">
          <w:marLeft w:val="0"/>
          <w:marRight w:val="0"/>
          <w:marTop w:val="440"/>
          <w:marBottom w:val="740"/>
          <w:divBdr>
            <w:top w:val="none" w:sz="0" w:space="0" w:color="auto"/>
            <w:left w:val="none" w:sz="0" w:space="0" w:color="auto"/>
            <w:bottom w:val="none" w:sz="0" w:space="0" w:color="auto"/>
            <w:right w:val="none" w:sz="0" w:space="0" w:color="auto"/>
          </w:divBdr>
          <w:divsChild>
            <w:div w:id="1691494876">
              <w:marLeft w:val="0"/>
              <w:marRight w:val="0"/>
              <w:marTop w:val="400"/>
              <w:marBottom w:val="0"/>
              <w:divBdr>
                <w:top w:val="none" w:sz="0" w:space="0" w:color="auto"/>
                <w:left w:val="none" w:sz="0" w:space="0" w:color="auto"/>
                <w:bottom w:val="none" w:sz="0" w:space="0" w:color="auto"/>
                <w:right w:val="none" w:sz="0" w:space="0" w:color="auto"/>
              </w:divBdr>
            </w:div>
          </w:divsChild>
        </w:div>
        <w:div w:id="1691494878">
          <w:marLeft w:val="0"/>
          <w:marRight w:val="0"/>
          <w:marTop w:val="240"/>
          <w:marBottom w:val="140"/>
          <w:divBdr>
            <w:top w:val="none" w:sz="0" w:space="0" w:color="auto"/>
            <w:left w:val="none" w:sz="0" w:space="0" w:color="auto"/>
            <w:bottom w:val="none" w:sz="0" w:space="0" w:color="auto"/>
            <w:right w:val="none" w:sz="0" w:space="0" w:color="auto"/>
          </w:divBdr>
        </w:div>
      </w:divsChild>
    </w:div>
    <w:div w:id="1691494881">
      <w:marLeft w:val="0"/>
      <w:marRight w:val="0"/>
      <w:marTop w:val="0"/>
      <w:marBottom w:val="0"/>
      <w:divBdr>
        <w:top w:val="none" w:sz="0" w:space="0" w:color="auto"/>
        <w:left w:val="none" w:sz="0" w:space="0" w:color="auto"/>
        <w:bottom w:val="none" w:sz="0" w:space="0" w:color="auto"/>
        <w:right w:val="none" w:sz="0" w:space="0" w:color="auto"/>
      </w:divBdr>
      <w:divsChild>
        <w:div w:id="1691494884">
          <w:marLeft w:val="0"/>
          <w:marRight w:val="0"/>
          <w:marTop w:val="0"/>
          <w:marBottom w:val="0"/>
          <w:divBdr>
            <w:top w:val="none" w:sz="0" w:space="0" w:color="auto"/>
            <w:left w:val="none" w:sz="0" w:space="0" w:color="auto"/>
            <w:bottom w:val="none" w:sz="0" w:space="0" w:color="auto"/>
            <w:right w:val="none" w:sz="0" w:space="0" w:color="auto"/>
          </w:divBdr>
          <w:divsChild>
            <w:div w:id="1691494882">
              <w:marLeft w:val="0"/>
              <w:marRight w:val="0"/>
              <w:marTop w:val="0"/>
              <w:marBottom w:val="0"/>
              <w:divBdr>
                <w:top w:val="none" w:sz="0" w:space="0" w:color="auto"/>
                <w:left w:val="none" w:sz="0" w:space="0" w:color="auto"/>
                <w:bottom w:val="none" w:sz="0" w:space="0" w:color="auto"/>
                <w:right w:val="none" w:sz="0" w:space="0" w:color="auto"/>
              </w:divBdr>
            </w:div>
            <w:div w:id="1691494883">
              <w:marLeft w:val="0"/>
              <w:marRight w:val="0"/>
              <w:marTop w:val="0"/>
              <w:marBottom w:val="0"/>
              <w:divBdr>
                <w:top w:val="none" w:sz="0" w:space="0" w:color="auto"/>
                <w:left w:val="none" w:sz="0" w:space="0" w:color="auto"/>
                <w:bottom w:val="none" w:sz="0" w:space="0" w:color="auto"/>
                <w:right w:val="none" w:sz="0" w:space="0" w:color="auto"/>
              </w:divBdr>
            </w:div>
            <w:div w:id="1691494938">
              <w:marLeft w:val="0"/>
              <w:marRight w:val="0"/>
              <w:marTop w:val="0"/>
              <w:marBottom w:val="0"/>
              <w:divBdr>
                <w:top w:val="none" w:sz="0" w:space="0" w:color="auto"/>
                <w:left w:val="none" w:sz="0" w:space="0" w:color="auto"/>
                <w:bottom w:val="none" w:sz="0" w:space="0" w:color="auto"/>
                <w:right w:val="none" w:sz="0" w:space="0" w:color="auto"/>
              </w:divBdr>
            </w:div>
            <w:div w:id="16914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887">
      <w:marLeft w:val="0"/>
      <w:marRight w:val="0"/>
      <w:marTop w:val="0"/>
      <w:marBottom w:val="0"/>
      <w:divBdr>
        <w:top w:val="none" w:sz="0" w:space="0" w:color="auto"/>
        <w:left w:val="none" w:sz="0" w:space="0" w:color="auto"/>
        <w:bottom w:val="none" w:sz="0" w:space="0" w:color="auto"/>
        <w:right w:val="none" w:sz="0" w:space="0" w:color="auto"/>
      </w:divBdr>
      <w:divsChild>
        <w:div w:id="1691494885">
          <w:marLeft w:val="0"/>
          <w:marRight w:val="0"/>
          <w:marTop w:val="0"/>
          <w:marBottom w:val="0"/>
          <w:divBdr>
            <w:top w:val="none" w:sz="0" w:space="0" w:color="auto"/>
            <w:left w:val="none" w:sz="0" w:space="0" w:color="auto"/>
            <w:bottom w:val="none" w:sz="0" w:space="0" w:color="auto"/>
            <w:right w:val="none" w:sz="0" w:space="0" w:color="auto"/>
          </w:divBdr>
        </w:div>
        <w:div w:id="1691494932">
          <w:marLeft w:val="0"/>
          <w:marRight w:val="0"/>
          <w:marTop w:val="0"/>
          <w:marBottom w:val="0"/>
          <w:divBdr>
            <w:top w:val="none" w:sz="0" w:space="0" w:color="auto"/>
            <w:left w:val="none" w:sz="0" w:space="0" w:color="auto"/>
            <w:bottom w:val="none" w:sz="0" w:space="0" w:color="auto"/>
            <w:right w:val="none" w:sz="0" w:space="0" w:color="auto"/>
          </w:divBdr>
        </w:div>
        <w:div w:id="1691494933">
          <w:marLeft w:val="0"/>
          <w:marRight w:val="0"/>
          <w:marTop w:val="0"/>
          <w:marBottom w:val="0"/>
          <w:divBdr>
            <w:top w:val="none" w:sz="0" w:space="0" w:color="auto"/>
            <w:left w:val="none" w:sz="0" w:space="0" w:color="auto"/>
            <w:bottom w:val="none" w:sz="0" w:space="0" w:color="auto"/>
            <w:right w:val="none" w:sz="0" w:space="0" w:color="auto"/>
          </w:divBdr>
        </w:div>
        <w:div w:id="1691494935">
          <w:marLeft w:val="0"/>
          <w:marRight w:val="0"/>
          <w:marTop w:val="0"/>
          <w:marBottom w:val="0"/>
          <w:divBdr>
            <w:top w:val="none" w:sz="0" w:space="0" w:color="auto"/>
            <w:left w:val="none" w:sz="0" w:space="0" w:color="auto"/>
            <w:bottom w:val="none" w:sz="0" w:space="0" w:color="auto"/>
            <w:right w:val="none" w:sz="0" w:space="0" w:color="auto"/>
          </w:divBdr>
        </w:div>
      </w:divsChild>
    </w:div>
    <w:div w:id="1691494895">
      <w:marLeft w:val="0"/>
      <w:marRight w:val="0"/>
      <w:marTop w:val="0"/>
      <w:marBottom w:val="0"/>
      <w:divBdr>
        <w:top w:val="none" w:sz="0" w:space="0" w:color="auto"/>
        <w:left w:val="none" w:sz="0" w:space="0" w:color="auto"/>
        <w:bottom w:val="none" w:sz="0" w:space="0" w:color="auto"/>
        <w:right w:val="none" w:sz="0" w:space="0" w:color="auto"/>
      </w:divBdr>
    </w:div>
    <w:div w:id="1691494896">
      <w:marLeft w:val="0"/>
      <w:marRight w:val="0"/>
      <w:marTop w:val="0"/>
      <w:marBottom w:val="0"/>
      <w:divBdr>
        <w:top w:val="none" w:sz="0" w:space="0" w:color="auto"/>
        <w:left w:val="none" w:sz="0" w:space="0" w:color="auto"/>
        <w:bottom w:val="none" w:sz="0" w:space="0" w:color="auto"/>
        <w:right w:val="none" w:sz="0" w:space="0" w:color="auto"/>
      </w:divBdr>
      <w:divsChild>
        <w:div w:id="1691494889">
          <w:marLeft w:val="0"/>
          <w:marRight w:val="0"/>
          <w:marTop w:val="0"/>
          <w:marBottom w:val="0"/>
          <w:divBdr>
            <w:top w:val="none" w:sz="0" w:space="0" w:color="auto"/>
            <w:left w:val="none" w:sz="0" w:space="0" w:color="auto"/>
            <w:bottom w:val="none" w:sz="0" w:space="0" w:color="auto"/>
            <w:right w:val="none" w:sz="0" w:space="0" w:color="auto"/>
          </w:divBdr>
        </w:div>
        <w:div w:id="1691494890">
          <w:marLeft w:val="0"/>
          <w:marRight w:val="0"/>
          <w:marTop w:val="0"/>
          <w:marBottom w:val="0"/>
          <w:divBdr>
            <w:top w:val="none" w:sz="0" w:space="0" w:color="auto"/>
            <w:left w:val="none" w:sz="0" w:space="0" w:color="auto"/>
            <w:bottom w:val="none" w:sz="0" w:space="0" w:color="auto"/>
            <w:right w:val="none" w:sz="0" w:space="0" w:color="auto"/>
          </w:divBdr>
        </w:div>
        <w:div w:id="1691494891">
          <w:marLeft w:val="0"/>
          <w:marRight w:val="0"/>
          <w:marTop w:val="0"/>
          <w:marBottom w:val="0"/>
          <w:divBdr>
            <w:top w:val="none" w:sz="0" w:space="0" w:color="auto"/>
            <w:left w:val="none" w:sz="0" w:space="0" w:color="auto"/>
            <w:bottom w:val="none" w:sz="0" w:space="0" w:color="auto"/>
            <w:right w:val="none" w:sz="0" w:space="0" w:color="auto"/>
          </w:divBdr>
        </w:div>
        <w:div w:id="1691494892">
          <w:marLeft w:val="0"/>
          <w:marRight w:val="0"/>
          <w:marTop w:val="0"/>
          <w:marBottom w:val="0"/>
          <w:divBdr>
            <w:top w:val="none" w:sz="0" w:space="0" w:color="auto"/>
            <w:left w:val="none" w:sz="0" w:space="0" w:color="auto"/>
            <w:bottom w:val="none" w:sz="0" w:space="0" w:color="auto"/>
            <w:right w:val="none" w:sz="0" w:space="0" w:color="auto"/>
          </w:divBdr>
        </w:div>
        <w:div w:id="1691494893">
          <w:marLeft w:val="0"/>
          <w:marRight w:val="0"/>
          <w:marTop w:val="0"/>
          <w:marBottom w:val="0"/>
          <w:divBdr>
            <w:top w:val="none" w:sz="0" w:space="0" w:color="auto"/>
            <w:left w:val="none" w:sz="0" w:space="0" w:color="auto"/>
            <w:bottom w:val="none" w:sz="0" w:space="0" w:color="auto"/>
            <w:right w:val="none" w:sz="0" w:space="0" w:color="auto"/>
          </w:divBdr>
        </w:div>
        <w:div w:id="1691494897">
          <w:marLeft w:val="0"/>
          <w:marRight w:val="0"/>
          <w:marTop w:val="0"/>
          <w:marBottom w:val="0"/>
          <w:divBdr>
            <w:top w:val="none" w:sz="0" w:space="0" w:color="auto"/>
            <w:left w:val="none" w:sz="0" w:space="0" w:color="auto"/>
            <w:bottom w:val="none" w:sz="0" w:space="0" w:color="auto"/>
            <w:right w:val="none" w:sz="0" w:space="0" w:color="auto"/>
          </w:divBdr>
        </w:div>
        <w:div w:id="1691494898">
          <w:marLeft w:val="0"/>
          <w:marRight w:val="0"/>
          <w:marTop w:val="0"/>
          <w:marBottom w:val="0"/>
          <w:divBdr>
            <w:top w:val="none" w:sz="0" w:space="0" w:color="auto"/>
            <w:left w:val="none" w:sz="0" w:space="0" w:color="auto"/>
            <w:bottom w:val="none" w:sz="0" w:space="0" w:color="auto"/>
            <w:right w:val="none" w:sz="0" w:space="0" w:color="auto"/>
          </w:divBdr>
        </w:div>
        <w:div w:id="1691494899">
          <w:marLeft w:val="0"/>
          <w:marRight w:val="0"/>
          <w:marTop w:val="0"/>
          <w:marBottom w:val="0"/>
          <w:divBdr>
            <w:top w:val="none" w:sz="0" w:space="0" w:color="auto"/>
            <w:left w:val="none" w:sz="0" w:space="0" w:color="auto"/>
            <w:bottom w:val="none" w:sz="0" w:space="0" w:color="auto"/>
            <w:right w:val="none" w:sz="0" w:space="0" w:color="auto"/>
          </w:divBdr>
        </w:div>
        <w:div w:id="1691494900">
          <w:marLeft w:val="0"/>
          <w:marRight w:val="0"/>
          <w:marTop w:val="0"/>
          <w:marBottom w:val="0"/>
          <w:divBdr>
            <w:top w:val="none" w:sz="0" w:space="0" w:color="auto"/>
            <w:left w:val="none" w:sz="0" w:space="0" w:color="auto"/>
            <w:bottom w:val="none" w:sz="0" w:space="0" w:color="auto"/>
            <w:right w:val="none" w:sz="0" w:space="0" w:color="auto"/>
          </w:divBdr>
        </w:div>
        <w:div w:id="1691494901">
          <w:marLeft w:val="0"/>
          <w:marRight w:val="0"/>
          <w:marTop w:val="0"/>
          <w:marBottom w:val="0"/>
          <w:divBdr>
            <w:top w:val="none" w:sz="0" w:space="0" w:color="auto"/>
            <w:left w:val="none" w:sz="0" w:space="0" w:color="auto"/>
            <w:bottom w:val="none" w:sz="0" w:space="0" w:color="auto"/>
            <w:right w:val="none" w:sz="0" w:space="0" w:color="auto"/>
          </w:divBdr>
        </w:div>
        <w:div w:id="1691494902">
          <w:marLeft w:val="0"/>
          <w:marRight w:val="0"/>
          <w:marTop w:val="0"/>
          <w:marBottom w:val="0"/>
          <w:divBdr>
            <w:top w:val="none" w:sz="0" w:space="0" w:color="auto"/>
            <w:left w:val="none" w:sz="0" w:space="0" w:color="auto"/>
            <w:bottom w:val="none" w:sz="0" w:space="0" w:color="auto"/>
            <w:right w:val="none" w:sz="0" w:space="0" w:color="auto"/>
          </w:divBdr>
        </w:div>
        <w:div w:id="1691494903">
          <w:marLeft w:val="0"/>
          <w:marRight w:val="0"/>
          <w:marTop w:val="0"/>
          <w:marBottom w:val="0"/>
          <w:divBdr>
            <w:top w:val="none" w:sz="0" w:space="0" w:color="auto"/>
            <w:left w:val="none" w:sz="0" w:space="0" w:color="auto"/>
            <w:bottom w:val="none" w:sz="0" w:space="0" w:color="auto"/>
            <w:right w:val="none" w:sz="0" w:space="0" w:color="auto"/>
          </w:divBdr>
        </w:div>
        <w:div w:id="1691494904">
          <w:marLeft w:val="0"/>
          <w:marRight w:val="0"/>
          <w:marTop w:val="0"/>
          <w:marBottom w:val="0"/>
          <w:divBdr>
            <w:top w:val="none" w:sz="0" w:space="0" w:color="auto"/>
            <w:left w:val="none" w:sz="0" w:space="0" w:color="auto"/>
            <w:bottom w:val="none" w:sz="0" w:space="0" w:color="auto"/>
            <w:right w:val="none" w:sz="0" w:space="0" w:color="auto"/>
          </w:divBdr>
          <w:divsChild>
            <w:div w:id="1691494894">
              <w:marLeft w:val="0"/>
              <w:marRight w:val="0"/>
              <w:marTop w:val="0"/>
              <w:marBottom w:val="0"/>
              <w:divBdr>
                <w:top w:val="none" w:sz="0" w:space="0" w:color="auto"/>
                <w:left w:val="none" w:sz="0" w:space="0" w:color="auto"/>
                <w:bottom w:val="none" w:sz="0" w:space="0" w:color="auto"/>
                <w:right w:val="none" w:sz="0" w:space="0" w:color="auto"/>
              </w:divBdr>
            </w:div>
            <w:div w:id="1691494906">
              <w:marLeft w:val="0"/>
              <w:marRight w:val="0"/>
              <w:marTop w:val="0"/>
              <w:marBottom w:val="0"/>
              <w:divBdr>
                <w:top w:val="none" w:sz="0" w:space="0" w:color="auto"/>
                <w:left w:val="none" w:sz="0" w:space="0" w:color="auto"/>
                <w:bottom w:val="none" w:sz="0" w:space="0" w:color="auto"/>
                <w:right w:val="none" w:sz="0" w:space="0" w:color="auto"/>
              </w:divBdr>
            </w:div>
            <w:div w:id="1691494914">
              <w:marLeft w:val="0"/>
              <w:marRight w:val="0"/>
              <w:marTop w:val="0"/>
              <w:marBottom w:val="0"/>
              <w:divBdr>
                <w:top w:val="none" w:sz="0" w:space="0" w:color="auto"/>
                <w:left w:val="none" w:sz="0" w:space="0" w:color="auto"/>
                <w:bottom w:val="none" w:sz="0" w:space="0" w:color="auto"/>
                <w:right w:val="none" w:sz="0" w:space="0" w:color="auto"/>
              </w:divBdr>
            </w:div>
            <w:div w:id="1691494927">
              <w:marLeft w:val="0"/>
              <w:marRight w:val="0"/>
              <w:marTop w:val="0"/>
              <w:marBottom w:val="0"/>
              <w:divBdr>
                <w:top w:val="none" w:sz="0" w:space="0" w:color="auto"/>
                <w:left w:val="none" w:sz="0" w:space="0" w:color="auto"/>
                <w:bottom w:val="none" w:sz="0" w:space="0" w:color="auto"/>
                <w:right w:val="none" w:sz="0" w:space="0" w:color="auto"/>
              </w:divBdr>
            </w:div>
          </w:divsChild>
        </w:div>
        <w:div w:id="1691494905">
          <w:marLeft w:val="0"/>
          <w:marRight w:val="0"/>
          <w:marTop w:val="0"/>
          <w:marBottom w:val="0"/>
          <w:divBdr>
            <w:top w:val="none" w:sz="0" w:space="0" w:color="auto"/>
            <w:left w:val="none" w:sz="0" w:space="0" w:color="auto"/>
            <w:bottom w:val="none" w:sz="0" w:space="0" w:color="auto"/>
            <w:right w:val="none" w:sz="0" w:space="0" w:color="auto"/>
          </w:divBdr>
        </w:div>
        <w:div w:id="1691494907">
          <w:marLeft w:val="0"/>
          <w:marRight w:val="0"/>
          <w:marTop w:val="0"/>
          <w:marBottom w:val="0"/>
          <w:divBdr>
            <w:top w:val="none" w:sz="0" w:space="0" w:color="auto"/>
            <w:left w:val="none" w:sz="0" w:space="0" w:color="auto"/>
            <w:bottom w:val="none" w:sz="0" w:space="0" w:color="auto"/>
            <w:right w:val="none" w:sz="0" w:space="0" w:color="auto"/>
          </w:divBdr>
        </w:div>
        <w:div w:id="1691494908">
          <w:marLeft w:val="0"/>
          <w:marRight w:val="0"/>
          <w:marTop w:val="0"/>
          <w:marBottom w:val="0"/>
          <w:divBdr>
            <w:top w:val="none" w:sz="0" w:space="0" w:color="auto"/>
            <w:left w:val="none" w:sz="0" w:space="0" w:color="auto"/>
            <w:bottom w:val="none" w:sz="0" w:space="0" w:color="auto"/>
            <w:right w:val="none" w:sz="0" w:space="0" w:color="auto"/>
          </w:divBdr>
        </w:div>
        <w:div w:id="1691494909">
          <w:marLeft w:val="0"/>
          <w:marRight w:val="0"/>
          <w:marTop w:val="0"/>
          <w:marBottom w:val="0"/>
          <w:divBdr>
            <w:top w:val="none" w:sz="0" w:space="0" w:color="auto"/>
            <w:left w:val="none" w:sz="0" w:space="0" w:color="auto"/>
            <w:bottom w:val="none" w:sz="0" w:space="0" w:color="auto"/>
            <w:right w:val="none" w:sz="0" w:space="0" w:color="auto"/>
          </w:divBdr>
        </w:div>
        <w:div w:id="1691494911">
          <w:marLeft w:val="0"/>
          <w:marRight w:val="0"/>
          <w:marTop w:val="0"/>
          <w:marBottom w:val="0"/>
          <w:divBdr>
            <w:top w:val="none" w:sz="0" w:space="0" w:color="auto"/>
            <w:left w:val="none" w:sz="0" w:space="0" w:color="auto"/>
            <w:bottom w:val="none" w:sz="0" w:space="0" w:color="auto"/>
            <w:right w:val="none" w:sz="0" w:space="0" w:color="auto"/>
          </w:divBdr>
        </w:div>
        <w:div w:id="1691494912">
          <w:marLeft w:val="0"/>
          <w:marRight w:val="0"/>
          <w:marTop w:val="0"/>
          <w:marBottom w:val="0"/>
          <w:divBdr>
            <w:top w:val="none" w:sz="0" w:space="0" w:color="auto"/>
            <w:left w:val="none" w:sz="0" w:space="0" w:color="auto"/>
            <w:bottom w:val="none" w:sz="0" w:space="0" w:color="auto"/>
            <w:right w:val="none" w:sz="0" w:space="0" w:color="auto"/>
          </w:divBdr>
        </w:div>
        <w:div w:id="1691494913">
          <w:marLeft w:val="0"/>
          <w:marRight w:val="0"/>
          <w:marTop w:val="0"/>
          <w:marBottom w:val="0"/>
          <w:divBdr>
            <w:top w:val="none" w:sz="0" w:space="0" w:color="auto"/>
            <w:left w:val="none" w:sz="0" w:space="0" w:color="auto"/>
            <w:bottom w:val="none" w:sz="0" w:space="0" w:color="auto"/>
            <w:right w:val="none" w:sz="0" w:space="0" w:color="auto"/>
          </w:divBdr>
        </w:div>
        <w:div w:id="1691494915">
          <w:marLeft w:val="0"/>
          <w:marRight w:val="0"/>
          <w:marTop w:val="0"/>
          <w:marBottom w:val="0"/>
          <w:divBdr>
            <w:top w:val="none" w:sz="0" w:space="0" w:color="auto"/>
            <w:left w:val="none" w:sz="0" w:space="0" w:color="auto"/>
            <w:bottom w:val="none" w:sz="0" w:space="0" w:color="auto"/>
            <w:right w:val="none" w:sz="0" w:space="0" w:color="auto"/>
          </w:divBdr>
        </w:div>
        <w:div w:id="1691494917">
          <w:marLeft w:val="0"/>
          <w:marRight w:val="0"/>
          <w:marTop w:val="0"/>
          <w:marBottom w:val="0"/>
          <w:divBdr>
            <w:top w:val="none" w:sz="0" w:space="0" w:color="auto"/>
            <w:left w:val="none" w:sz="0" w:space="0" w:color="auto"/>
            <w:bottom w:val="none" w:sz="0" w:space="0" w:color="auto"/>
            <w:right w:val="none" w:sz="0" w:space="0" w:color="auto"/>
          </w:divBdr>
        </w:div>
        <w:div w:id="1691494918">
          <w:marLeft w:val="0"/>
          <w:marRight w:val="0"/>
          <w:marTop w:val="0"/>
          <w:marBottom w:val="0"/>
          <w:divBdr>
            <w:top w:val="none" w:sz="0" w:space="0" w:color="auto"/>
            <w:left w:val="none" w:sz="0" w:space="0" w:color="auto"/>
            <w:bottom w:val="none" w:sz="0" w:space="0" w:color="auto"/>
            <w:right w:val="none" w:sz="0" w:space="0" w:color="auto"/>
          </w:divBdr>
        </w:div>
        <w:div w:id="1691494922">
          <w:marLeft w:val="0"/>
          <w:marRight w:val="0"/>
          <w:marTop w:val="0"/>
          <w:marBottom w:val="0"/>
          <w:divBdr>
            <w:top w:val="none" w:sz="0" w:space="0" w:color="auto"/>
            <w:left w:val="none" w:sz="0" w:space="0" w:color="auto"/>
            <w:bottom w:val="none" w:sz="0" w:space="0" w:color="auto"/>
            <w:right w:val="none" w:sz="0" w:space="0" w:color="auto"/>
          </w:divBdr>
        </w:div>
        <w:div w:id="1691494923">
          <w:marLeft w:val="0"/>
          <w:marRight w:val="0"/>
          <w:marTop w:val="0"/>
          <w:marBottom w:val="0"/>
          <w:divBdr>
            <w:top w:val="none" w:sz="0" w:space="0" w:color="auto"/>
            <w:left w:val="none" w:sz="0" w:space="0" w:color="auto"/>
            <w:bottom w:val="none" w:sz="0" w:space="0" w:color="auto"/>
            <w:right w:val="none" w:sz="0" w:space="0" w:color="auto"/>
          </w:divBdr>
        </w:div>
        <w:div w:id="1691494924">
          <w:marLeft w:val="0"/>
          <w:marRight w:val="0"/>
          <w:marTop w:val="0"/>
          <w:marBottom w:val="0"/>
          <w:divBdr>
            <w:top w:val="none" w:sz="0" w:space="0" w:color="auto"/>
            <w:left w:val="none" w:sz="0" w:space="0" w:color="auto"/>
            <w:bottom w:val="none" w:sz="0" w:space="0" w:color="auto"/>
            <w:right w:val="none" w:sz="0" w:space="0" w:color="auto"/>
          </w:divBdr>
        </w:div>
        <w:div w:id="1691494928">
          <w:marLeft w:val="0"/>
          <w:marRight w:val="0"/>
          <w:marTop w:val="0"/>
          <w:marBottom w:val="0"/>
          <w:divBdr>
            <w:top w:val="none" w:sz="0" w:space="0" w:color="auto"/>
            <w:left w:val="none" w:sz="0" w:space="0" w:color="auto"/>
            <w:bottom w:val="none" w:sz="0" w:space="0" w:color="auto"/>
            <w:right w:val="none" w:sz="0" w:space="0" w:color="auto"/>
          </w:divBdr>
        </w:div>
        <w:div w:id="1691494929">
          <w:marLeft w:val="0"/>
          <w:marRight w:val="0"/>
          <w:marTop w:val="0"/>
          <w:marBottom w:val="0"/>
          <w:divBdr>
            <w:top w:val="none" w:sz="0" w:space="0" w:color="auto"/>
            <w:left w:val="none" w:sz="0" w:space="0" w:color="auto"/>
            <w:bottom w:val="none" w:sz="0" w:space="0" w:color="auto"/>
            <w:right w:val="none" w:sz="0" w:space="0" w:color="auto"/>
          </w:divBdr>
        </w:div>
        <w:div w:id="1691494931">
          <w:marLeft w:val="0"/>
          <w:marRight w:val="0"/>
          <w:marTop w:val="0"/>
          <w:marBottom w:val="0"/>
          <w:divBdr>
            <w:top w:val="none" w:sz="0" w:space="0" w:color="auto"/>
            <w:left w:val="none" w:sz="0" w:space="0" w:color="auto"/>
            <w:bottom w:val="none" w:sz="0" w:space="0" w:color="auto"/>
            <w:right w:val="none" w:sz="0" w:space="0" w:color="auto"/>
          </w:divBdr>
        </w:div>
      </w:divsChild>
    </w:div>
    <w:div w:id="1691494910">
      <w:marLeft w:val="0"/>
      <w:marRight w:val="0"/>
      <w:marTop w:val="0"/>
      <w:marBottom w:val="0"/>
      <w:divBdr>
        <w:top w:val="none" w:sz="0" w:space="0" w:color="auto"/>
        <w:left w:val="none" w:sz="0" w:space="0" w:color="auto"/>
        <w:bottom w:val="none" w:sz="0" w:space="0" w:color="auto"/>
        <w:right w:val="none" w:sz="0" w:space="0" w:color="auto"/>
      </w:divBdr>
    </w:div>
    <w:div w:id="1691494916">
      <w:marLeft w:val="0"/>
      <w:marRight w:val="0"/>
      <w:marTop w:val="0"/>
      <w:marBottom w:val="0"/>
      <w:divBdr>
        <w:top w:val="none" w:sz="0" w:space="0" w:color="auto"/>
        <w:left w:val="none" w:sz="0" w:space="0" w:color="auto"/>
        <w:bottom w:val="none" w:sz="0" w:space="0" w:color="auto"/>
        <w:right w:val="none" w:sz="0" w:space="0" w:color="auto"/>
      </w:divBdr>
    </w:div>
    <w:div w:id="1691494919">
      <w:marLeft w:val="0"/>
      <w:marRight w:val="0"/>
      <w:marTop w:val="0"/>
      <w:marBottom w:val="0"/>
      <w:divBdr>
        <w:top w:val="none" w:sz="0" w:space="0" w:color="auto"/>
        <w:left w:val="none" w:sz="0" w:space="0" w:color="auto"/>
        <w:bottom w:val="none" w:sz="0" w:space="0" w:color="auto"/>
        <w:right w:val="none" w:sz="0" w:space="0" w:color="auto"/>
      </w:divBdr>
    </w:div>
    <w:div w:id="1691494920">
      <w:marLeft w:val="0"/>
      <w:marRight w:val="0"/>
      <w:marTop w:val="0"/>
      <w:marBottom w:val="0"/>
      <w:divBdr>
        <w:top w:val="none" w:sz="0" w:space="0" w:color="auto"/>
        <w:left w:val="none" w:sz="0" w:space="0" w:color="auto"/>
        <w:bottom w:val="none" w:sz="0" w:space="0" w:color="auto"/>
        <w:right w:val="none" w:sz="0" w:space="0" w:color="auto"/>
      </w:divBdr>
    </w:div>
    <w:div w:id="1691494921">
      <w:marLeft w:val="0"/>
      <w:marRight w:val="0"/>
      <w:marTop w:val="0"/>
      <w:marBottom w:val="0"/>
      <w:divBdr>
        <w:top w:val="none" w:sz="0" w:space="0" w:color="auto"/>
        <w:left w:val="none" w:sz="0" w:space="0" w:color="auto"/>
        <w:bottom w:val="none" w:sz="0" w:space="0" w:color="auto"/>
        <w:right w:val="none" w:sz="0" w:space="0" w:color="auto"/>
      </w:divBdr>
    </w:div>
    <w:div w:id="1691494925">
      <w:marLeft w:val="0"/>
      <w:marRight w:val="0"/>
      <w:marTop w:val="0"/>
      <w:marBottom w:val="0"/>
      <w:divBdr>
        <w:top w:val="none" w:sz="0" w:space="0" w:color="auto"/>
        <w:left w:val="none" w:sz="0" w:space="0" w:color="auto"/>
        <w:bottom w:val="none" w:sz="0" w:space="0" w:color="auto"/>
        <w:right w:val="none" w:sz="0" w:space="0" w:color="auto"/>
      </w:divBdr>
    </w:div>
    <w:div w:id="1691494926">
      <w:marLeft w:val="0"/>
      <w:marRight w:val="0"/>
      <w:marTop w:val="0"/>
      <w:marBottom w:val="0"/>
      <w:divBdr>
        <w:top w:val="none" w:sz="0" w:space="0" w:color="auto"/>
        <w:left w:val="none" w:sz="0" w:space="0" w:color="auto"/>
        <w:bottom w:val="none" w:sz="0" w:space="0" w:color="auto"/>
        <w:right w:val="none" w:sz="0" w:space="0" w:color="auto"/>
      </w:divBdr>
    </w:div>
    <w:div w:id="1691494930">
      <w:marLeft w:val="0"/>
      <w:marRight w:val="0"/>
      <w:marTop w:val="0"/>
      <w:marBottom w:val="0"/>
      <w:divBdr>
        <w:top w:val="none" w:sz="0" w:space="0" w:color="auto"/>
        <w:left w:val="none" w:sz="0" w:space="0" w:color="auto"/>
        <w:bottom w:val="none" w:sz="0" w:space="0" w:color="auto"/>
        <w:right w:val="none" w:sz="0" w:space="0" w:color="auto"/>
      </w:divBdr>
    </w:div>
    <w:div w:id="1691494934">
      <w:marLeft w:val="0"/>
      <w:marRight w:val="0"/>
      <w:marTop w:val="0"/>
      <w:marBottom w:val="0"/>
      <w:divBdr>
        <w:top w:val="none" w:sz="0" w:space="0" w:color="auto"/>
        <w:left w:val="none" w:sz="0" w:space="0" w:color="auto"/>
        <w:bottom w:val="none" w:sz="0" w:space="0" w:color="auto"/>
        <w:right w:val="none" w:sz="0" w:space="0" w:color="auto"/>
      </w:divBdr>
      <w:divsChild>
        <w:div w:id="1691494886">
          <w:marLeft w:val="0"/>
          <w:marRight w:val="0"/>
          <w:marTop w:val="0"/>
          <w:marBottom w:val="0"/>
          <w:divBdr>
            <w:top w:val="none" w:sz="0" w:space="0" w:color="auto"/>
            <w:left w:val="none" w:sz="0" w:space="0" w:color="auto"/>
            <w:bottom w:val="none" w:sz="0" w:space="0" w:color="auto"/>
            <w:right w:val="none" w:sz="0" w:space="0" w:color="auto"/>
          </w:divBdr>
        </w:div>
        <w:div w:id="1691494888">
          <w:marLeft w:val="0"/>
          <w:marRight w:val="0"/>
          <w:marTop w:val="0"/>
          <w:marBottom w:val="0"/>
          <w:divBdr>
            <w:top w:val="none" w:sz="0" w:space="0" w:color="auto"/>
            <w:left w:val="none" w:sz="0" w:space="0" w:color="auto"/>
            <w:bottom w:val="none" w:sz="0" w:space="0" w:color="auto"/>
            <w:right w:val="none" w:sz="0" w:space="0" w:color="auto"/>
          </w:divBdr>
        </w:div>
      </w:divsChild>
    </w:div>
    <w:div w:id="1691494936">
      <w:marLeft w:val="0"/>
      <w:marRight w:val="0"/>
      <w:marTop w:val="0"/>
      <w:marBottom w:val="0"/>
      <w:divBdr>
        <w:top w:val="none" w:sz="0" w:space="0" w:color="auto"/>
        <w:left w:val="none" w:sz="0" w:space="0" w:color="auto"/>
        <w:bottom w:val="none" w:sz="0" w:space="0" w:color="auto"/>
        <w:right w:val="none" w:sz="0" w:space="0" w:color="auto"/>
      </w:divBdr>
    </w:div>
    <w:div w:id="1691494937">
      <w:marLeft w:val="0"/>
      <w:marRight w:val="0"/>
      <w:marTop w:val="0"/>
      <w:marBottom w:val="0"/>
      <w:divBdr>
        <w:top w:val="none" w:sz="0" w:space="0" w:color="auto"/>
        <w:left w:val="none" w:sz="0" w:space="0" w:color="auto"/>
        <w:bottom w:val="none" w:sz="0" w:space="0" w:color="auto"/>
        <w:right w:val="none" w:sz="0" w:space="0" w:color="auto"/>
      </w:divBdr>
    </w:div>
    <w:div w:id="1691494940">
      <w:marLeft w:val="0"/>
      <w:marRight w:val="0"/>
      <w:marTop w:val="0"/>
      <w:marBottom w:val="0"/>
      <w:divBdr>
        <w:top w:val="none" w:sz="0" w:space="0" w:color="auto"/>
        <w:left w:val="none" w:sz="0" w:space="0" w:color="auto"/>
        <w:bottom w:val="none" w:sz="0" w:space="0" w:color="auto"/>
        <w:right w:val="none" w:sz="0" w:space="0" w:color="auto"/>
      </w:divBdr>
      <w:divsChild>
        <w:div w:id="1691494875">
          <w:marLeft w:val="0"/>
          <w:marRight w:val="0"/>
          <w:marTop w:val="400"/>
          <w:marBottom w:val="0"/>
          <w:divBdr>
            <w:top w:val="none" w:sz="0" w:space="0" w:color="auto"/>
            <w:left w:val="none" w:sz="0" w:space="0" w:color="auto"/>
            <w:bottom w:val="none" w:sz="0" w:space="0" w:color="auto"/>
            <w:right w:val="none" w:sz="0" w:space="0" w:color="auto"/>
          </w:divBdr>
        </w:div>
        <w:div w:id="1691494880">
          <w:marLeft w:val="0"/>
          <w:marRight w:val="0"/>
          <w:marTop w:val="400"/>
          <w:marBottom w:val="0"/>
          <w:divBdr>
            <w:top w:val="none" w:sz="0" w:space="0" w:color="auto"/>
            <w:left w:val="none" w:sz="0" w:space="0" w:color="auto"/>
            <w:bottom w:val="none" w:sz="0" w:space="0" w:color="auto"/>
            <w:right w:val="none" w:sz="0" w:space="0" w:color="auto"/>
          </w:divBdr>
        </w:div>
      </w:divsChild>
    </w:div>
    <w:div w:id="1691494947">
      <w:marLeft w:val="0"/>
      <w:marRight w:val="0"/>
      <w:marTop w:val="0"/>
      <w:marBottom w:val="0"/>
      <w:divBdr>
        <w:top w:val="none" w:sz="0" w:space="0" w:color="auto"/>
        <w:left w:val="none" w:sz="0" w:space="0" w:color="auto"/>
        <w:bottom w:val="none" w:sz="0" w:space="0" w:color="auto"/>
        <w:right w:val="none" w:sz="0" w:space="0" w:color="auto"/>
      </w:divBdr>
      <w:divsChild>
        <w:div w:id="1691494944">
          <w:marLeft w:val="0"/>
          <w:marRight w:val="0"/>
          <w:marTop w:val="0"/>
          <w:marBottom w:val="0"/>
          <w:divBdr>
            <w:top w:val="none" w:sz="0" w:space="0" w:color="auto"/>
            <w:left w:val="none" w:sz="0" w:space="0" w:color="auto"/>
            <w:bottom w:val="none" w:sz="0" w:space="0" w:color="auto"/>
            <w:right w:val="none" w:sz="0" w:space="0" w:color="auto"/>
          </w:divBdr>
          <w:divsChild>
            <w:div w:id="1691494941">
              <w:marLeft w:val="0"/>
              <w:marRight w:val="0"/>
              <w:marTop w:val="0"/>
              <w:marBottom w:val="0"/>
              <w:divBdr>
                <w:top w:val="none" w:sz="0" w:space="0" w:color="auto"/>
                <w:left w:val="none" w:sz="0" w:space="0" w:color="auto"/>
                <w:bottom w:val="none" w:sz="0" w:space="0" w:color="auto"/>
                <w:right w:val="none" w:sz="0" w:space="0" w:color="auto"/>
              </w:divBdr>
            </w:div>
            <w:div w:id="1691494942">
              <w:marLeft w:val="0"/>
              <w:marRight w:val="0"/>
              <w:marTop w:val="0"/>
              <w:marBottom w:val="0"/>
              <w:divBdr>
                <w:top w:val="none" w:sz="0" w:space="0" w:color="auto"/>
                <w:left w:val="none" w:sz="0" w:space="0" w:color="auto"/>
                <w:bottom w:val="none" w:sz="0" w:space="0" w:color="auto"/>
                <w:right w:val="none" w:sz="0" w:space="0" w:color="auto"/>
              </w:divBdr>
            </w:div>
            <w:div w:id="1691494943">
              <w:marLeft w:val="0"/>
              <w:marRight w:val="0"/>
              <w:marTop w:val="0"/>
              <w:marBottom w:val="0"/>
              <w:divBdr>
                <w:top w:val="none" w:sz="0" w:space="0" w:color="auto"/>
                <w:left w:val="none" w:sz="0" w:space="0" w:color="auto"/>
                <w:bottom w:val="none" w:sz="0" w:space="0" w:color="auto"/>
                <w:right w:val="none" w:sz="0" w:space="0" w:color="auto"/>
              </w:divBdr>
            </w:div>
            <w:div w:id="16914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949">
      <w:marLeft w:val="0"/>
      <w:marRight w:val="0"/>
      <w:marTop w:val="0"/>
      <w:marBottom w:val="0"/>
      <w:divBdr>
        <w:top w:val="none" w:sz="0" w:space="0" w:color="auto"/>
        <w:left w:val="none" w:sz="0" w:space="0" w:color="auto"/>
        <w:bottom w:val="none" w:sz="0" w:space="0" w:color="auto"/>
        <w:right w:val="none" w:sz="0" w:space="0" w:color="auto"/>
      </w:divBdr>
    </w:div>
    <w:div w:id="1691494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EB698-200C-411C-B09A-5FB05AC1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Marianna Ferancova</cp:lastModifiedBy>
  <cp:revision>2</cp:revision>
  <cp:lastPrinted>2020-04-28T08:42:00Z</cp:lastPrinted>
  <dcterms:created xsi:type="dcterms:W3CDTF">2021-12-02T09:15:00Z</dcterms:created>
  <dcterms:modified xsi:type="dcterms:W3CDTF">2021-12-02T09:15:00Z</dcterms:modified>
</cp:coreProperties>
</file>