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52"/>
        <w:gridCol w:w="4111"/>
        <w:gridCol w:w="709"/>
        <w:gridCol w:w="850"/>
        <w:gridCol w:w="709"/>
        <w:gridCol w:w="6520"/>
        <w:gridCol w:w="567"/>
        <w:gridCol w:w="1271"/>
      </w:tblGrid>
      <w:tr w:rsidR="001B7551" w:rsidRPr="001902B7" w:rsidTr="00F8230C">
        <w:trPr>
          <w:trHeight w:val="538"/>
        </w:trPr>
        <w:tc>
          <w:tcPr>
            <w:tcW w:w="15489" w:type="dxa"/>
            <w:gridSpan w:val="8"/>
            <w:tcBorders>
              <w:top w:val="single" w:sz="12" w:space="0" w:color="auto"/>
              <w:left w:val="single" w:sz="12" w:space="0" w:color="auto"/>
              <w:bottom w:val="single" w:sz="4" w:space="0" w:color="auto"/>
              <w:right w:val="single" w:sz="12" w:space="0" w:color="auto"/>
            </w:tcBorders>
          </w:tcPr>
          <w:p w:rsidR="001B7551" w:rsidRPr="001902B7" w:rsidRDefault="001B7551" w:rsidP="00026812">
            <w:pPr>
              <w:pStyle w:val="Nadpis1"/>
              <w:widowControl/>
              <w:contextualSpacing/>
              <w:rPr>
                <w:sz w:val="20"/>
                <w:szCs w:val="20"/>
              </w:rPr>
            </w:pPr>
            <w:bookmarkStart w:id="0" w:name="_GoBack"/>
            <w:bookmarkEnd w:id="0"/>
            <w:r w:rsidRPr="001902B7">
              <w:rPr>
                <w:sz w:val="20"/>
                <w:szCs w:val="20"/>
              </w:rPr>
              <w:t>TABUĽKA  ZHODY</w:t>
            </w:r>
          </w:p>
          <w:p w:rsidR="001B7551" w:rsidRPr="001902B7" w:rsidRDefault="0013370F" w:rsidP="00F8230C">
            <w:pPr>
              <w:contextualSpacing/>
              <w:rPr>
                <w:b/>
                <w:sz w:val="20"/>
                <w:szCs w:val="20"/>
              </w:rPr>
            </w:pPr>
            <w:r w:rsidRPr="001902B7">
              <w:rPr>
                <w:sz w:val="20"/>
                <w:szCs w:val="20"/>
              </w:rPr>
              <w:t xml:space="preserve">                                                                                       </w:t>
            </w:r>
            <w:r w:rsidRPr="001902B7">
              <w:rPr>
                <w:b/>
                <w:sz w:val="20"/>
                <w:szCs w:val="20"/>
              </w:rPr>
              <w:t>návrhu zákona</w:t>
            </w:r>
            <w:r w:rsidR="001B7551" w:rsidRPr="001902B7">
              <w:rPr>
                <w:sz w:val="20"/>
                <w:szCs w:val="20"/>
              </w:rPr>
              <w:t xml:space="preserve"> </w:t>
            </w:r>
            <w:r w:rsidRPr="001902B7">
              <w:rPr>
                <w:b/>
                <w:sz w:val="20"/>
                <w:szCs w:val="20"/>
              </w:rPr>
              <w:t>o centrálnom registri účtov a o zmene a doplnení niektorých zákonov</w:t>
            </w:r>
            <w:r w:rsidR="00F8230C">
              <w:rPr>
                <w:b/>
                <w:sz w:val="20"/>
                <w:szCs w:val="20"/>
              </w:rPr>
              <w:t xml:space="preserve"> s právom Európskej únie</w:t>
            </w:r>
          </w:p>
        </w:tc>
      </w:tr>
      <w:tr w:rsidR="001B7551" w:rsidRPr="001902B7" w:rsidTr="00AF7DD5">
        <w:trPr>
          <w:trHeight w:val="567"/>
        </w:trPr>
        <w:tc>
          <w:tcPr>
            <w:tcW w:w="5572" w:type="dxa"/>
            <w:gridSpan w:val="3"/>
            <w:tcBorders>
              <w:top w:val="single" w:sz="4" w:space="0" w:color="auto"/>
              <w:left w:val="single" w:sz="12" w:space="0" w:color="auto"/>
              <w:bottom w:val="single" w:sz="4" w:space="0" w:color="auto"/>
              <w:right w:val="single" w:sz="12" w:space="0" w:color="auto"/>
            </w:tcBorders>
          </w:tcPr>
          <w:p w:rsidR="001B7551" w:rsidRPr="001902B7" w:rsidRDefault="00333042" w:rsidP="00605703">
            <w:pPr>
              <w:pStyle w:val="Zkladntext3"/>
              <w:widowControl/>
              <w:spacing w:line="240" w:lineRule="auto"/>
              <w:contextualSpacing/>
              <w:rPr>
                <w:sz w:val="20"/>
                <w:szCs w:val="20"/>
              </w:rPr>
            </w:pPr>
            <w:r w:rsidRPr="001902B7">
              <w:rPr>
                <w:b/>
                <w:bCs/>
                <w:sz w:val="20"/>
                <w:szCs w:val="20"/>
              </w:rPr>
              <w:t xml:space="preserve">Smernica Európskeho parlamentu a </w:t>
            </w:r>
            <w:r w:rsidR="00605703">
              <w:rPr>
                <w:b/>
                <w:bCs/>
                <w:sz w:val="20"/>
                <w:szCs w:val="20"/>
              </w:rPr>
              <w:t>R</w:t>
            </w:r>
            <w:r w:rsidRPr="001902B7">
              <w:rPr>
                <w:b/>
                <w:bCs/>
                <w:sz w:val="20"/>
                <w:szCs w:val="20"/>
              </w:rPr>
              <w:t xml:space="preserve">ady (EÚ) </w:t>
            </w:r>
            <w:r w:rsidR="00F22059">
              <w:rPr>
                <w:b/>
                <w:bCs/>
                <w:sz w:val="20"/>
                <w:szCs w:val="20"/>
              </w:rPr>
              <w:t>2015/849</w:t>
            </w:r>
            <w:r w:rsidRPr="001902B7">
              <w:rPr>
                <w:b/>
                <w:bCs/>
                <w:sz w:val="20"/>
                <w:szCs w:val="20"/>
              </w:rPr>
              <w:t xml:space="preserve"> z</w:t>
            </w:r>
            <w:r w:rsidR="00F22059">
              <w:rPr>
                <w:b/>
                <w:bCs/>
                <w:sz w:val="20"/>
                <w:szCs w:val="20"/>
              </w:rPr>
              <w:t> 20. mája 2015</w:t>
            </w:r>
            <w:r w:rsidRPr="001902B7">
              <w:rPr>
                <w:b/>
                <w:bCs/>
                <w:sz w:val="20"/>
                <w:szCs w:val="20"/>
              </w:rPr>
              <w:t xml:space="preserve"> </w:t>
            </w:r>
            <w:r w:rsidR="00F22059" w:rsidRPr="00F22059">
              <w:rPr>
                <w:b/>
                <w:bCs/>
                <w:sz w:val="20"/>
                <w:szCs w:val="20"/>
              </w:rPr>
              <w:t>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r w:rsidR="00013E54">
              <w:rPr>
                <w:b/>
                <w:bCs/>
                <w:sz w:val="20"/>
                <w:szCs w:val="20"/>
              </w:rPr>
              <w:t xml:space="preserve"> (Ú. v. EÚ L 141, 5. 6. 2015)</w:t>
            </w:r>
          </w:p>
        </w:tc>
        <w:tc>
          <w:tcPr>
            <w:tcW w:w="9917" w:type="dxa"/>
            <w:gridSpan w:val="5"/>
            <w:tcBorders>
              <w:top w:val="single" w:sz="4" w:space="0" w:color="auto"/>
              <w:left w:val="nil"/>
              <w:bottom w:val="single" w:sz="4" w:space="0" w:color="auto"/>
              <w:right w:val="single" w:sz="12" w:space="0" w:color="auto"/>
            </w:tcBorders>
          </w:tcPr>
          <w:p w:rsidR="001B7551" w:rsidRPr="001902B7" w:rsidRDefault="001B7551" w:rsidP="00026812">
            <w:pPr>
              <w:pStyle w:val="Nadpis4"/>
              <w:widowControl/>
              <w:contextualSpacing/>
              <w:rPr>
                <w:sz w:val="20"/>
                <w:szCs w:val="20"/>
              </w:rPr>
            </w:pPr>
            <w:r w:rsidRPr="001902B7">
              <w:rPr>
                <w:sz w:val="20"/>
                <w:szCs w:val="20"/>
              </w:rPr>
              <w:t>Právne predpisy Slovenskej republiky</w:t>
            </w:r>
          </w:p>
          <w:p w:rsidR="0013370F" w:rsidRPr="001902B7" w:rsidRDefault="0013370F" w:rsidP="00026812">
            <w:pPr>
              <w:contextualSpacing/>
              <w:rPr>
                <w:sz w:val="20"/>
                <w:szCs w:val="20"/>
              </w:rPr>
            </w:pPr>
          </w:p>
          <w:p w:rsidR="001B7551" w:rsidRPr="00DE3193" w:rsidRDefault="0013370F" w:rsidP="00013E54">
            <w:pPr>
              <w:pStyle w:val="Zarkazkladnhotextu"/>
              <w:widowControl/>
              <w:numPr>
                <w:ilvl w:val="0"/>
                <w:numId w:val="1"/>
              </w:numPr>
              <w:tabs>
                <w:tab w:val="left" w:pos="3402"/>
                <w:tab w:val="left" w:pos="3686"/>
              </w:tabs>
              <w:spacing w:after="0"/>
              <w:contextualSpacing/>
              <w:jc w:val="both"/>
            </w:pPr>
            <w:r w:rsidRPr="001902B7">
              <w:t xml:space="preserve">zákon č. 297/2008 Z. z. o ochrane pred legalizáciou príjmov z trestnej činnosti  a o ochrane pred financovaním terorizmu </w:t>
            </w:r>
            <w:r w:rsidRPr="001902B7">
              <w:rPr>
                <w:bCs/>
              </w:rPr>
              <w:t>a o zmene a doplnení niektorých zákonov v znení neskorších predpisov</w:t>
            </w:r>
            <w:r w:rsidR="00F8230C">
              <w:rPr>
                <w:bCs/>
              </w:rPr>
              <w:t xml:space="preserve"> (ďalej len „zákon č. 297/2008 Z. z.“)</w:t>
            </w:r>
          </w:p>
          <w:p w:rsidR="00DE3193" w:rsidRPr="00013E54" w:rsidRDefault="00DE3193" w:rsidP="00DE3193">
            <w:pPr>
              <w:pStyle w:val="Zarkazkladnhotextu"/>
              <w:widowControl/>
              <w:numPr>
                <w:ilvl w:val="0"/>
                <w:numId w:val="1"/>
              </w:numPr>
              <w:tabs>
                <w:tab w:val="left" w:pos="3402"/>
                <w:tab w:val="left" w:pos="3686"/>
              </w:tabs>
              <w:spacing w:after="0"/>
              <w:contextualSpacing/>
              <w:jc w:val="both"/>
            </w:pPr>
            <w:r>
              <w:t xml:space="preserve">čl. IV návrhu zákona  </w:t>
            </w:r>
            <w:r w:rsidRPr="00F8230C">
              <w:t>o centrálnom registri účtov a o zmene a doplnení niektorých zákonov</w:t>
            </w:r>
            <w:r>
              <w:t xml:space="preserve"> (ďalej len „návrh zákona“)</w:t>
            </w:r>
          </w:p>
        </w:tc>
      </w:tr>
      <w:tr w:rsidR="001B7551" w:rsidRPr="001902B7" w:rsidTr="00AF7DD5">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1B7551" w:rsidRPr="001902B7" w:rsidRDefault="001B7551" w:rsidP="00026812">
            <w:pPr>
              <w:widowControl/>
              <w:contextualSpacing/>
              <w:jc w:val="center"/>
              <w:rPr>
                <w:sz w:val="20"/>
                <w:szCs w:val="20"/>
              </w:rPr>
            </w:pPr>
            <w:r w:rsidRPr="001902B7">
              <w:rPr>
                <w:sz w:val="20"/>
                <w:szCs w:val="20"/>
              </w:rPr>
              <w:t>3</w:t>
            </w:r>
          </w:p>
        </w:tc>
        <w:tc>
          <w:tcPr>
            <w:tcW w:w="850" w:type="dxa"/>
            <w:tcBorders>
              <w:top w:val="single" w:sz="4" w:space="0" w:color="auto"/>
              <w:left w:val="nil"/>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Zarkazkladnhotextu"/>
              <w:widowControl/>
              <w:spacing w:after="0"/>
              <w:ind w:left="0"/>
              <w:contextualSpacing/>
              <w:jc w:val="center"/>
            </w:pPr>
            <w:r w:rsidRPr="001902B7">
              <w:t>5</w:t>
            </w:r>
          </w:p>
        </w:tc>
        <w:tc>
          <w:tcPr>
            <w:tcW w:w="6520"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Zarkazkladnhotextu"/>
              <w:widowControl/>
              <w:spacing w:after="0"/>
              <w:ind w:left="0"/>
              <w:contextualSpacing/>
              <w:jc w:val="center"/>
            </w:pPr>
            <w:r w:rsidRPr="001902B7">
              <w:t>6</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7</w:t>
            </w:r>
          </w:p>
        </w:tc>
        <w:tc>
          <w:tcPr>
            <w:tcW w:w="1271" w:type="dxa"/>
            <w:tcBorders>
              <w:top w:val="single" w:sz="4" w:space="0" w:color="auto"/>
              <w:left w:val="single" w:sz="4" w:space="0" w:color="auto"/>
              <w:bottom w:val="single" w:sz="4" w:space="0" w:color="auto"/>
            </w:tcBorders>
          </w:tcPr>
          <w:p w:rsidR="001B7551" w:rsidRPr="001902B7" w:rsidRDefault="001B7551" w:rsidP="00026812">
            <w:pPr>
              <w:widowControl/>
              <w:contextualSpacing/>
              <w:jc w:val="center"/>
              <w:rPr>
                <w:sz w:val="20"/>
                <w:szCs w:val="20"/>
              </w:rPr>
            </w:pPr>
            <w:r w:rsidRPr="001902B7">
              <w:rPr>
                <w:sz w:val="20"/>
                <w:szCs w:val="20"/>
              </w:rPr>
              <w:t>8</w:t>
            </w:r>
          </w:p>
        </w:tc>
      </w:tr>
      <w:tr w:rsidR="001B7551" w:rsidRPr="001902B7" w:rsidTr="00AF7DD5">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026812">
            <w:pPr>
              <w:pStyle w:val="Normlny0"/>
              <w:widowControl/>
              <w:contextualSpacing/>
            </w:pPr>
            <w:r w:rsidRPr="001902B7">
              <w:t>Článok</w:t>
            </w:r>
          </w:p>
          <w:p w:rsidR="001B7551" w:rsidRPr="001902B7" w:rsidRDefault="00333042" w:rsidP="00026812">
            <w:pPr>
              <w:pStyle w:val="Normlny0"/>
              <w:widowControl/>
              <w:contextualSpacing/>
            </w:pPr>
            <w:r w:rsidRPr="001902B7">
              <w:t>(Č, O, B, V, P)</w:t>
            </w:r>
          </w:p>
        </w:tc>
        <w:tc>
          <w:tcPr>
            <w:tcW w:w="4111"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Normlny0"/>
              <w:widowControl/>
              <w:contextualSpacing/>
              <w:jc w:val="center"/>
            </w:pPr>
            <w:r w:rsidRPr="001902B7">
              <w:t>Text</w:t>
            </w:r>
          </w:p>
        </w:tc>
        <w:tc>
          <w:tcPr>
            <w:tcW w:w="709" w:type="dxa"/>
            <w:tcBorders>
              <w:top w:val="single" w:sz="4" w:space="0" w:color="auto"/>
              <w:left w:val="single" w:sz="4" w:space="0" w:color="auto"/>
              <w:bottom w:val="single" w:sz="4" w:space="0" w:color="auto"/>
              <w:right w:val="single" w:sz="12" w:space="0" w:color="auto"/>
            </w:tcBorders>
          </w:tcPr>
          <w:p w:rsidR="001B7551" w:rsidRPr="001902B7" w:rsidRDefault="001B7551" w:rsidP="00026812">
            <w:pPr>
              <w:pStyle w:val="Normlny0"/>
              <w:widowControl/>
              <w:contextualSpacing/>
              <w:jc w:val="center"/>
            </w:pPr>
            <w:r w:rsidRPr="001902B7">
              <w:t>Spôsob transp.</w:t>
            </w:r>
          </w:p>
          <w:p w:rsidR="001B7551" w:rsidRPr="001902B7" w:rsidRDefault="001B7551" w:rsidP="00026812">
            <w:pPr>
              <w:pStyle w:val="Normlny0"/>
              <w:widowControl/>
              <w:contextualSpacing/>
              <w:jc w:val="center"/>
            </w:pPr>
            <w:r w:rsidRPr="001902B7">
              <w:t>(N, O, D, n.a.)</w:t>
            </w:r>
          </w:p>
        </w:tc>
        <w:tc>
          <w:tcPr>
            <w:tcW w:w="850" w:type="dxa"/>
            <w:tcBorders>
              <w:top w:val="single" w:sz="4" w:space="0" w:color="auto"/>
              <w:left w:val="nil"/>
              <w:bottom w:val="single" w:sz="4" w:space="0" w:color="auto"/>
              <w:right w:val="single" w:sz="4" w:space="0" w:color="auto"/>
            </w:tcBorders>
          </w:tcPr>
          <w:p w:rsidR="001B7551" w:rsidRPr="001902B7" w:rsidRDefault="001B7551" w:rsidP="00026812">
            <w:pPr>
              <w:pStyle w:val="Normlny0"/>
              <w:widowControl/>
              <w:contextualSpacing/>
              <w:jc w:val="center"/>
            </w:pPr>
            <w:r w:rsidRPr="001902B7">
              <w:t>Číslo</w:t>
            </w:r>
          </w:p>
        </w:tc>
        <w:tc>
          <w:tcPr>
            <w:tcW w:w="709"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Normlny0"/>
              <w:widowControl/>
              <w:contextualSpacing/>
              <w:jc w:val="center"/>
            </w:pPr>
            <w:r w:rsidRPr="001902B7">
              <w:t>Článok (Č, §, O, V, P)</w:t>
            </w:r>
          </w:p>
        </w:tc>
        <w:tc>
          <w:tcPr>
            <w:tcW w:w="6520"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Normlny0"/>
              <w:widowControl/>
              <w:contextualSpacing/>
              <w:jc w:val="center"/>
            </w:pPr>
            <w:r w:rsidRPr="001902B7">
              <w:t>Text</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AF7DD5">
            <w:pPr>
              <w:pStyle w:val="Normlny0"/>
              <w:widowControl/>
              <w:ind w:left="-41" w:right="-38"/>
              <w:contextualSpacing/>
              <w:jc w:val="center"/>
            </w:pPr>
            <w:r w:rsidRPr="001902B7">
              <w:t>Zhoda</w:t>
            </w:r>
          </w:p>
        </w:tc>
        <w:tc>
          <w:tcPr>
            <w:tcW w:w="1271" w:type="dxa"/>
            <w:tcBorders>
              <w:top w:val="single" w:sz="4" w:space="0" w:color="auto"/>
              <w:left w:val="single" w:sz="4" w:space="0" w:color="auto"/>
              <w:bottom w:val="single" w:sz="4" w:space="0" w:color="auto"/>
            </w:tcBorders>
          </w:tcPr>
          <w:p w:rsidR="001B7551" w:rsidRPr="001902B7" w:rsidRDefault="001B7551" w:rsidP="00026812">
            <w:pPr>
              <w:pStyle w:val="Normlny0"/>
              <w:widowControl/>
              <w:contextualSpacing/>
              <w:jc w:val="center"/>
            </w:pPr>
            <w:r w:rsidRPr="001902B7">
              <w:t>Poznámky</w:t>
            </w:r>
          </w:p>
          <w:p w:rsidR="001B7551" w:rsidRPr="001902B7" w:rsidRDefault="001B7551" w:rsidP="00026812">
            <w:pPr>
              <w:pStyle w:val="Normlny0"/>
              <w:widowControl/>
              <w:contextualSpacing/>
            </w:pPr>
          </w:p>
        </w:tc>
      </w:tr>
      <w:tr w:rsidR="00333042" w:rsidRPr="001902B7" w:rsidTr="00AF7DD5">
        <w:tc>
          <w:tcPr>
            <w:tcW w:w="752" w:type="dxa"/>
            <w:tcBorders>
              <w:top w:val="single" w:sz="4" w:space="0" w:color="auto"/>
              <w:left w:val="single" w:sz="12" w:space="0" w:color="auto"/>
              <w:bottom w:val="single" w:sz="4" w:space="0" w:color="auto"/>
              <w:right w:val="single" w:sz="4" w:space="0" w:color="auto"/>
            </w:tcBorders>
          </w:tcPr>
          <w:p w:rsidR="00333042" w:rsidRPr="001902B7" w:rsidRDefault="00F22059" w:rsidP="00026812">
            <w:pPr>
              <w:contextualSpacing/>
              <w:rPr>
                <w:sz w:val="20"/>
                <w:szCs w:val="20"/>
              </w:rPr>
            </w:pPr>
            <w:r>
              <w:rPr>
                <w:sz w:val="20"/>
                <w:szCs w:val="20"/>
              </w:rPr>
              <w:t>Č: 15</w:t>
            </w:r>
          </w:p>
          <w:p w:rsidR="00333042" w:rsidRPr="001902B7" w:rsidRDefault="00F22059" w:rsidP="00026812">
            <w:pPr>
              <w:contextualSpacing/>
              <w:rPr>
                <w:sz w:val="20"/>
                <w:szCs w:val="20"/>
              </w:rPr>
            </w:pPr>
            <w:r>
              <w:rPr>
                <w:sz w:val="20"/>
                <w:szCs w:val="20"/>
              </w:rPr>
              <w:t>O: 3</w:t>
            </w:r>
          </w:p>
        </w:tc>
        <w:tc>
          <w:tcPr>
            <w:tcW w:w="4111" w:type="dxa"/>
            <w:tcBorders>
              <w:top w:val="single" w:sz="4" w:space="0" w:color="auto"/>
              <w:left w:val="single" w:sz="4" w:space="0" w:color="auto"/>
              <w:bottom w:val="single" w:sz="4" w:space="0" w:color="auto"/>
              <w:right w:val="single" w:sz="4" w:space="0" w:color="auto"/>
            </w:tcBorders>
          </w:tcPr>
          <w:p w:rsidR="00333042" w:rsidRPr="001902B7" w:rsidRDefault="00F22059" w:rsidP="00AF7DD5">
            <w:pPr>
              <w:pStyle w:val="Normlny0"/>
              <w:widowControl/>
              <w:contextualSpacing/>
              <w:jc w:val="both"/>
            </w:pPr>
            <w:r>
              <w:t>Čl</w:t>
            </w:r>
            <w:r w:rsidRPr="00F22059">
              <w:t>enské štáty zabezpečia, aby povinné  subjekty vykonávali dostatočné  monitorovanie transakcií a obchodných vzťahov, aby bolo možné odhaliť neobvyklé alebo podozrivé transakcie.</w:t>
            </w:r>
          </w:p>
        </w:tc>
        <w:tc>
          <w:tcPr>
            <w:tcW w:w="709" w:type="dxa"/>
            <w:tcBorders>
              <w:top w:val="single" w:sz="4" w:space="0" w:color="auto"/>
              <w:left w:val="single" w:sz="4" w:space="0" w:color="auto"/>
              <w:bottom w:val="single" w:sz="4" w:space="0" w:color="auto"/>
              <w:right w:val="single" w:sz="12" w:space="0" w:color="auto"/>
            </w:tcBorders>
          </w:tcPr>
          <w:p w:rsidR="00333042" w:rsidRPr="001902B7" w:rsidRDefault="00F22059" w:rsidP="00026812">
            <w:pPr>
              <w:widowControl/>
              <w:contextualSpacing/>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333042"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AF7DD5" w:rsidRDefault="00AF7DD5" w:rsidP="00026812">
            <w:pPr>
              <w:pStyle w:val="Normlny0"/>
              <w:widowControl/>
              <w:contextualSpacing/>
              <w:jc w:val="center"/>
            </w:pPr>
            <w:r>
              <w:t xml:space="preserve">§ 11 </w:t>
            </w:r>
          </w:p>
          <w:p w:rsidR="00F8230C" w:rsidRDefault="00AF7DD5" w:rsidP="00026812">
            <w:pPr>
              <w:pStyle w:val="Normlny0"/>
              <w:widowControl/>
              <w:contextualSpacing/>
              <w:jc w:val="center"/>
            </w:pPr>
            <w:r>
              <w:t>O: 4</w:t>
            </w:r>
          </w:p>
          <w:p w:rsidR="00F22059" w:rsidRPr="001902B7" w:rsidRDefault="00F22059" w:rsidP="00026812">
            <w:pPr>
              <w:pStyle w:val="Normlny0"/>
              <w:widowControl/>
              <w:contextualSpacing/>
              <w:jc w:val="center"/>
            </w:pPr>
          </w:p>
        </w:tc>
        <w:tc>
          <w:tcPr>
            <w:tcW w:w="6520" w:type="dxa"/>
            <w:tcBorders>
              <w:top w:val="single" w:sz="4" w:space="0" w:color="auto"/>
              <w:left w:val="single" w:sz="4" w:space="0" w:color="auto"/>
              <w:bottom w:val="single" w:sz="4" w:space="0" w:color="auto"/>
              <w:right w:val="single" w:sz="4" w:space="0" w:color="auto"/>
            </w:tcBorders>
          </w:tcPr>
          <w:p w:rsidR="00333042" w:rsidRPr="001902B7" w:rsidRDefault="00F22059" w:rsidP="00026812">
            <w:pPr>
              <w:pStyle w:val="Normlny0"/>
              <w:widowControl/>
              <w:contextualSpacing/>
              <w:jc w:val="both"/>
            </w:pPr>
            <w:r w:rsidRPr="00F22059">
              <w:t>Povinná osoba je povinná vykonávať monitorovanie obchodov alebo obchodných vzťahov tak, aby bolo možné zist</w:t>
            </w:r>
            <w:r>
              <w:t>iť neobvyklú obchodnú operáciu.</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49584D" w:rsidP="00026812">
            <w:pPr>
              <w:widowControl/>
              <w:contextualSpacing/>
              <w:jc w:val="center"/>
              <w:rPr>
                <w:sz w:val="20"/>
                <w:szCs w:val="20"/>
              </w:rPr>
            </w:pPr>
            <w:r>
              <w:rPr>
                <w:sz w:val="20"/>
                <w:szCs w:val="20"/>
              </w:rPr>
              <w:t>U</w:t>
            </w:r>
          </w:p>
        </w:tc>
        <w:tc>
          <w:tcPr>
            <w:tcW w:w="1271" w:type="dxa"/>
            <w:tcBorders>
              <w:top w:val="single" w:sz="4" w:space="0" w:color="auto"/>
              <w:left w:val="single" w:sz="4" w:space="0" w:color="auto"/>
              <w:bottom w:val="single" w:sz="4" w:space="0" w:color="auto"/>
            </w:tcBorders>
          </w:tcPr>
          <w:p w:rsidR="00333042" w:rsidRPr="001902B7" w:rsidRDefault="00333042" w:rsidP="00026812">
            <w:pPr>
              <w:pStyle w:val="Nadpis1"/>
              <w:widowControl/>
              <w:contextualSpacing/>
              <w:rPr>
                <w:b w:val="0"/>
                <w:bCs w:val="0"/>
                <w:sz w:val="20"/>
                <w:szCs w:val="20"/>
              </w:rPr>
            </w:pPr>
          </w:p>
        </w:tc>
      </w:tr>
      <w:tr w:rsidR="00333042" w:rsidRPr="001902B7" w:rsidTr="00AF7DD5">
        <w:tc>
          <w:tcPr>
            <w:tcW w:w="752" w:type="dxa"/>
            <w:tcBorders>
              <w:top w:val="single" w:sz="4" w:space="0" w:color="auto"/>
              <w:left w:val="single" w:sz="12" w:space="0" w:color="auto"/>
              <w:bottom w:val="single" w:sz="4" w:space="0" w:color="auto"/>
              <w:right w:val="single" w:sz="4" w:space="0" w:color="auto"/>
            </w:tcBorders>
          </w:tcPr>
          <w:p w:rsidR="00333042" w:rsidRPr="001902B7" w:rsidRDefault="008D2E3B" w:rsidP="00026812">
            <w:pPr>
              <w:contextualSpacing/>
              <w:rPr>
                <w:sz w:val="20"/>
                <w:szCs w:val="20"/>
              </w:rPr>
            </w:pPr>
            <w:r>
              <w:rPr>
                <w:sz w:val="20"/>
                <w:szCs w:val="20"/>
              </w:rPr>
              <w:t>Č: 32</w:t>
            </w:r>
          </w:p>
          <w:p w:rsidR="00333042" w:rsidRDefault="008D2E3B" w:rsidP="00026812">
            <w:pPr>
              <w:contextualSpacing/>
              <w:rPr>
                <w:sz w:val="20"/>
                <w:szCs w:val="20"/>
              </w:rPr>
            </w:pPr>
            <w:r>
              <w:rPr>
                <w:sz w:val="20"/>
                <w:szCs w:val="20"/>
              </w:rPr>
              <w:t>O: 3</w:t>
            </w:r>
          </w:p>
          <w:p w:rsidR="008D2E3B" w:rsidRPr="001902B7" w:rsidRDefault="008D2E3B" w:rsidP="00026812">
            <w:pPr>
              <w:contextualSpacing/>
              <w:rPr>
                <w:sz w:val="20"/>
                <w:szCs w:val="20"/>
              </w:rPr>
            </w:pPr>
            <w:r>
              <w:rPr>
                <w:sz w:val="20"/>
                <w:szCs w:val="20"/>
              </w:rPr>
              <w:t>V: 5</w:t>
            </w:r>
          </w:p>
        </w:tc>
        <w:tc>
          <w:tcPr>
            <w:tcW w:w="4111" w:type="dxa"/>
            <w:tcBorders>
              <w:top w:val="single" w:sz="4" w:space="0" w:color="auto"/>
              <w:left w:val="single" w:sz="4" w:space="0" w:color="auto"/>
              <w:bottom w:val="single" w:sz="4" w:space="0" w:color="auto"/>
              <w:right w:val="single" w:sz="4" w:space="0" w:color="auto"/>
            </w:tcBorders>
          </w:tcPr>
          <w:p w:rsidR="00333042" w:rsidRPr="001902B7" w:rsidRDefault="008D2E3B" w:rsidP="00026812">
            <w:pPr>
              <w:pStyle w:val="Normlny0"/>
              <w:widowControl/>
              <w:contextualSpacing/>
              <w:jc w:val="both"/>
            </w:pPr>
            <w:r w:rsidRPr="008D2E3B">
              <w:t>Členské štáty poskytnú svojim FIU primerané finančné, ľudské a technické zdroje na plnenie ich úloh.</w:t>
            </w:r>
          </w:p>
        </w:tc>
        <w:tc>
          <w:tcPr>
            <w:tcW w:w="709" w:type="dxa"/>
            <w:tcBorders>
              <w:top w:val="single" w:sz="4" w:space="0" w:color="auto"/>
              <w:left w:val="single" w:sz="4" w:space="0" w:color="auto"/>
              <w:bottom w:val="single" w:sz="4" w:space="0" w:color="auto"/>
              <w:right w:val="single" w:sz="12" w:space="0" w:color="auto"/>
            </w:tcBorders>
          </w:tcPr>
          <w:p w:rsidR="00333042" w:rsidRPr="001902B7" w:rsidRDefault="008D2E3B" w:rsidP="00026812">
            <w:pPr>
              <w:widowControl/>
              <w:contextualSpacing/>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333042" w:rsidRPr="001902B7" w:rsidRDefault="00F8230C" w:rsidP="00026812">
            <w:pPr>
              <w:widowControl/>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333042" w:rsidRDefault="008D2E3B" w:rsidP="00026812">
            <w:pPr>
              <w:pStyle w:val="Normlny0"/>
              <w:widowControl/>
              <w:contextualSpacing/>
              <w:jc w:val="center"/>
            </w:pPr>
            <w:r>
              <w:t>§ 26</w:t>
            </w:r>
          </w:p>
          <w:p w:rsidR="008D2E3B" w:rsidRPr="001902B7" w:rsidRDefault="008D2E3B" w:rsidP="00026812">
            <w:pPr>
              <w:pStyle w:val="Normlny0"/>
              <w:widowControl/>
              <w:contextualSpacing/>
              <w:jc w:val="center"/>
            </w:pPr>
            <w:r>
              <w:t>O: 9</w:t>
            </w:r>
          </w:p>
        </w:tc>
        <w:tc>
          <w:tcPr>
            <w:tcW w:w="6520" w:type="dxa"/>
            <w:tcBorders>
              <w:top w:val="single" w:sz="4" w:space="0" w:color="auto"/>
              <w:left w:val="single" w:sz="4" w:space="0" w:color="auto"/>
              <w:bottom w:val="single" w:sz="4" w:space="0" w:color="auto"/>
              <w:right w:val="single" w:sz="4" w:space="0" w:color="auto"/>
            </w:tcBorders>
          </w:tcPr>
          <w:p w:rsidR="00333042" w:rsidRPr="001902B7" w:rsidRDefault="008D2E3B" w:rsidP="00AF7DD5">
            <w:pPr>
              <w:contextualSpacing/>
              <w:jc w:val="both"/>
              <w:rPr>
                <w:sz w:val="20"/>
                <w:szCs w:val="20"/>
              </w:rPr>
            </w:pPr>
            <w:r w:rsidRPr="008D2E3B">
              <w:rPr>
                <w:sz w:val="20"/>
                <w:szCs w:val="20"/>
              </w:rPr>
              <w:t>Finančná spravodajská jednotka uplatňuje pri svojej činnosti také organizačné, personálne, technické a iné opatrenia, ktoré zaručia, že s informáciami získanými pri jej činnosti podľa tohto zákona nepríde do styku nepovola</w:t>
            </w:r>
            <w:r>
              <w:rPr>
                <w:sz w:val="20"/>
                <w:szCs w:val="20"/>
              </w:rPr>
              <w:t>ná osoba</w:t>
            </w:r>
            <w:r w:rsidRPr="008D2E3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49584D" w:rsidP="00026812">
            <w:pPr>
              <w:widowControl/>
              <w:contextualSpacing/>
              <w:jc w:val="center"/>
              <w:rPr>
                <w:sz w:val="20"/>
                <w:szCs w:val="20"/>
              </w:rPr>
            </w:pPr>
            <w:r>
              <w:rPr>
                <w:sz w:val="20"/>
                <w:szCs w:val="20"/>
              </w:rPr>
              <w:t>U</w:t>
            </w:r>
          </w:p>
        </w:tc>
        <w:tc>
          <w:tcPr>
            <w:tcW w:w="1271" w:type="dxa"/>
            <w:tcBorders>
              <w:top w:val="single" w:sz="4" w:space="0" w:color="auto"/>
              <w:left w:val="single" w:sz="4" w:space="0" w:color="auto"/>
              <w:bottom w:val="single" w:sz="4" w:space="0" w:color="auto"/>
            </w:tcBorders>
          </w:tcPr>
          <w:p w:rsidR="00333042" w:rsidRPr="001902B7" w:rsidRDefault="00333042" w:rsidP="00026812">
            <w:pPr>
              <w:pStyle w:val="Nadpis1"/>
              <w:widowControl/>
              <w:contextualSpacing/>
              <w:rPr>
                <w:b w:val="0"/>
                <w:bCs w:val="0"/>
                <w:sz w:val="20"/>
                <w:szCs w:val="20"/>
              </w:rPr>
            </w:pPr>
          </w:p>
        </w:tc>
      </w:tr>
      <w:tr w:rsidR="00333042" w:rsidRPr="001902B7" w:rsidTr="00AF7DD5">
        <w:tc>
          <w:tcPr>
            <w:tcW w:w="752" w:type="dxa"/>
            <w:tcBorders>
              <w:top w:val="single" w:sz="4" w:space="0" w:color="auto"/>
              <w:left w:val="single" w:sz="12" w:space="0" w:color="auto"/>
              <w:bottom w:val="single" w:sz="4" w:space="0" w:color="auto"/>
              <w:right w:val="single" w:sz="4" w:space="0" w:color="auto"/>
            </w:tcBorders>
          </w:tcPr>
          <w:p w:rsidR="00333042" w:rsidRPr="001902B7" w:rsidRDefault="008D2E3B" w:rsidP="00026812">
            <w:pPr>
              <w:contextualSpacing/>
              <w:rPr>
                <w:sz w:val="20"/>
                <w:szCs w:val="20"/>
              </w:rPr>
            </w:pPr>
            <w:r>
              <w:rPr>
                <w:sz w:val="20"/>
                <w:szCs w:val="20"/>
              </w:rPr>
              <w:t>Č: 32</w:t>
            </w:r>
          </w:p>
          <w:p w:rsidR="00333042" w:rsidRPr="001902B7" w:rsidRDefault="008D2E3B" w:rsidP="00026812">
            <w:pPr>
              <w:contextualSpacing/>
              <w:rPr>
                <w:sz w:val="20"/>
                <w:szCs w:val="20"/>
              </w:rPr>
            </w:pPr>
            <w:r>
              <w:rPr>
                <w:sz w:val="20"/>
                <w:szCs w:val="20"/>
              </w:rPr>
              <w:t>O</w:t>
            </w:r>
            <w:r w:rsidR="009950D2" w:rsidRPr="001902B7">
              <w:rPr>
                <w:sz w:val="20"/>
                <w:szCs w:val="20"/>
              </w:rPr>
              <w:t xml:space="preserve">: </w:t>
            </w:r>
            <w:r>
              <w:rPr>
                <w:sz w:val="20"/>
                <w:szCs w:val="20"/>
              </w:rPr>
              <w:t>8</w:t>
            </w:r>
          </w:p>
          <w:p w:rsidR="00333042" w:rsidRPr="001902B7" w:rsidRDefault="00333042" w:rsidP="00026812">
            <w:pPr>
              <w:contextualSpacing/>
              <w:rPr>
                <w:sz w:val="20"/>
                <w:szCs w:val="20"/>
              </w:rPr>
            </w:pPr>
          </w:p>
          <w:p w:rsidR="00333042" w:rsidRPr="001902B7" w:rsidRDefault="00333042" w:rsidP="00026812">
            <w:pPr>
              <w:contextualSpacing/>
              <w:rPr>
                <w:sz w:val="20"/>
                <w:szCs w:val="20"/>
              </w:rPr>
            </w:pPr>
          </w:p>
          <w:p w:rsidR="00333042" w:rsidRPr="001902B7" w:rsidRDefault="00333042" w:rsidP="00026812">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EC780C" w:rsidRDefault="008D2E3B" w:rsidP="00026812">
            <w:pPr>
              <w:pStyle w:val="Normlnywebov8"/>
              <w:widowControl/>
              <w:spacing w:before="0" w:after="0"/>
              <w:ind w:left="0" w:right="0"/>
              <w:contextualSpacing/>
              <w:jc w:val="both"/>
              <w:rPr>
                <w:sz w:val="20"/>
                <w:szCs w:val="20"/>
              </w:rPr>
            </w:pPr>
            <w:r>
              <w:rPr>
                <w:sz w:val="20"/>
                <w:szCs w:val="20"/>
              </w:rPr>
              <w:t>A</w:t>
            </w:r>
            <w:r w:rsidRPr="008D2E3B">
              <w:rPr>
                <w:sz w:val="20"/>
                <w:szCs w:val="20"/>
              </w:rPr>
              <w:t>n</w:t>
            </w:r>
            <w:r w:rsidR="00EC780C">
              <w:rPr>
                <w:sz w:val="20"/>
                <w:szCs w:val="20"/>
              </w:rPr>
              <w:t>alytická funkcia FIU pozostáva:</w:t>
            </w:r>
          </w:p>
          <w:p w:rsidR="008D2E3B" w:rsidRDefault="008D2E3B" w:rsidP="00026812">
            <w:pPr>
              <w:pStyle w:val="Normlnywebov8"/>
              <w:widowControl/>
              <w:spacing w:before="0" w:after="0"/>
              <w:ind w:left="0" w:right="0"/>
              <w:contextualSpacing/>
              <w:jc w:val="both"/>
              <w:rPr>
                <w:sz w:val="20"/>
                <w:szCs w:val="20"/>
              </w:rPr>
            </w:pPr>
            <w:r w:rsidRPr="008D2E3B">
              <w:rPr>
                <w:sz w:val="20"/>
                <w:szCs w:val="20"/>
              </w:rPr>
              <w:t xml:space="preserve">a)  z operačnej analýzy, ktorá sa zameriava na jednotlivé prípady a osobitné ciele, alebo na vhodne vybrané informácie, a to v závislosti od druhu a objemu poskytnutých informácií a očakávaného použitia informácií po poskytnutí; </w:t>
            </w:r>
          </w:p>
          <w:p w:rsidR="00333042" w:rsidRPr="001902B7" w:rsidRDefault="008D2E3B" w:rsidP="00026812">
            <w:pPr>
              <w:pStyle w:val="Normlnywebov8"/>
              <w:widowControl/>
              <w:spacing w:before="0" w:after="0"/>
              <w:ind w:left="0" w:right="0"/>
              <w:contextualSpacing/>
              <w:jc w:val="both"/>
              <w:rPr>
                <w:sz w:val="20"/>
                <w:szCs w:val="20"/>
              </w:rPr>
            </w:pPr>
            <w:r w:rsidRPr="008D2E3B">
              <w:rPr>
                <w:sz w:val="20"/>
                <w:szCs w:val="20"/>
              </w:rPr>
              <w:t>b)  zo strategickej analýzy, v rámci ktorej sa riešia trendy a typy prania špinavých peňazí a financovania terorizmu</w:t>
            </w:r>
          </w:p>
        </w:tc>
        <w:tc>
          <w:tcPr>
            <w:tcW w:w="709" w:type="dxa"/>
            <w:tcBorders>
              <w:top w:val="single" w:sz="4" w:space="0" w:color="auto"/>
              <w:left w:val="single" w:sz="4" w:space="0" w:color="auto"/>
              <w:bottom w:val="single" w:sz="4" w:space="0" w:color="auto"/>
              <w:right w:val="single" w:sz="12" w:space="0" w:color="auto"/>
            </w:tcBorders>
          </w:tcPr>
          <w:p w:rsidR="00333042" w:rsidRPr="001902B7" w:rsidRDefault="003E7844" w:rsidP="00026812">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333042" w:rsidRDefault="008D2E3B" w:rsidP="00F8230C">
            <w:pPr>
              <w:widowControl/>
              <w:contextualSpacing/>
              <w:jc w:val="center"/>
              <w:rPr>
                <w:sz w:val="20"/>
                <w:szCs w:val="20"/>
              </w:rPr>
            </w:pPr>
            <w:r w:rsidRPr="008D2E3B">
              <w:rPr>
                <w:sz w:val="20"/>
                <w:szCs w:val="20"/>
              </w:rPr>
              <w:t>z</w:t>
            </w:r>
            <w:r w:rsidR="00F8230C">
              <w:rPr>
                <w:sz w:val="20"/>
                <w:szCs w:val="20"/>
              </w:rPr>
              <w:t>ákon</w:t>
            </w:r>
            <w:r w:rsidRPr="008D2E3B">
              <w:rPr>
                <w:sz w:val="20"/>
                <w:szCs w:val="20"/>
              </w:rPr>
              <w:t xml:space="preserve"> č. 297/2008 </w:t>
            </w:r>
            <w:r w:rsidR="00125CCC">
              <w:rPr>
                <w:sz w:val="20"/>
                <w:szCs w:val="20"/>
              </w:rPr>
              <w:t>Z. z.</w:t>
            </w:r>
          </w:p>
          <w:p w:rsidR="00F8230C" w:rsidRDefault="00F8230C" w:rsidP="00F8230C">
            <w:pPr>
              <w:widowControl/>
              <w:contextualSpacing/>
              <w:jc w:val="center"/>
              <w:rPr>
                <w:sz w:val="20"/>
                <w:szCs w:val="20"/>
              </w:rPr>
            </w:pPr>
            <w:r>
              <w:rPr>
                <w:sz w:val="20"/>
                <w:szCs w:val="20"/>
              </w:rPr>
              <w:t>+</w:t>
            </w:r>
          </w:p>
          <w:p w:rsidR="00F8230C" w:rsidRPr="001902B7" w:rsidRDefault="00F8230C" w:rsidP="00F8230C">
            <w:pPr>
              <w:widowControl/>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3E7844" w:rsidRPr="001902B7" w:rsidRDefault="0049584D" w:rsidP="00026812">
            <w:pPr>
              <w:widowControl/>
              <w:contextualSpacing/>
              <w:jc w:val="center"/>
              <w:rPr>
                <w:sz w:val="20"/>
                <w:szCs w:val="20"/>
              </w:rPr>
            </w:pPr>
            <w:r>
              <w:rPr>
                <w:sz w:val="20"/>
                <w:szCs w:val="20"/>
              </w:rPr>
              <w:t>§ 26</w:t>
            </w:r>
          </w:p>
          <w:p w:rsidR="003E7844" w:rsidRDefault="0049584D" w:rsidP="00026812">
            <w:pPr>
              <w:widowControl/>
              <w:contextualSpacing/>
              <w:jc w:val="center"/>
              <w:rPr>
                <w:sz w:val="20"/>
                <w:szCs w:val="20"/>
              </w:rPr>
            </w:pPr>
            <w:r>
              <w:rPr>
                <w:sz w:val="20"/>
                <w:szCs w:val="20"/>
              </w:rPr>
              <w:t>O: 2</w:t>
            </w:r>
          </w:p>
          <w:p w:rsidR="0049584D" w:rsidRPr="001902B7" w:rsidRDefault="0049584D" w:rsidP="00026812">
            <w:pPr>
              <w:widowControl/>
              <w:contextualSpacing/>
              <w:jc w:val="center"/>
              <w:rPr>
                <w:sz w:val="20"/>
                <w:szCs w:val="20"/>
              </w:rPr>
            </w:pPr>
            <w:r>
              <w:rPr>
                <w:sz w:val="20"/>
                <w:szCs w:val="20"/>
              </w:rPr>
              <w:t>P: a</w:t>
            </w:r>
          </w:p>
          <w:p w:rsidR="00333042" w:rsidRPr="001902B7" w:rsidRDefault="00333042" w:rsidP="00026812">
            <w:pPr>
              <w:pStyle w:val="Normlny0"/>
              <w:widowControl/>
              <w:contextualSpacing/>
              <w:jc w:val="center"/>
            </w:pPr>
          </w:p>
        </w:tc>
        <w:tc>
          <w:tcPr>
            <w:tcW w:w="6520" w:type="dxa"/>
            <w:tcBorders>
              <w:top w:val="single" w:sz="4" w:space="0" w:color="auto"/>
              <w:left w:val="single" w:sz="4" w:space="0" w:color="auto"/>
              <w:bottom w:val="single" w:sz="4" w:space="0" w:color="auto"/>
              <w:right w:val="single" w:sz="4" w:space="0" w:color="auto"/>
            </w:tcBorders>
          </w:tcPr>
          <w:p w:rsidR="00896E33" w:rsidRDefault="00896E33" w:rsidP="00026812">
            <w:pPr>
              <w:contextualSpacing/>
              <w:jc w:val="both"/>
              <w:rPr>
                <w:color w:val="000000"/>
                <w:sz w:val="20"/>
                <w:szCs w:val="20"/>
              </w:rPr>
            </w:pPr>
          </w:p>
          <w:p w:rsidR="0049584D" w:rsidRPr="0049584D" w:rsidRDefault="0049584D" w:rsidP="00026812">
            <w:pPr>
              <w:contextualSpacing/>
              <w:jc w:val="both"/>
              <w:rPr>
                <w:color w:val="000000"/>
                <w:sz w:val="20"/>
                <w:szCs w:val="20"/>
              </w:rPr>
            </w:pPr>
            <w:r w:rsidRPr="0049584D">
              <w:rPr>
                <w:color w:val="000000"/>
                <w:sz w:val="20"/>
                <w:szCs w:val="20"/>
              </w:rPr>
              <w:t>Finančná spravodajská jednotka</w:t>
            </w:r>
          </w:p>
          <w:p w:rsidR="00333042" w:rsidRPr="001902B7" w:rsidRDefault="0049584D" w:rsidP="00026812">
            <w:pPr>
              <w:contextualSpacing/>
              <w:jc w:val="both"/>
              <w:rPr>
                <w:color w:val="000000"/>
                <w:sz w:val="20"/>
                <w:szCs w:val="20"/>
              </w:rPr>
            </w:pPr>
            <w:r w:rsidRPr="0049584D">
              <w:rPr>
                <w:color w:val="000000"/>
                <w:sz w:val="20"/>
                <w:szCs w:val="20"/>
              </w:rPr>
              <w:t xml:space="preserve">prijíma, analyzuje, vyhodnocuje a spracúva hlásenia o neobvyklých obchodných operáciách a </w:t>
            </w:r>
            <w:r w:rsidRPr="00DE3193">
              <w:rPr>
                <w:b/>
                <w:color w:val="000000"/>
                <w:sz w:val="20"/>
                <w:szCs w:val="20"/>
              </w:rPr>
              <w:t>finančné</w:t>
            </w:r>
            <w:r w:rsidRPr="0049584D">
              <w:rPr>
                <w:color w:val="000000"/>
                <w:sz w:val="20"/>
                <w:szCs w:val="20"/>
              </w:rPr>
              <w:t xml:space="preserve"> informácie súvisiace s legalizáciou alebo financovaním terorizmu na plnenie úloh podľa tohto zákona alebo podľa osobitného predpisu</w:t>
            </w:r>
            <w:r>
              <w:rPr>
                <w:color w:val="000000"/>
                <w:sz w:val="20"/>
                <w:szCs w:val="20"/>
              </w:rPr>
              <w:t xml:space="preserve"> </w:t>
            </w:r>
            <w:r w:rsidRPr="00DE3193">
              <w:rPr>
                <w:b/>
                <w:color w:val="000000"/>
                <w:sz w:val="20"/>
                <w:szCs w:val="20"/>
              </w:rPr>
              <w:t>a vypracúva finančné analýzy</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3E7844" w:rsidP="00026812">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333042" w:rsidRPr="001902B7" w:rsidRDefault="00333042" w:rsidP="00026812">
            <w:pPr>
              <w:pStyle w:val="Nadpis1"/>
              <w:widowControl/>
              <w:contextualSpacing/>
              <w:jc w:val="both"/>
              <w:rPr>
                <w:b w:val="0"/>
                <w:bCs w:val="0"/>
                <w:sz w:val="20"/>
                <w:szCs w:val="20"/>
              </w:rPr>
            </w:pPr>
          </w:p>
        </w:tc>
      </w:tr>
      <w:tr w:rsidR="009950D2" w:rsidRPr="001902B7" w:rsidTr="00AF7DD5">
        <w:tc>
          <w:tcPr>
            <w:tcW w:w="752" w:type="dxa"/>
            <w:tcBorders>
              <w:top w:val="single" w:sz="4" w:space="0" w:color="auto"/>
              <w:left w:val="single" w:sz="12" w:space="0" w:color="auto"/>
              <w:bottom w:val="single" w:sz="4" w:space="0" w:color="auto"/>
              <w:right w:val="single" w:sz="4" w:space="0" w:color="auto"/>
            </w:tcBorders>
          </w:tcPr>
          <w:p w:rsidR="009950D2" w:rsidRPr="001902B7" w:rsidRDefault="0049584D" w:rsidP="00026812">
            <w:pPr>
              <w:contextualSpacing/>
              <w:rPr>
                <w:sz w:val="20"/>
                <w:szCs w:val="20"/>
              </w:rPr>
            </w:pPr>
            <w:r>
              <w:rPr>
                <w:sz w:val="20"/>
                <w:szCs w:val="20"/>
              </w:rPr>
              <w:t>Č: 39</w:t>
            </w:r>
          </w:p>
          <w:p w:rsidR="009950D2" w:rsidRPr="001902B7" w:rsidRDefault="0049584D" w:rsidP="00026812">
            <w:pPr>
              <w:contextualSpacing/>
              <w:rPr>
                <w:sz w:val="20"/>
                <w:szCs w:val="20"/>
              </w:rPr>
            </w:pPr>
            <w:r>
              <w:rPr>
                <w:sz w:val="20"/>
                <w:szCs w:val="20"/>
              </w:rPr>
              <w:t>O: 4</w:t>
            </w:r>
          </w:p>
          <w:p w:rsidR="009950D2" w:rsidRPr="001902B7" w:rsidRDefault="009950D2" w:rsidP="00026812">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9950D2" w:rsidRPr="001902B7" w:rsidRDefault="0049584D" w:rsidP="00AF7DD5">
            <w:pPr>
              <w:pStyle w:val="CM4"/>
              <w:contextualSpacing/>
              <w:jc w:val="both"/>
              <w:rPr>
                <w:rFonts w:ascii="Times New Roman" w:hAnsi="Times New Roman"/>
                <w:color w:val="000000"/>
                <w:sz w:val="20"/>
                <w:szCs w:val="20"/>
              </w:rPr>
            </w:pPr>
            <w:r>
              <w:rPr>
                <w:rFonts w:ascii="Times New Roman" w:hAnsi="Times New Roman"/>
                <w:color w:val="000000"/>
                <w:sz w:val="20"/>
                <w:szCs w:val="20"/>
              </w:rPr>
              <w:t>Z</w:t>
            </w:r>
            <w:r w:rsidRPr="0049584D">
              <w:rPr>
                <w:rFonts w:ascii="Times New Roman" w:hAnsi="Times New Roman"/>
                <w:color w:val="000000"/>
                <w:sz w:val="20"/>
                <w:szCs w:val="20"/>
              </w:rPr>
              <w:t>ákazom ustanoveným v odseku 1 sa nebráni poskytovaniu informácií medzi povinnými subjektmi uvedenými v článku 2 ods. 1 bode  3 písm. a) a b) alebo subjektmi z  tretích  krajín ukladajúcimi požiadavky rovnocenné s požiadavkami ustanovenými v tejto smernici, ktoré vykonávajú svoje profesionálne činnosti, a to aj ako zamestnanci, v rámci tej istej právnickej osoby alebo väčšej štruktúry, ku ktorej osoba patrí a ktorá má spoločné vlastníctvo, riadenie alebo kontrolu dodržiavania právnych predpisov.</w:t>
            </w:r>
          </w:p>
        </w:tc>
        <w:tc>
          <w:tcPr>
            <w:tcW w:w="709" w:type="dxa"/>
            <w:tcBorders>
              <w:top w:val="single" w:sz="4" w:space="0" w:color="auto"/>
              <w:left w:val="single" w:sz="4" w:space="0" w:color="auto"/>
              <w:bottom w:val="single" w:sz="4" w:space="0" w:color="auto"/>
              <w:right w:val="single" w:sz="12" w:space="0" w:color="auto"/>
            </w:tcBorders>
          </w:tcPr>
          <w:p w:rsidR="009950D2" w:rsidRPr="001902B7" w:rsidRDefault="0049584D" w:rsidP="00026812">
            <w:pPr>
              <w:widowControl/>
              <w:contextualSpacing/>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F8230C" w:rsidRDefault="00F8230C" w:rsidP="00F8230C">
            <w:pPr>
              <w:widowControl/>
              <w:contextualSpacing/>
              <w:jc w:val="center"/>
              <w:rPr>
                <w:sz w:val="20"/>
                <w:szCs w:val="20"/>
              </w:rPr>
            </w:pPr>
            <w:r w:rsidRPr="008D2E3B">
              <w:rPr>
                <w:sz w:val="20"/>
                <w:szCs w:val="20"/>
              </w:rPr>
              <w:t>z</w:t>
            </w:r>
            <w:r>
              <w:rPr>
                <w:sz w:val="20"/>
                <w:szCs w:val="20"/>
              </w:rPr>
              <w:t>ákon</w:t>
            </w:r>
            <w:r w:rsidRPr="008D2E3B">
              <w:rPr>
                <w:sz w:val="20"/>
                <w:szCs w:val="20"/>
              </w:rPr>
              <w:t xml:space="preserve"> č. 297/2008 </w:t>
            </w:r>
            <w:r>
              <w:rPr>
                <w:sz w:val="20"/>
                <w:szCs w:val="20"/>
              </w:rPr>
              <w:t>Z. z.</w:t>
            </w:r>
          </w:p>
          <w:p w:rsidR="00F8230C" w:rsidRDefault="00F8230C" w:rsidP="00F8230C">
            <w:pPr>
              <w:widowControl/>
              <w:contextualSpacing/>
              <w:jc w:val="center"/>
              <w:rPr>
                <w:sz w:val="20"/>
                <w:szCs w:val="20"/>
              </w:rPr>
            </w:pPr>
            <w:r>
              <w:rPr>
                <w:sz w:val="20"/>
                <w:szCs w:val="20"/>
              </w:rPr>
              <w:t>+</w:t>
            </w:r>
          </w:p>
          <w:p w:rsidR="009950D2" w:rsidRPr="001902B7" w:rsidRDefault="00F8230C" w:rsidP="00F8230C">
            <w:pPr>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9950D2" w:rsidRDefault="0049584D" w:rsidP="00026812">
            <w:pPr>
              <w:widowControl/>
              <w:contextualSpacing/>
              <w:jc w:val="center"/>
              <w:rPr>
                <w:sz w:val="20"/>
                <w:szCs w:val="20"/>
              </w:rPr>
            </w:pPr>
            <w:r>
              <w:rPr>
                <w:sz w:val="20"/>
                <w:szCs w:val="20"/>
              </w:rPr>
              <w:t>§ 18</w:t>
            </w:r>
          </w:p>
          <w:p w:rsidR="0049584D" w:rsidRDefault="0049584D" w:rsidP="00026812">
            <w:pPr>
              <w:widowControl/>
              <w:contextualSpacing/>
              <w:jc w:val="center"/>
              <w:rPr>
                <w:sz w:val="20"/>
                <w:szCs w:val="20"/>
              </w:rPr>
            </w:pPr>
            <w:r>
              <w:rPr>
                <w:sz w:val="20"/>
                <w:szCs w:val="20"/>
              </w:rPr>
              <w:t>O: 8</w:t>
            </w:r>
          </w:p>
          <w:p w:rsidR="00896E33" w:rsidRDefault="00896E33" w:rsidP="00026812">
            <w:pPr>
              <w:widowControl/>
              <w:contextualSpacing/>
              <w:jc w:val="center"/>
              <w:rPr>
                <w:sz w:val="20"/>
                <w:szCs w:val="20"/>
              </w:rPr>
            </w:pPr>
          </w:p>
          <w:p w:rsidR="0049584D" w:rsidRPr="001902B7" w:rsidRDefault="0049584D" w:rsidP="00026812">
            <w:pPr>
              <w:widowControl/>
              <w:contextualSpacing/>
              <w:jc w:val="center"/>
              <w:rPr>
                <w:sz w:val="20"/>
                <w:szCs w:val="20"/>
              </w:rPr>
            </w:pPr>
            <w:r>
              <w:rPr>
                <w:sz w:val="20"/>
                <w:szCs w:val="20"/>
              </w:rPr>
              <w:t>P: b</w:t>
            </w:r>
          </w:p>
        </w:tc>
        <w:tc>
          <w:tcPr>
            <w:tcW w:w="6520" w:type="dxa"/>
            <w:tcBorders>
              <w:top w:val="single" w:sz="4" w:space="0" w:color="auto"/>
              <w:left w:val="single" w:sz="4" w:space="0" w:color="auto"/>
              <w:bottom w:val="single" w:sz="4" w:space="0" w:color="auto"/>
              <w:right w:val="single" w:sz="4" w:space="0" w:color="auto"/>
            </w:tcBorders>
          </w:tcPr>
          <w:p w:rsidR="0049584D" w:rsidRPr="0049584D" w:rsidRDefault="0049584D" w:rsidP="00026812">
            <w:pPr>
              <w:contextualSpacing/>
              <w:jc w:val="both"/>
              <w:rPr>
                <w:sz w:val="20"/>
                <w:szCs w:val="20"/>
              </w:rPr>
            </w:pPr>
            <w:r w:rsidRPr="0049584D">
              <w:rPr>
                <w:sz w:val="20"/>
                <w:szCs w:val="20"/>
              </w:rPr>
              <w:t>Povinnosť mlčanlivosti podľa odseku 1 sa za predpokladu, že poskytnuté informácie sa použijú výhradne na účely predchádzania legalizácii alebo financovania terorizmu nevzťahuje na poskytovanie informácií medzi</w:t>
            </w:r>
            <w:r w:rsidRPr="0049584D">
              <w:rPr>
                <w:sz w:val="20"/>
                <w:szCs w:val="20"/>
              </w:rPr>
              <w:tab/>
            </w:r>
          </w:p>
          <w:p w:rsidR="009950D2" w:rsidRPr="001902B7" w:rsidRDefault="0049584D" w:rsidP="00026812">
            <w:pPr>
              <w:contextualSpacing/>
              <w:jc w:val="both"/>
              <w:rPr>
                <w:sz w:val="20"/>
                <w:szCs w:val="20"/>
              </w:rPr>
            </w:pPr>
            <w:r w:rsidRPr="0049584D">
              <w:rPr>
                <w:sz w:val="20"/>
                <w:szCs w:val="20"/>
              </w:rPr>
              <w:t>povinnými osobami podľa § 5 ods. 1 písm. h) a j), ktoré pôsobia na území členského štátu alebo na území tretieho štátu, ktorý im ukladá povinnosti v oblasti predchádzania a odhaľovania legalizácie a financovania terorizmu rovnocenné povinnostiam ustanoveným týmto zákonom, ak vykonávajú svoju činnosť ako zamestnanci</w:t>
            </w:r>
            <w:r>
              <w:t xml:space="preserve"> </w:t>
            </w:r>
            <w:r w:rsidRPr="00DE3193">
              <w:rPr>
                <w:b/>
                <w:sz w:val="20"/>
                <w:szCs w:val="20"/>
              </w:rPr>
              <w:t>alebo na základe iného vzťahu</w:t>
            </w:r>
            <w:r w:rsidRPr="0049584D">
              <w:rPr>
                <w:sz w:val="20"/>
                <w:szCs w:val="20"/>
              </w:rPr>
              <w:t xml:space="preserve">  v rámci tej istej právnickej osoby alebo skupiny právnických osôb, ktorá má spoločné vlastníctvo, riadenie alebo kontrolu dodržiavania predpisov,</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49584D" w:rsidP="00026812">
            <w:pPr>
              <w:widowControl/>
              <w:contextualSpacing/>
              <w:jc w:val="center"/>
              <w:rPr>
                <w:sz w:val="20"/>
                <w:szCs w:val="20"/>
              </w:rPr>
            </w:pPr>
            <w:r>
              <w:rPr>
                <w:sz w:val="20"/>
                <w:szCs w:val="20"/>
              </w:rPr>
              <w:t>U</w:t>
            </w:r>
          </w:p>
        </w:tc>
        <w:tc>
          <w:tcPr>
            <w:tcW w:w="1271" w:type="dxa"/>
            <w:tcBorders>
              <w:top w:val="single" w:sz="4" w:space="0" w:color="auto"/>
              <w:left w:val="single" w:sz="4" w:space="0" w:color="auto"/>
              <w:bottom w:val="single" w:sz="4" w:space="0" w:color="auto"/>
            </w:tcBorders>
          </w:tcPr>
          <w:p w:rsidR="009950D2" w:rsidRPr="001902B7" w:rsidRDefault="009950D2" w:rsidP="00026812">
            <w:pPr>
              <w:pStyle w:val="Nadpis1"/>
              <w:widowControl/>
              <w:contextualSpacing/>
              <w:jc w:val="both"/>
              <w:rPr>
                <w:b w:val="0"/>
                <w:bCs w:val="0"/>
                <w:sz w:val="20"/>
                <w:szCs w:val="20"/>
              </w:rPr>
            </w:pPr>
          </w:p>
        </w:tc>
      </w:tr>
      <w:tr w:rsidR="009950D2" w:rsidRPr="001902B7" w:rsidTr="00AF7DD5">
        <w:tc>
          <w:tcPr>
            <w:tcW w:w="752" w:type="dxa"/>
            <w:tcBorders>
              <w:top w:val="single" w:sz="4" w:space="0" w:color="auto"/>
              <w:left w:val="single" w:sz="12" w:space="0" w:color="auto"/>
              <w:bottom w:val="single" w:sz="4" w:space="0" w:color="auto"/>
              <w:right w:val="single" w:sz="4" w:space="0" w:color="auto"/>
            </w:tcBorders>
          </w:tcPr>
          <w:p w:rsidR="009950D2" w:rsidRPr="001902B7" w:rsidRDefault="0049584D" w:rsidP="00026812">
            <w:pPr>
              <w:contextualSpacing/>
              <w:rPr>
                <w:sz w:val="20"/>
                <w:szCs w:val="20"/>
              </w:rPr>
            </w:pPr>
            <w:r>
              <w:rPr>
                <w:sz w:val="20"/>
                <w:szCs w:val="20"/>
              </w:rPr>
              <w:t>Č: 40</w:t>
            </w:r>
          </w:p>
          <w:p w:rsidR="009950D2" w:rsidRDefault="0049584D" w:rsidP="00026812">
            <w:pPr>
              <w:contextualSpacing/>
              <w:rPr>
                <w:sz w:val="20"/>
                <w:szCs w:val="20"/>
              </w:rPr>
            </w:pPr>
            <w:r>
              <w:rPr>
                <w:sz w:val="20"/>
                <w:szCs w:val="20"/>
              </w:rPr>
              <w:t>O: 1</w:t>
            </w:r>
          </w:p>
          <w:p w:rsidR="0049584D" w:rsidRPr="001902B7" w:rsidRDefault="0049584D" w:rsidP="00026812">
            <w:pPr>
              <w:contextualSpacing/>
              <w:rPr>
                <w:sz w:val="20"/>
                <w:szCs w:val="20"/>
              </w:rPr>
            </w:pPr>
            <w:r>
              <w:rPr>
                <w:sz w:val="20"/>
                <w:szCs w:val="20"/>
              </w:rPr>
              <w:lastRenderedPageBreak/>
              <w:t>P: b</w:t>
            </w:r>
          </w:p>
          <w:p w:rsidR="009950D2" w:rsidRPr="001902B7" w:rsidRDefault="009950D2" w:rsidP="00026812">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49584D" w:rsidRDefault="0049584D" w:rsidP="00026812">
            <w:pPr>
              <w:pStyle w:val="CM4"/>
              <w:contextualSpacing/>
              <w:jc w:val="both"/>
              <w:rPr>
                <w:rFonts w:ascii="Times New Roman" w:hAnsi="Times New Roman"/>
                <w:color w:val="000000"/>
                <w:sz w:val="20"/>
                <w:szCs w:val="20"/>
              </w:rPr>
            </w:pPr>
            <w:r>
              <w:rPr>
                <w:rFonts w:ascii="Times New Roman" w:hAnsi="Times New Roman"/>
                <w:color w:val="000000"/>
                <w:sz w:val="20"/>
                <w:szCs w:val="20"/>
              </w:rPr>
              <w:lastRenderedPageBreak/>
              <w:t>1</w:t>
            </w:r>
            <w:r w:rsidRPr="0049584D">
              <w:rPr>
                <w:rFonts w:ascii="Times New Roman" w:hAnsi="Times New Roman"/>
                <w:color w:val="000000"/>
                <w:sz w:val="20"/>
                <w:szCs w:val="20"/>
              </w:rPr>
              <w:t xml:space="preserve">. Členské štáty vyžadujú, aby povinné  subjekty v súlade s vnútroštátnymi právnymi predpismi na </w:t>
            </w:r>
            <w:r w:rsidRPr="0049584D">
              <w:rPr>
                <w:rFonts w:ascii="Times New Roman" w:hAnsi="Times New Roman"/>
                <w:color w:val="000000"/>
                <w:sz w:val="20"/>
                <w:szCs w:val="20"/>
              </w:rPr>
              <w:lastRenderedPageBreak/>
              <w:t>účely predchá­dzania možnému praniu špinavých peňazí alebo financovaniu  terorizmu, ich odhaľovania a vyšetrovania, ktoré vykonáva FIU alebo iné príslušné orgány, uchovával</w:t>
            </w:r>
            <w:r w:rsidR="00EC780C">
              <w:rPr>
                <w:rFonts w:ascii="Times New Roman" w:hAnsi="Times New Roman"/>
                <w:color w:val="000000"/>
                <w:sz w:val="20"/>
                <w:szCs w:val="20"/>
              </w:rPr>
              <w:t>i tieto dokumenty a informácie:</w:t>
            </w:r>
          </w:p>
          <w:p w:rsidR="009950D2" w:rsidRPr="001902B7" w:rsidRDefault="0049584D" w:rsidP="00AF7DD5">
            <w:pPr>
              <w:pStyle w:val="CM4"/>
              <w:contextualSpacing/>
              <w:jc w:val="both"/>
              <w:rPr>
                <w:rFonts w:ascii="Times New Roman" w:hAnsi="Times New Roman"/>
                <w:color w:val="000000"/>
                <w:sz w:val="20"/>
                <w:szCs w:val="20"/>
              </w:rPr>
            </w:pPr>
            <w:r w:rsidRPr="0049584D">
              <w:rPr>
                <w:rFonts w:ascii="Times New Roman" w:hAnsi="Times New Roman"/>
                <w:color w:val="000000"/>
                <w:sz w:val="20"/>
                <w:szCs w:val="20"/>
              </w:rPr>
              <w:t>b) podporné dôkazy a záznamy o transakciách pozostávajúce z originálnych dokumentov alebo kópií prípustných pre súdne konanie podľa uplatniteľných vnútroštátnych právnych predpisov, ktoré sú potrebné na identifikáciu transakcií, po dobu piatich rokov od ukončenia obchodného vzťahu s klientom alebo od dátumu príležitostnej transakcie.</w:t>
            </w:r>
          </w:p>
        </w:tc>
        <w:tc>
          <w:tcPr>
            <w:tcW w:w="709" w:type="dxa"/>
            <w:tcBorders>
              <w:top w:val="single" w:sz="4" w:space="0" w:color="auto"/>
              <w:left w:val="single" w:sz="4" w:space="0" w:color="auto"/>
              <w:bottom w:val="single" w:sz="4" w:space="0" w:color="auto"/>
              <w:right w:val="single" w:sz="12" w:space="0" w:color="auto"/>
            </w:tcBorders>
          </w:tcPr>
          <w:p w:rsidR="009950D2" w:rsidRPr="001902B7" w:rsidRDefault="0044346D" w:rsidP="00026812">
            <w:pPr>
              <w:widowControl/>
              <w:contextualSpacing/>
              <w:jc w:val="center"/>
              <w:rPr>
                <w:sz w:val="20"/>
                <w:szCs w:val="20"/>
              </w:rPr>
            </w:pPr>
            <w:r w:rsidRPr="001902B7">
              <w:rPr>
                <w:sz w:val="20"/>
                <w:szCs w:val="20"/>
              </w:rPr>
              <w:lastRenderedPageBreak/>
              <w:t>N</w:t>
            </w:r>
          </w:p>
        </w:tc>
        <w:tc>
          <w:tcPr>
            <w:tcW w:w="850" w:type="dxa"/>
            <w:tcBorders>
              <w:top w:val="single" w:sz="4" w:space="0" w:color="auto"/>
              <w:left w:val="nil"/>
              <w:bottom w:val="single" w:sz="4" w:space="0" w:color="auto"/>
              <w:right w:val="single" w:sz="4" w:space="0" w:color="auto"/>
            </w:tcBorders>
          </w:tcPr>
          <w:p w:rsidR="00030FF0" w:rsidRPr="001902B7" w:rsidRDefault="00F8230C" w:rsidP="00026812">
            <w:pPr>
              <w:pStyle w:val="Normlny0"/>
              <w:widowControl/>
              <w:contextualSpacing/>
              <w:jc w:val="center"/>
            </w:pPr>
            <w:r>
              <w:t>návrh zákona</w:t>
            </w:r>
          </w:p>
          <w:p w:rsidR="009950D2" w:rsidRPr="001902B7" w:rsidRDefault="009950D2" w:rsidP="00026812">
            <w:pPr>
              <w:pStyle w:val="Normlny0"/>
              <w:widowControl/>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030FF0" w:rsidRPr="001902B7" w:rsidRDefault="0049584D" w:rsidP="00026812">
            <w:pPr>
              <w:widowControl/>
              <w:contextualSpacing/>
              <w:jc w:val="center"/>
              <w:rPr>
                <w:sz w:val="20"/>
                <w:szCs w:val="20"/>
              </w:rPr>
            </w:pPr>
            <w:r>
              <w:rPr>
                <w:sz w:val="20"/>
                <w:szCs w:val="20"/>
              </w:rPr>
              <w:lastRenderedPageBreak/>
              <w:t>§ 19</w:t>
            </w:r>
          </w:p>
          <w:p w:rsidR="00030FF0" w:rsidRPr="001902B7" w:rsidRDefault="0049584D" w:rsidP="00026812">
            <w:pPr>
              <w:widowControl/>
              <w:contextualSpacing/>
              <w:jc w:val="center"/>
              <w:rPr>
                <w:sz w:val="20"/>
                <w:szCs w:val="20"/>
              </w:rPr>
            </w:pPr>
            <w:r>
              <w:rPr>
                <w:sz w:val="20"/>
                <w:szCs w:val="20"/>
              </w:rPr>
              <w:t>O: 2</w:t>
            </w:r>
          </w:p>
          <w:p w:rsidR="009950D2" w:rsidRPr="001902B7" w:rsidRDefault="009950D2" w:rsidP="00026812">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EC780C" w:rsidRDefault="00EC780C" w:rsidP="00026812">
            <w:pPr>
              <w:contextualSpacing/>
              <w:jc w:val="both"/>
              <w:rPr>
                <w:sz w:val="20"/>
                <w:szCs w:val="20"/>
              </w:rPr>
            </w:pPr>
            <w:r w:rsidRPr="00EC780C">
              <w:rPr>
                <w:sz w:val="20"/>
                <w:szCs w:val="20"/>
              </w:rPr>
              <w:lastRenderedPageBreak/>
              <w:t xml:space="preserve">Povinná osoba je povinná uchovávať počas piatich rokov od skončenia zmluvného vzťahu s klientom alebo od vykonania príležitostného obchodu mimo </w:t>
            </w:r>
            <w:r w:rsidRPr="00EC780C">
              <w:rPr>
                <w:sz w:val="20"/>
                <w:szCs w:val="20"/>
              </w:rPr>
              <w:lastRenderedPageBreak/>
              <w:t>obchodného vzťahu</w:t>
            </w:r>
          </w:p>
          <w:p w:rsidR="00EC780C" w:rsidRDefault="00EC780C" w:rsidP="00026812">
            <w:pPr>
              <w:contextualSpacing/>
              <w:jc w:val="both"/>
              <w:rPr>
                <w:sz w:val="20"/>
                <w:szCs w:val="20"/>
              </w:rPr>
            </w:pPr>
            <w:r w:rsidRPr="00EC780C">
              <w:rPr>
                <w:sz w:val="20"/>
                <w:szCs w:val="20"/>
              </w:rPr>
              <w:t>a) údaje a písomné doklady získané podľa § 10, 11, 12 a 14,</w:t>
            </w:r>
          </w:p>
          <w:p w:rsidR="009950D2" w:rsidRPr="001902B7" w:rsidRDefault="00EC780C" w:rsidP="00026812">
            <w:pPr>
              <w:contextualSpacing/>
              <w:jc w:val="both"/>
              <w:rPr>
                <w:sz w:val="20"/>
                <w:szCs w:val="20"/>
              </w:rPr>
            </w:pPr>
            <w:r w:rsidRPr="00EC780C">
              <w:rPr>
                <w:sz w:val="20"/>
                <w:szCs w:val="20"/>
              </w:rPr>
              <w:t xml:space="preserve">b) všetky údaje a písomné </w:t>
            </w:r>
            <w:r>
              <w:rPr>
                <w:sz w:val="20"/>
                <w:szCs w:val="20"/>
              </w:rPr>
              <w:t>doklady o vykonaných obchodoch.</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026812">
            <w:pPr>
              <w:widowControl/>
              <w:contextualSpacing/>
              <w:jc w:val="center"/>
              <w:rPr>
                <w:sz w:val="20"/>
                <w:szCs w:val="20"/>
              </w:rPr>
            </w:pPr>
            <w:r w:rsidRPr="001902B7">
              <w:rPr>
                <w:sz w:val="20"/>
                <w:szCs w:val="20"/>
              </w:rPr>
              <w:lastRenderedPageBreak/>
              <w:t>Ú</w:t>
            </w:r>
          </w:p>
        </w:tc>
        <w:tc>
          <w:tcPr>
            <w:tcW w:w="1271" w:type="dxa"/>
            <w:tcBorders>
              <w:top w:val="single" w:sz="4" w:space="0" w:color="auto"/>
              <w:left w:val="single" w:sz="4" w:space="0" w:color="auto"/>
              <w:bottom w:val="single" w:sz="4" w:space="0" w:color="auto"/>
            </w:tcBorders>
          </w:tcPr>
          <w:p w:rsidR="009950D2" w:rsidRPr="001902B7" w:rsidRDefault="009950D2" w:rsidP="00026812">
            <w:pPr>
              <w:pStyle w:val="Nadpis1"/>
              <w:widowControl/>
              <w:contextualSpacing/>
              <w:rPr>
                <w:b w:val="0"/>
                <w:bCs w:val="0"/>
                <w:sz w:val="20"/>
                <w:szCs w:val="20"/>
              </w:rPr>
            </w:pPr>
          </w:p>
        </w:tc>
      </w:tr>
      <w:tr w:rsidR="009950D2" w:rsidRPr="001902B7" w:rsidTr="00AF7DD5">
        <w:trPr>
          <w:trHeight w:val="416"/>
        </w:trPr>
        <w:tc>
          <w:tcPr>
            <w:tcW w:w="752" w:type="dxa"/>
            <w:tcBorders>
              <w:top w:val="single" w:sz="4" w:space="0" w:color="auto"/>
              <w:left w:val="single" w:sz="12" w:space="0" w:color="auto"/>
              <w:bottom w:val="single" w:sz="4" w:space="0" w:color="auto"/>
              <w:right w:val="single" w:sz="4" w:space="0" w:color="auto"/>
            </w:tcBorders>
          </w:tcPr>
          <w:p w:rsidR="009950D2" w:rsidRPr="001902B7" w:rsidRDefault="00EC780C" w:rsidP="00026812">
            <w:pPr>
              <w:contextualSpacing/>
              <w:rPr>
                <w:sz w:val="20"/>
                <w:szCs w:val="20"/>
              </w:rPr>
            </w:pPr>
            <w:r>
              <w:rPr>
                <w:sz w:val="20"/>
                <w:szCs w:val="20"/>
              </w:rPr>
              <w:t>Č: 40</w:t>
            </w:r>
          </w:p>
          <w:p w:rsidR="009950D2" w:rsidRDefault="00EC780C" w:rsidP="00026812">
            <w:pPr>
              <w:contextualSpacing/>
              <w:rPr>
                <w:sz w:val="20"/>
                <w:szCs w:val="20"/>
              </w:rPr>
            </w:pPr>
            <w:r>
              <w:rPr>
                <w:sz w:val="20"/>
                <w:szCs w:val="20"/>
              </w:rPr>
              <w:t>O: 1</w:t>
            </w:r>
          </w:p>
          <w:p w:rsidR="00EC780C" w:rsidRDefault="00EC780C" w:rsidP="00026812">
            <w:pPr>
              <w:contextualSpacing/>
              <w:rPr>
                <w:sz w:val="20"/>
                <w:szCs w:val="20"/>
              </w:rPr>
            </w:pPr>
            <w:r>
              <w:rPr>
                <w:sz w:val="20"/>
                <w:szCs w:val="20"/>
              </w:rPr>
              <w:t>V: 2</w:t>
            </w:r>
          </w:p>
          <w:p w:rsidR="00EC780C" w:rsidRPr="001902B7" w:rsidRDefault="00EC780C" w:rsidP="00026812">
            <w:pPr>
              <w:contextualSpacing/>
              <w:rPr>
                <w:sz w:val="20"/>
                <w:szCs w:val="20"/>
              </w:rPr>
            </w:pPr>
          </w:p>
          <w:p w:rsidR="009950D2" w:rsidRPr="001902B7" w:rsidRDefault="009950D2" w:rsidP="00026812">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9950D2" w:rsidRPr="001902B7" w:rsidRDefault="00EC780C" w:rsidP="00AF7DD5">
            <w:pPr>
              <w:pStyle w:val="CM4"/>
              <w:contextualSpacing/>
              <w:jc w:val="both"/>
              <w:rPr>
                <w:rFonts w:ascii="Times New Roman" w:hAnsi="Times New Roman"/>
                <w:color w:val="000000"/>
                <w:sz w:val="20"/>
                <w:szCs w:val="20"/>
              </w:rPr>
            </w:pPr>
            <w:r w:rsidRPr="00EC780C">
              <w:rPr>
                <w:rFonts w:ascii="Times New Roman" w:hAnsi="Times New Roman"/>
                <w:color w:val="000000"/>
                <w:sz w:val="20"/>
                <w:szCs w:val="20"/>
              </w:rPr>
              <w:t>Po uplynutí obdobia uchovávania uvedeného v prvom pododseku členské štáty zabezpečia, aby  povinné subjekty vymazali osobné údaje, pokiaľ sa neustanovuje inak vo  vnútroštátnych právnych predpisoch, ktorými sa stanoví, za akých okolností povinné subjekty môžu alebo musia naďalej uchovávať údaje. Členské štáty môžu povoliť  alebo vyžadovať ďalšie uchovávanie po tom,  ako vykonajú dôkladné posúdenie potreby a  primeranosti takéhoto ďalšieho uchovávania, pričom sa to považuje za opodstatnene potrebné na účely predchádzania praniu špinavých peňazí alebo financovaniu terorizmu, ich odhaľovania a vyšetrovania. Toto ďalšie obdobia uchovávania nesmie presiahnuť ďalších päť rokov.</w:t>
            </w:r>
          </w:p>
        </w:tc>
        <w:tc>
          <w:tcPr>
            <w:tcW w:w="709" w:type="dxa"/>
            <w:tcBorders>
              <w:top w:val="single" w:sz="4" w:space="0" w:color="auto"/>
              <w:left w:val="single" w:sz="4" w:space="0" w:color="auto"/>
              <w:bottom w:val="single" w:sz="4" w:space="0" w:color="auto"/>
              <w:right w:val="single" w:sz="12" w:space="0" w:color="auto"/>
            </w:tcBorders>
          </w:tcPr>
          <w:p w:rsidR="009950D2" w:rsidRPr="001902B7" w:rsidRDefault="00285AD6" w:rsidP="00026812">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76E4" w:rsidRDefault="00F8230C" w:rsidP="00026812">
            <w:pPr>
              <w:pStyle w:val="Normlny0"/>
              <w:widowControl/>
              <w:contextualSpacing/>
              <w:jc w:val="center"/>
            </w:pPr>
            <w:r>
              <w:t>z</w:t>
            </w:r>
            <w:r w:rsidR="00285AD6" w:rsidRPr="001902B7">
              <w:t>ákon č. 297/2008 Z.</w:t>
            </w:r>
            <w:r w:rsidR="0001034B" w:rsidRPr="001902B7">
              <w:t xml:space="preserve"> </w:t>
            </w:r>
            <w:r w:rsidR="00E14199" w:rsidRPr="001902B7">
              <w:t>z.</w:t>
            </w:r>
          </w:p>
          <w:p w:rsidR="00F8230C" w:rsidRDefault="00F8230C" w:rsidP="00026812">
            <w:pPr>
              <w:pStyle w:val="Normlny0"/>
              <w:widowControl/>
              <w:contextualSpacing/>
              <w:jc w:val="center"/>
            </w:pPr>
            <w:r>
              <w:t>+</w:t>
            </w:r>
          </w:p>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9950D2" w:rsidRPr="001902B7" w:rsidRDefault="00EC780C" w:rsidP="00026812">
            <w:pPr>
              <w:widowControl/>
              <w:contextualSpacing/>
              <w:jc w:val="center"/>
              <w:rPr>
                <w:sz w:val="20"/>
                <w:szCs w:val="20"/>
              </w:rPr>
            </w:pPr>
            <w:r>
              <w:rPr>
                <w:sz w:val="20"/>
                <w:szCs w:val="20"/>
              </w:rPr>
              <w:t>§ 19</w:t>
            </w:r>
          </w:p>
          <w:p w:rsidR="001C734C" w:rsidRPr="001902B7" w:rsidRDefault="00EC780C" w:rsidP="00026812">
            <w:pPr>
              <w:widowControl/>
              <w:contextualSpacing/>
              <w:jc w:val="center"/>
              <w:rPr>
                <w:sz w:val="20"/>
                <w:szCs w:val="20"/>
              </w:rPr>
            </w:pPr>
            <w:r>
              <w:rPr>
                <w:sz w:val="20"/>
                <w:szCs w:val="20"/>
              </w:rPr>
              <w:t>O:</w:t>
            </w:r>
            <w:r w:rsidR="00013E54">
              <w:rPr>
                <w:sz w:val="20"/>
                <w:szCs w:val="20"/>
              </w:rPr>
              <w:t xml:space="preserve"> </w:t>
            </w:r>
            <w:r>
              <w:rPr>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6A0667" w:rsidRPr="001902B7" w:rsidRDefault="00EC780C" w:rsidP="00026812">
            <w:pPr>
              <w:contextualSpacing/>
              <w:jc w:val="both"/>
              <w:rPr>
                <w:sz w:val="20"/>
                <w:szCs w:val="20"/>
              </w:rPr>
            </w:pPr>
            <w:r w:rsidRPr="00EC780C">
              <w:rPr>
                <w:sz w:val="20"/>
                <w:szCs w:val="20"/>
              </w:rPr>
              <w:t>Povinná osoba je povinná uchovávať údaje a písomné doklady podľa odseku 2 aj dlhšie ako päť rokov, ak o to písomne požiada finančná spravodajská jednotka</w:t>
            </w:r>
            <w:r>
              <w:t xml:space="preserve"> </w:t>
            </w:r>
            <w:r w:rsidRPr="00DE3193">
              <w:rPr>
                <w:b/>
                <w:sz w:val="20"/>
                <w:szCs w:val="20"/>
              </w:rPr>
              <w:t>po dôkladnom posúdení potreby a primeranosti takéhoto ďalšieho uchovávania. Finančná</w:t>
            </w:r>
            <w:r w:rsidRPr="00EC780C">
              <w:rPr>
                <w:sz w:val="20"/>
                <w:szCs w:val="20"/>
              </w:rPr>
              <w:t xml:space="preserve"> spravodajská jednotka v žiadosti uvedie lehotu, ktorá nesmie presiahnuť ďalších päť rokov, a rozsah uchovávania údajov a písomných dokladov.</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3B5636" w:rsidP="00026812">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9950D2" w:rsidRPr="001902B7" w:rsidRDefault="009950D2" w:rsidP="00026812">
            <w:pPr>
              <w:pStyle w:val="Nadpis1"/>
              <w:widowControl/>
              <w:contextualSpacing/>
              <w:jc w:val="both"/>
              <w:rPr>
                <w:b w:val="0"/>
                <w:bCs w:val="0"/>
                <w:sz w:val="20"/>
                <w:szCs w:val="20"/>
              </w:rPr>
            </w:pPr>
          </w:p>
        </w:tc>
      </w:tr>
      <w:tr w:rsidR="00F8230C" w:rsidRPr="001902B7" w:rsidTr="00AF7DD5">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Pr>
                <w:sz w:val="20"/>
                <w:szCs w:val="20"/>
              </w:rPr>
              <w:t>Č: 42</w:t>
            </w:r>
          </w:p>
          <w:p w:rsidR="00F8230C" w:rsidRPr="001902B7" w:rsidRDefault="00F8230C" w:rsidP="00F8230C">
            <w:pPr>
              <w:contextualSpacing/>
              <w:rPr>
                <w:sz w:val="20"/>
                <w:szCs w:val="20"/>
              </w:rPr>
            </w:pPr>
          </w:p>
          <w:p w:rsidR="00F8230C" w:rsidRPr="001902B7" w:rsidRDefault="00F8230C" w:rsidP="00F8230C">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pStyle w:val="CM4"/>
              <w:contextualSpacing/>
              <w:jc w:val="both"/>
              <w:rPr>
                <w:rFonts w:ascii="Times New Roman" w:hAnsi="Times New Roman"/>
                <w:sz w:val="20"/>
                <w:szCs w:val="20"/>
              </w:rPr>
            </w:pPr>
            <w:r w:rsidRPr="00EC780C">
              <w:rPr>
                <w:rFonts w:ascii="Times New Roman" w:hAnsi="Times New Roman"/>
                <w:sz w:val="20"/>
                <w:szCs w:val="20"/>
              </w:rPr>
              <w:t>Členské štáty vyžadujú, aby ich povinné subjekty mali zavedené systémy, ktoré im umožnia v plnom rozsahu a rýchlo reagovať na otázky ich FIU alebo ostatných orgánov v súlade s ich vnútroštátnymi právnymi predpismi, pokiaľ ide o to, či majú alebo mali počas piatich rokov predchádzajúcich danej otázke obchodný vzťah s určitými osobami, a pokiaľ ide o povahu tohto vzťahu, prostredníctvom bezpečných kanálov a spôsobom, ktorý zabezpečuje úplnú dôvernosť takýchto otázok.</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F8230C" w:rsidRDefault="00F8230C" w:rsidP="00F8230C">
            <w:pPr>
              <w:pStyle w:val="Normlny0"/>
              <w:widowControl/>
              <w:contextualSpacing/>
              <w:jc w:val="center"/>
            </w:pPr>
            <w:r>
              <w:t>z</w:t>
            </w:r>
            <w:r w:rsidRPr="001902B7">
              <w:t>ákon č. 297/2008 Z. z.</w:t>
            </w:r>
          </w:p>
          <w:p w:rsidR="00F8230C" w:rsidRDefault="00F8230C" w:rsidP="00F8230C">
            <w:pPr>
              <w:pStyle w:val="Normlny0"/>
              <w:widowControl/>
              <w:contextualSpacing/>
              <w:jc w:val="center"/>
            </w:pPr>
            <w:r>
              <w:t>+</w:t>
            </w:r>
          </w:p>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t>§</w:t>
            </w:r>
            <w:r>
              <w:rPr>
                <w:sz w:val="20"/>
                <w:szCs w:val="20"/>
              </w:rPr>
              <w:t xml:space="preserve"> 21</w:t>
            </w:r>
          </w:p>
          <w:p w:rsidR="00F8230C" w:rsidRPr="001902B7" w:rsidRDefault="00F8230C" w:rsidP="00F8230C">
            <w:pPr>
              <w:widowControl/>
              <w:contextualSpacing/>
              <w:jc w:val="center"/>
              <w:rPr>
                <w:sz w:val="20"/>
                <w:szCs w:val="20"/>
              </w:rPr>
            </w:pPr>
            <w:r>
              <w:rPr>
                <w:sz w:val="20"/>
                <w:szCs w:val="20"/>
              </w:rPr>
              <w:t>O: 2</w:t>
            </w:r>
          </w:p>
          <w:p w:rsidR="00F8230C" w:rsidRPr="001902B7" w:rsidRDefault="00F8230C" w:rsidP="00F8230C">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contextualSpacing/>
              <w:jc w:val="both"/>
              <w:rPr>
                <w:sz w:val="20"/>
                <w:szCs w:val="20"/>
              </w:rPr>
            </w:pPr>
            <w:r w:rsidRPr="00EC780C">
              <w:rPr>
                <w:sz w:val="20"/>
                <w:szCs w:val="20"/>
              </w:rPr>
              <w:t>Povinná osoba je povinná zaviesť účinný systém zodpovedajúci veľkosti a povahe činnosti povinnej osoby, ktorý umožní</w:t>
            </w:r>
            <w:r>
              <w:rPr>
                <w:sz w:val="20"/>
                <w:szCs w:val="20"/>
              </w:rPr>
              <w:t xml:space="preserve"> </w:t>
            </w:r>
            <w:r>
              <w:t xml:space="preserve"> </w:t>
            </w:r>
            <w:r w:rsidRPr="00DE3193">
              <w:rPr>
                <w:b/>
                <w:sz w:val="20"/>
                <w:szCs w:val="20"/>
              </w:rPr>
              <w:t>prostredníctvom bezpečných komunikačných kanálov zaručujúcich dôvernosť komunikácie</w:t>
            </w:r>
            <w:r w:rsidRPr="00EC780C">
              <w:rPr>
                <w:sz w:val="20"/>
                <w:szCs w:val="20"/>
              </w:rPr>
              <w:t xml:space="preserve"> bezodkladne poskytnúť finančnej spravodajskej jednotke na jej žiadosť údaje podľa odseku 1.</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rPr>
                <w:b w:val="0"/>
                <w:bCs w:val="0"/>
                <w:sz w:val="20"/>
                <w:szCs w:val="20"/>
              </w:rPr>
            </w:pPr>
          </w:p>
        </w:tc>
      </w:tr>
      <w:tr w:rsidR="00F8230C" w:rsidRPr="001902B7" w:rsidTr="00AF7DD5">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Pr>
                <w:sz w:val="20"/>
                <w:szCs w:val="20"/>
              </w:rPr>
              <w:t>Č: 44</w:t>
            </w:r>
          </w:p>
          <w:p w:rsidR="00F8230C" w:rsidRDefault="00F8230C" w:rsidP="00F8230C">
            <w:pPr>
              <w:contextualSpacing/>
              <w:rPr>
                <w:sz w:val="20"/>
                <w:szCs w:val="20"/>
              </w:rPr>
            </w:pPr>
            <w:r>
              <w:rPr>
                <w:sz w:val="20"/>
                <w:szCs w:val="20"/>
              </w:rPr>
              <w:t>O: 2</w:t>
            </w:r>
          </w:p>
          <w:p w:rsidR="00F8230C" w:rsidRPr="001902B7" w:rsidRDefault="00F8230C" w:rsidP="00F8230C">
            <w:pPr>
              <w:contextualSpacing/>
              <w:rPr>
                <w:sz w:val="20"/>
                <w:szCs w:val="20"/>
              </w:rPr>
            </w:pPr>
            <w:r>
              <w:rPr>
                <w:sz w:val="20"/>
                <w:szCs w:val="20"/>
              </w:rPr>
              <w:t>P: a</w:t>
            </w:r>
          </w:p>
          <w:p w:rsidR="00F8230C" w:rsidRPr="001902B7" w:rsidRDefault="00F8230C" w:rsidP="00F8230C">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8230C" w:rsidRDefault="00F8230C" w:rsidP="00F8230C">
            <w:pPr>
              <w:pStyle w:val="CM4"/>
              <w:contextualSpacing/>
              <w:jc w:val="both"/>
              <w:rPr>
                <w:rFonts w:ascii="Times New Roman" w:hAnsi="Times New Roman"/>
                <w:color w:val="000000"/>
                <w:sz w:val="20"/>
                <w:szCs w:val="20"/>
              </w:rPr>
            </w:pPr>
            <w:r w:rsidRPr="00EC780C">
              <w:rPr>
                <w:rFonts w:ascii="Times New Roman" w:hAnsi="Times New Roman"/>
                <w:color w:val="000000"/>
                <w:sz w:val="20"/>
                <w:szCs w:val="20"/>
              </w:rPr>
              <w:t>2.  Štatisti</w:t>
            </w:r>
            <w:r>
              <w:rPr>
                <w:rFonts w:ascii="Times New Roman" w:hAnsi="Times New Roman"/>
                <w:color w:val="000000"/>
                <w:sz w:val="20"/>
                <w:szCs w:val="20"/>
              </w:rPr>
              <w:t>ky uvedené v odseku 1 obsahujú:</w:t>
            </w:r>
          </w:p>
          <w:p w:rsidR="00F8230C" w:rsidRPr="001902B7" w:rsidRDefault="00F8230C" w:rsidP="00AF7DD5">
            <w:pPr>
              <w:pStyle w:val="CM4"/>
              <w:contextualSpacing/>
              <w:jc w:val="both"/>
              <w:rPr>
                <w:rFonts w:ascii="Times New Roman" w:hAnsi="Times New Roman"/>
                <w:color w:val="000000"/>
                <w:sz w:val="20"/>
                <w:szCs w:val="20"/>
              </w:rPr>
            </w:pPr>
            <w:r w:rsidRPr="00EC780C">
              <w:rPr>
                <w:rFonts w:ascii="Times New Roman" w:hAnsi="Times New Roman"/>
                <w:color w:val="000000"/>
                <w:sz w:val="20"/>
                <w:szCs w:val="20"/>
              </w:rPr>
              <w:t>a) údaje o veľkosti a význame rôznych  sektorov, ktoré patria do rozsahu pôsobnosti tejto smernice vrátane počtu subjektov a osôb a hospodárskeho významu každého sektora;</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F8230C" w:rsidRDefault="00F8230C" w:rsidP="00F8230C">
            <w:pPr>
              <w:pStyle w:val="Normlny0"/>
              <w:widowControl/>
              <w:contextualSpacing/>
              <w:jc w:val="center"/>
            </w:pPr>
            <w:r>
              <w:t>z</w:t>
            </w:r>
            <w:r w:rsidRPr="001902B7">
              <w:t>ákon č. 297/2008 Z. z.</w:t>
            </w:r>
          </w:p>
          <w:p w:rsidR="00F8230C" w:rsidRDefault="00F8230C" w:rsidP="00F8230C">
            <w:pPr>
              <w:pStyle w:val="Normlny0"/>
              <w:widowControl/>
              <w:contextualSpacing/>
              <w:jc w:val="center"/>
            </w:pPr>
            <w:r>
              <w:t>+</w:t>
            </w:r>
          </w:p>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F8230C" w:rsidRDefault="00F8230C" w:rsidP="00F8230C">
            <w:pPr>
              <w:widowControl/>
              <w:contextualSpacing/>
              <w:jc w:val="center"/>
              <w:rPr>
                <w:sz w:val="20"/>
                <w:szCs w:val="20"/>
              </w:rPr>
            </w:pPr>
            <w:r>
              <w:rPr>
                <w:sz w:val="20"/>
                <w:szCs w:val="20"/>
              </w:rPr>
              <w:t>§ 27</w:t>
            </w:r>
          </w:p>
          <w:p w:rsidR="00F8230C" w:rsidRPr="001902B7" w:rsidRDefault="00F8230C" w:rsidP="00F8230C">
            <w:pPr>
              <w:widowControl/>
              <w:contextualSpacing/>
              <w:jc w:val="center"/>
              <w:rPr>
                <w:sz w:val="20"/>
                <w:szCs w:val="20"/>
              </w:rPr>
            </w:pPr>
            <w:r>
              <w:rPr>
                <w:sz w:val="20"/>
                <w:szCs w:val="20"/>
              </w:rPr>
              <w:t>O: 1</w:t>
            </w:r>
          </w:p>
        </w:tc>
        <w:tc>
          <w:tcPr>
            <w:tcW w:w="6520" w:type="dxa"/>
            <w:tcBorders>
              <w:top w:val="single" w:sz="4" w:space="0" w:color="auto"/>
              <w:left w:val="single" w:sz="4" w:space="0" w:color="auto"/>
              <w:bottom w:val="single" w:sz="4" w:space="0" w:color="auto"/>
              <w:right w:val="single" w:sz="4" w:space="0" w:color="auto"/>
            </w:tcBorders>
          </w:tcPr>
          <w:p w:rsidR="00F8230C" w:rsidRPr="001902B7" w:rsidRDefault="00F8230C" w:rsidP="00DE3193">
            <w:pPr>
              <w:contextualSpacing/>
              <w:jc w:val="both"/>
              <w:rPr>
                <w:sz w:val="20"/>
                <w:szCs w:val="20"/>
              </w:rPr>
            </w:pPr>
            <w:r w:rsidRPr="00EC780C">
              <w:rPr>
                <w:sz w:val="20"/>
                <w:szCs w:val="20"/>
              </w:rPr>
              <w:t>Finančná spravodajská jednotka vedie súhrnné štatistické údaje, ktoré zahŕňajú</w:t>
            </w:r>
            <w:r>
              <w:rPr>
                <w:sz w:val="20"/>
                <w:szCs w:val="20"/>
              </w:rPr>
              <w:t xml:space="preserve"> </w:t>
            </w:r>
            <w:r>
              <w:t xml:space="preserve"> </w:t>
            </w:r>
            <w:r w:rsidRPr="00DE3193">
              <w:rPr>
                <w:b/>
                <w:sz w:val="20"/>
                <w:szCs w:val="20"/>
              </w:rPr>
              <w:t>údaje o veľkosti  a význame sektorov patria</w:t>
            </w:r>
            <w:r w:rsidR="00DE3193">
              <w:rPr>
                <w:b/>
                <w:sz w:val="20"/>
                <w:szCs w:val="20"/>
              </w:rPr>
              <w:t>cich do pôsobnosti tohto zákona</w:t>
            </w:r>
            <w:r w:rsidRPr="00DE3193">
              <w:rPr>
                <w:b/>
                <w:sz w:val="20"/>
                <w:szCs w:val="20"/>
              </w:rPr>
              <w:t xml:space="preserve"> vrátane počtu subjektov v týchto sektoroch a hospodárskeho významu každého sektora</w:t>
            </w:r>
            <w:r w:rsidR="00DE3193">
              <w:rPr>
                <w:b/>
                <w:sz w:val="20"/>
                <w:szCs w:val="20"/>
              </w:rPr>
              <w:t>,</w:t>
            </w:r>
            <w:r w:rsidRPr="00944BB2">
              <w:rPr>
                <w:sz w:val="20"/>
                <w:szCs w:val="20"/>
              </w:rPr>
              <w:t xml:space="preserve"> </w:t>
            </w:r>
            <w:r w:rsidRPr="00EC780C">
              <w:rPr>
                <w:sz w:val="20"/>
                <w:szCs w:val="20"/>
              </w:rPr>
              <w:t xml:space="preserve">počet prijatých hlásení o neobvyklých obchodných operáciách, jednotlivé spôsoby spracovania hlásení o neobvyklých obchodných operáciách a ich počet, vrátane počtu prípadov odstúpených orgánom činným v trestnom </w:t>
            </w:r>
            <w:r w:rsidRPr="00EC780C">
              <w:rPr>
                <w:sz w:val="20"/>
                <w:szCs w:val="20"/>
              </w:rPr>
              <w:lastRenderedPageBreak/>
              <w:t>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počet pridelených ľudských zdrojov, údaje o počte a výsledkoch vykonaných kontrol, druhoch uložených sankcií, výšku uložených pokút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Pr>
                <w:sz w:val="20"/>
                <w:szCs w:val="20"/>
              </w:rPr>
              <w:lastRenderedPageBreak/>
              <w:t>U</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jc w:val="both"/>
              <w:rPr>
                <w:sz w:val="20"/>
                <w:szCs w:val="20"/>
              </w:rPr>
            </w:pPr>
          </w:p>
        </w:tc>
      </w:tr>
      <w:tr w:rsidR="00F8230C" w:rsidRPr="001902B7" w:rsidTr="00AF7DD5">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Pr>
                <w:sz w:val="20"/>
                <w:szCs w:val="20"/>
              </w:rPr>
              <w:t>Č: 45</w:t>
            </w:r>
          </w:p>
          <w:p w:rsidR="00F8230C" w:rsidRPr="001902B7" w:rsidRDefault="00F8230C" w:rsidP="00F8230C">
            <w:pPr>
              <w:contextualSpacing/>
              <w:rPr>
                <w:sz w:val="20"/>
                <w:szCs w:val="20"/>
              </w:rPr>
            </w:pPr>
            <w:r>
              <w:rPr>
                <w:sz w:val="20"/>
                <w:szCs w:val="20"/>
              </w:rPr>
              <w:t>O: 5</w:t>
            </w:r>
          </w:p>
          <w:p w:rsidR="00F8230C" w:rsidRPr="001902B7" w:rsidRDefault="00F8230C" w:rsidP="00F8230C">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8230C" w:rsidRPr="001902B7" w:rsidRDefault="00F8230C" w:rsidP="00AF7DD5">
            <w:pPr>
              <w:pStyle w:val="CM4"/>
              <w:contextualSpacing/>
              <w:jc w:val="both"/>
              <w:rPr>
                <w:rFonts w:ascii="Times New Roman" w:hAnsi="Times New Roman"/>
                <w:color w:val="000000"/>
                <w:sz w:val="20"/>
                <w:szCs w:val="20"/>
              </w:rPr>
            </w:pPr>
            <w:r w:rsidRPr="00944BB2">
              <w:rPr>
                <w:rFonts w:ascii="Times New Roman" w:hAnsi="Times New Roman"/>
                <w:color w:val="000000"/>
                <w:sz w:val="20"/>
                <w:szCs w:val="20"/>
              </w:rPr>
              <w:t xml:space="preserve">5. Členské štáty vyžadujú, aby v prípadoch, keď právo tretej krajiny nepovoľuje vykonávanie politík a postupov vyžadovaných  podľa odseku 1, povinné subjekty zabezpečili, aby </w:t>
            </w:r>
            <w:r w:rsidR="00AF7DD5">
              <w:rPr>
                <w:rFonts w:ascii="Times New Roman" w:hAnsi="Times New Roman"/>
                <w:color w:val="000000"/>
                <w:sz w:val="20"/>
                <w:szCs w:val="20"/>
              </w:rPr>
              <w:t>p</w:t>
            </w:r>
            <w:r w:rsidRPr="00944BB2">
              <w:rPr>
                <w:rFonts w:ascii="Times New Roman" w:hAnsi="Times New Roman"/>
                <w:color w:val="000000"/>
                <w:sz w:val="20"/>
                <w:szCs w:val="20"/>
              </w:rPr>
              <w:t>obočky a dcérske spoločnosti vo  väčšinovom vlastníctve v tejto tretej krajine uplatnili dodatočné opatrenia na účinné zvládnutie rizika prania špinavých peňazí alebo financovania terorizmu a informovali príslušné orgány svojho domovského členského štátu. Ak dodatočné opatrenia nie sú dostatočné, príslušné orgány domovského členského štátu vykonajú ďalšie opatrenia dohľadu vrátane toho, že vyžadujú, aby skupina nezakladala alebo aby ukončila obchodné vzťahy, a nevykonávala transakcie a prípadne vyžadujú, aby skupina zatvorila svoje prevádzky v predmetnej tretej krajine.</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F8230C" w:rsidRDefault="00F8230C" w:rsidP="00F8230C">
            <w:pPr>
              <w:pStyle w:val="Normlny0"/>
              <w:widowControl/>
              <w:contextualSpacing/>
              <w:jc w:val="center"/>
            </w:pPr>
            <w:r>
              <w:t>z</w:t>
            </w:r>
            <w:r w:rsidRPr="001902B7">
              <w:t>ákon č. 297/2008 Z. z.</w:t>
            </w:r>
          </w:p>
          <w:p w:rsidR="00F8230C" w:rsidRDefault="00F8230C" w:rsidP="00F8230C">
            <w:pPr>
              <w:pStyle w:val="Normlny0"/>
              <w:widowControl/>
              <w:contextualSpacing/>
              <w:jc w:val="center"/>
            </w:pPr>
            <w:r>
              <w:t>+</w:t>
            </w:r>
          </w:p>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Pr>
                <w:sz w:val="20"/>
                <w:szCs w:val="20"/>
              </w:rPr>
              <w:t>§ 21</w:t>
            </w:r>
          </w:p>
          <w:p w:rsidR="00F8230C" w:rsidRPr="001902B7" w:rsidRDefault="00F8230C" w:rsidP="00F8230C">
            <w:pPr>
              <w:widowControl/>
              <w:contextualSpacing/>
              <w:jc w:val="center"/>
              <w:rPr>
                <w:sz w:val="20"/>
                <w:szCs w:val="20"/>
              </w:rPr>
            </w:pPr>
            <w:r>
              <w:rPr>
                <w:sz w:val="20"/>
                <w:szCs w:val="20"/>
              </w:rPr>
              <w:t>O: 5</w:t>
            </w:r>
          </w:p>
          <w:p w:rsidR="00F8230C" w:rsidRPr="001902B7" w:rsidRDefault="00F8230C" w:rsidP="00F8230C">
            <w:pPr>
              <w:pStyle w:val="Normlny0"/>
              <w:widowControl/>
              <w:contextualSpacing/>
              <w:jc w:val="center"/>
            </w:pPr>
          </w:p>
        </w:tc>
        <w:tc>
          <w:tcPr>
            <w:tcW w:w="6520" w:type="dxa"/>
            <w:tcBorders>
              <w:top w:val="single" w:sz="4" w:space="0" w:color="auto"/>
              <w:left w:val="single" w:sz="4" w:space="0" w:color="auto"/>
              <w:bottom w:val="single" w:sz="4" w:space="0" w:color="auto"/>
              <w:right w:val="single" w:sz="4" w:space="0" w:color="auto"/>
            </w:tcBorders>
          </w:tcPr>
          <w:p w:rsidR="00F8230C" w:rsidRDefault="00F8230C" w:rsidP="00DE3193">
            <w:pPr>
              <w:contextualSpacing/>
              <w:jc w:val="both"/>
              <w:rPr>
                <w:sz w:val="20"/>
                <w:szCs w:val="20"/>
              </w:rPr>
            </w:pPr>
            <w:r w:rsidRPr="00944BB2">
              <w:rPr>
                <w:sz w:val="20"/>
                <w:szCs w:val="20"/>
              </w:rPr>
              <w:t>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w:t>
            </w:r>
            <w:r w:rsidRPr="00944BB2">
              <w:rPr>
                <w:sz w:val="20"/>
                <w:szCs w:val="20"/>
                <w:vertAlign w:val="superscript"/>
              </w:rPr>
              <w:t>50a</w:t>
            </w:r>
            <w:r w:rsidRPr="00DE3193">
              <w:rPr>
                <w:sz w:val="20"/>
                <w:szCs w:val="20"/>
              </w:rPr>
              <w:t>)</w:t>
            </w:r>
            <w:r>
              <w:rPr>
                <w:sz w:val="20"/>
                <w:szCs w:val="20"/>
              </w:rPr>
              <w:t xml:space="preserve"> </w:t>
            </w:r>
            <w:r w:rsidRPr="00DE3193">
              <w:rPr>
                <w:b/>
                <w:sz w:val="20"/>
                <w:szCs w:val="20"/>
              </w:rPr>
              <w:t>Ak dodatočné opatrenia nie sú dostatočné, finančná spravodajská jednotka alebo Národná banka Slovenska vykonajú ďalšie opatrenia dohľadu; môžu najmä vyžadovať, aby pobočka alebo dcérska spoločnosť nezakladala alebo ukončila obchodné vzťahy, nevykonávala obchody, prípadne aby ukončila pôsobenie v danom treťom štáte.</w:t>
            </w:r>
            <w:r w:rsidRPr="00944BB2">
              <w:rPr>
                <w:sz w:val="20"/>
                <w:szCs w:val="20"/>
              </w:rPr>
              <w:t xml:space="preserve"> Ak finančná spravodajská jednotka alebo Národná banka Slovenska zistí, že právne predpisy tretieho štátu nedovoľujú vykonávanie skupinových stratégií, informuje o tom účastníkov Európskeho systému finančného dohľadu.</w:t>
            </w:r>
            <w:r w:rsidRPr="00944BB2">
              <w:rPr>
                <w:sz w:val="20"/>
                <w:szCs w:val="20"/>
                <w:vertAlign w:val="superscript"/>
              </w:rPr>
              <w:t>50b</w:t>
            </w:r>
            <w:r w:rsidRPr="00DE3193">
              <w:rPr>
                <w:sz w:val="20"/>
                <w:szCs w:val="20"/>
              </w:rPr>
              <w:t>)</w:t>
            </w:r>
            <w:r w:rsidRPr="00944BB2">
              <w:rPr>
                <w:sz w:val="20"/>
                <w:szCs w:val="20"/>
              </w:rPr>
              <w:t xml:space="preserve">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p w:rsidR="00896E33" w:rsidRDefault="00896E33" w:rsidP="00DE3193">
            <w:pPr>
              <w:contextualSpacing/>
              <w:jc w:val="both"/>
              <w:rPr>
                <w:sz w:val="20"/>
                <w:szCs w:val="20"/>
              </w:rPr>
            </w:pPr>
          </w:p>
          <w:p w:rsidR="00896E33" w:rsidRPr="00896E33" w:rsidRDefault="00896E33" w:rsidP="00896E33">
            <w:pPr>
              <w:contextualSpacing/>
              <w:jc w:val="both"/>
              <w:rPr>
                <w:sz w:val="16"/>
                <w:szCs w:val="16"/>
              </w:rPr>
            </w:pPr>
            <w:r w:rsidRPr="00896E33">
              <w:rPr>
                <w:sz w:val="16"/>
                <w:szCs w:val="16"/>
                <w:vertAlign w:val="superscript"/>
              </w:rPr>
              <w:t>50a</w:t>
            </w:r>
            <w:r w:rsidRPr="00896E33">
              <w:rPr>
                <w:sz w:val="16"/>
                <w:szCs w:val="16"/>
              </w:rPr>
              <w:t>) 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 5. 2019).</w:t>
            </w:r>
          </w:p>
          <w:p w:rsidR="00896E33" w:rsidRPr="001902B7" w:rsidRDefault="00896E33" w:rsidP="00896E33">
            <w:pPr>
              <w:contextualSpacing/>
              <w:jc w:val="both"/>
              <w:rPr>
                <w:sz w:val="20"/>
                <w:szCs w:val="20"/>
              </w:rPr>
            </w:pPr>
            <w:r w:rsidRPr="00896E33">
              <w:rPr>
                <w:sz w:val="16"/>
                <w:szCs w:val="16"/>
                <w:vertAlign w:val="superscript"/>
              </w:rPr>
              <w:t>50b</w:t>
            </w:r>
            <w:r w:rsidRPr="00896E33">
              <w:rPr>
                <w:sz w:val="16"/>
                <w:szCs w:val="16"/>
              </w:rPr>
              <w:t xml:space="preserve">) Napríklad nariadenie Európskeho parlamentu a Rady (EÚ) č. 1092/2010 z 24. novembra 2010 o makroprudenciálnom dohľade Európskej únie nad finančným systémom a o zriadení Európskeho výboru pre systémové riziká (Ú. v. EÚ L 331, 15. 12. 2010) v platnom znení,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w:t>
            </w:r>
            <w:r w:rsidRPr="00896E33">
              <w:rPr>
                <w:sz w:val="16"/>
                <w:szCs w:val="16"/>
              </w:rPr>
              <w:lastRenderedPageBreak/>
              <w:t>1096/2010 zo 17. novembra 2010, ktorým sa Európskej centrálnej banke udeľujú osobitné úlohy týkajúce sa fungovania Európskeho výboru pre systémové riziká (Ú. v. EÚ L 331, 15. 12. 2010).</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lastRenderedPageBreak/>
              <w:t>Ú</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jc w:val="both"/>
              <w:rPr>
                <w:b w:val="0"/>
                <w:bCs w:val="0"/>
                <w:sz w:val="20"/>
                <w:szCs w:val="20"/>
              </w:rPr>
            </w:pPr>
          </w:p>
        </w:tc>
      </w:tr>
      <w:tr w:rsidR="00F8230C" w:rsidRPr="001902B7" w:rsidTr="00AF7DD5">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Pr>
                <w:sz w:val="20"/>
                <w:szCs w:val="20"/>
              </w:rPr>
              <w:t xml:space="preserve">Č: 56 </w:t>
            </w:r>
          </w:p>
          <w:p w:rsidR="00F8230C" w:rsidRPr="001902B7" w:rsidRDefault="00F8230C" w:rsidP="00F8230C">
            <w:pPr>
              <w:contextualSpacing/>
              <w:rPr>
                <w:sz w:val="20"/>
                <w:szCs w:val="20"/>
              </w:rPr>
            </w:pPr>
            <w:r>
              <w:rPr>
                <w:sz w:val="20"/>
                <w:szCs w:val="20"/>
              </w:rPr>
              <w:t>O</w:t>
            </w:r>
            <w:r w:rsidRPr="001902B7">
              <w:rPr>
                <w:sz w:val="20"/>
                <w:szCs w:val="20"/>
              </w:rPr>
              <w:t xml:space="preserve">: </w:t>
            </w:r>
            <w:r>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F8230C" w:rsidRPr="001902B7" w:rsidRDefault="00F8230C" w:rsidP="00AF7DD5">
            <w:pPr>
              <w:pStyle w:val="CM4"/>
              <w:contextualSpacing/>
              <w:jc w:val="both"/>
              <w:rPr>
                <w:rFonts w:ascii="Times New Roman" w:hAnsi="Times New Roman"/>
                <w:color w:val="000000"/>
                <w:sz w:val="20"/>
                <w:szCs w:val="20"/>
              </w:rPr>
            </w:pPr>
            <w:r w:rsidRPr="00506A69">
              <w:rPr>
                <w:rFonts w:ascii="Times New Roman" w:hAnsi="Times New Roman"/>
                <w:color w:val="000000"/>
                <w:sz w:val="20"/>
                <w:szCs w:val="20"/>
              </w:rPr>
              <w:t>1. Členské štáty od svojich FIU vyžadujú, aby  medzi sebou používali chránené komunikačné kanály, a nabádajú k používaniu FIU.net alebo jej nástupcu.</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Pr>
                <w:sz w:val="20"/>
                <w:szCs w:val="20"/>
              </w:rPr>
              <w:t>§</w:t>
            </w:r>
            <w:r w:rsidR="00AF7DD5">
              <w:rPr>
                <w:sz w:val="20"/>
                <w:szCs w:val="20"/>
              </w:rPr>
              <w:t xml:space="preserve"> </w:t>
            </w:r>
            <w:r>
              <w:rPr>
                <w:sz w:val="20"/>
                <w:szCs w:val="20"/>
              </w:rPr>
              <w:t>28</w:t>
            </w:r>
          </w:p>
          <w:p w:rsidR="00F8230C" w:rsidRPr="001902B7" w:rsidRDefault="00F8230C" w:rsidP="00F8230C">
            <w:pPr>
              <w:widowControl/>
              <w:contextualSpacing/>
              <w:jc w:val="center"/>
              <w:rPr>
                <w:sz w:val="20"/>
                <w:szCs w:val="20"/>
              </w:rPr>
            </w:pPr>
            <w:r>
              <w:rPr>
                <w:sz w:val="20"/>
                <w:szCs w:val="20"/>
              </w:rPr>
              <w:t>O:</w:t>
            </w:r>
            <w:r w:rsidR="00013E54">
              <w:rPr>
                <w:sz w:val="20"/>
                <w:szCs w:val="20"/>
              </w:rPr>
              <w:t xml:space="preserve"> </w:t>
            </w:r>
            <w:r>
              <w:rPr>
                <w:sz w:val="20"/>
                <w:szCs w:val="20"/>
              </w:rPr>
              <w:t>6</w:t>
            </w:r>
          </w:p>
          <w:p w:rsidR="00F8230C" w:rsidRPr="001902B7" w:rsidRDefault="00F8230C" w:rsidP="00F8230C">
            <w:pPr>
              <w:widowControl/>
              <w:contextualSpacing/>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contextualSpacing/>
              <w:jc w:val="both"/>
              <w:rPr>
                <w:sz w:val="20"/>
                <w:szCs w:val="20"/>
              </w:rPr>
            </w:pPr>
            <w:r w:rsidRPr="005B3E83">
              <w:rPr>
                <w:sz w:val="20"/>
                <w:szCs w:val="20"/>
              </w:rPr>
              <w:t>Finančná spravodajská jednotka používa na komunikáciu so zahraničnými orgánmi na to určené chránené komunikačné kanály.</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rPr>
                <w:b w:val="0"/>
                <w:bCs w:val="0"/>
                <w:sz w:val="20"/>
                <w:szCs w:val="20"/>
              </w:rPr>
            </w:pPr>
          </w:p>
        </w:tc>
      </w:tr>
      <w:tr w:rsidR="00F8230C" w:rsidRPr="001902B7" w:rsidTr="00AF7DD5">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Pr>
                <w:sz w:val="20"/>
                <w:szCs w:val="20"/>
              </w:rPr>
              <w:t>Č: 59</w:t>
            </w:r>
          </w:p>
          <w:p w:rsidR="00F8230C" w:rsidRDefault="00F8230C" w:rsidP="00F8230C">
            <w:pPr>
              <w:contextualSpacing/>
              <w:rPr>
                <w:sz w:val="20"/>
                <w:szCs w:val="20"/>
              </w:rPr>
            </w:pPr>
            <w:r>
              <w:rPr>
                <w:sz w:val="20"/>
                <w:szCs w:val="20"/>
              </w:rPr>
              <w:t>O: 2</w:t>
            </w:r>
          </w:p>
          <w:p w:rsidR="00F8230C" w:rsidRPr="001902B7" w:rsidRDefault="00F8230C" w:rsidP="00F8230C">
            <w:pPr>
              <w:contextualSpacing/>
              <w:rPr>
                <w:sz w:val="20"/>
                <w:szCs w:val="20"/>
              </w:rPr>
            </w:pPr>
            <w:r>
              <w:rPr>
                <w:sz w:val="20"/>
                <w:szCs w:val="20"/>
              </w:rPr>
              <w:t>P: e</w:t>
            </w:r>
          </w:p>
          <w:p w:rsidR="00F8230C" w:rsidRPr="001902B7" w:rsidRDefault="00F8230C" w:rsidP="00F8230C">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8230C" w:rsidRDefault="00F8230C" w:rsidP="00AF7DD5">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2. Členské štáty zabezpečia, aby sa v prípadoch uvedených v odseku 1 mohli uplatniť správne sankcie a opatrenia, ktoré zahŕňajú aspoň: </w:t>
            </w:r>
          </w:p>
          <w:p w:rsidR="00F8230C" w:rsidRPr="001902B7" w:rsidRDefault="00F8230C" w:rsidP="00AF7DD5">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e) maximálne správne peňažné sankcie vo  výške aspoň dvojnásobku sumy benefitu vyplývajúceho z porušenia, ak takýto benefit možno určiť, alebo najmenej 1 000 000 EUR.</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F8230C" w:rsidRDefault="00F8230C" w:rsidP="00F8230C">
            <w:pPr>
              <w:pStyle w:val="Normlny0"/>
              <w:widowControl/>
              <w:contextualSpacing/>
              <w:jc w:val="center"/>
            </w:pPr>
            <w:r>
              <w:t>z</w:t>
            </w:r>
            <w:r w:rsidRPr="001902B7">
              <w:t>ákon č. 297/2008 Z. z.</w:t>
            </w:r>
          </w:p>
          <w:p w:rsidR="00F8230C" w:rsidRDefault="00F8230C" w:rsidP="00F8230C">
            <w:pPr>
              <w:pStyle w:val="Normlny0"/>
              <w:widowControl/>
              <w:contextualSpacing/>
              <w:jc w:val="center"/>
            </w:pPr>
            <w:r>
              <w:t>+</w:t>
            </w:r>
          </w:p>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Pr>
                <w:sz w:val="20"/>
                <w:szCs w:val="20"/>
              </w:rPr>
              <w:t>§ 33</w:t>
            </w:r>
          </w:p>
          <w:p w:rsidR="00F8230C" w:rsidRPr="001902B7" w:rsidRDefault="00F8230C" w:rsidP="00F8230C">
            <w:pPr>
              <w:widowControl/>
              <w:contextualSpacing/>
              <w:jc w:val="center"/>
              <w:rPr>
                <w:sz w:val="20"/>
                <w:szCs w:val="20"/>
              </w:rPr>
            </w:pPr>
            <w:r>
              <w:rPr>
                <w:sz w:val="20"/>
                <w:szCs w:val="20"/>
              </w:rPr>
              <w:t>O: 1</w:t>
            </w:r>
          </w:p>
          <w:p w:rsidR="00F8230C" w:rsidRPr="001902B7" w:rsidRDefault="00F8230C" w:rsidP="00F8230C">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F8230C" w:rsidRPr="001902B7" w:rsidRDefault="00F8230C" w:rsidP="00DE3193">
            <w:pPr>
              <w:contextualSpacing/>
              <w:jc w:val="both"/>
              <w:rPr>
                <w:sz w:val="20"/>
                <w:szCs w:val="20"/>
              </w:rPr>
            </w:pPr>
            <w:r w:rsidRPr="005B3E83">
              <w:rPr>
                <w:sz w:val="20"/>
                <w:szCs w:val="20"/>
              </w:rPr>
              <w:t>Finančná spravodajská jednotka môže uložiť právnickej osobe a fyzickej osobe - podnikateľovi pokutu</w:t>
            </w:r>
            <w:r>
              <w:rPr>
                <w:sz w:val="20"/>
                <w:szCs w:val="20"/>
              </w:rPr>
              <w:t xml:space="preserve"> </w:t>
            </w:r>
            <w:r w:rsidRPr="005B3E83">
              <w:rPr>
                <w:sz w:val="20"/>
                <w:szCs w:val="20"/>
              </w:rPr>
              <w:t xml:space="preserve">vo výške aspoň dvojnásobku sumy benefitu vyplývajúceho z porušenia, ak je takýto benefit možné určiť alebo </w:t>
            </w:r>
            <w:r w:rsidR="00DE3193" w:rsidRPr="00DE3193">
              <w:rPr>
                <w:b/>
                <w:sz w:val="20"/>
                <w:szCs w:val="20"/>
              </w:rPr>
              <w:t>do výšky dvojnásobku neoprávneného prospechu, ak je takýto neoprávnený prospech možné určiť alebo do 1000 000 eur, podľa toho, ktorá z týchto hodnôt je vyššia</w:t>
            </w:r>
            <w:r w:rsidRPr="005B3E83">
              <w:rPr>
                <w:sz w:val="20"/>
                <w:szCs w:val="20"/>
              </w:rPr>
              <w:t>, ktorá nesplní alebo poruší niektorú z povinností ustanovených týmto zákonom v § 10 ods. 1 až 4 a 6, § 12, § 14 až 17, § 19 ods. 2 až 4, § 21, § 24 ods. 1 a 2, ak v odseku 2 nie je ustanovené inak.</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jc w:val="both"/>
              <w:rPr>
                <w:b w:val="0"/>
                <w:bCs w:val="0"/>
                <w:sz w:val="20"/>
                <w:szCs w:val="20"/>
              </w:rPr>
            </w:pPr>
          </w:p>
        </w:tc>
      </w:tr>
      <w:tr w:rsidR="00F8230C" w:rsidRPr="001902B7" w:rsidTr="00013E54">
        <w:trPr>
          <w:trHeight w:val="4244"/>
        </w:trPr>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sidRPr="001902B7">
              <w:rPr>
                <w:sz w:val="20"/>
                <w:szCs w:val="20"/>
              </w:rPr>
              <w:t>Č</w:t>
            </w:r>
            <w:r>
              <w:rPr>
                <w:sz w:val="20"/>
                <w:szCs w:val="20"/>
              </w:rPr>
              <w:t>: 59</w:t>
            </w:r>
          </w:p>
          <w:p w:rsidR="00F8230C" w:rsidRDefault="00F8230C" w:rsidP="00F8230C">
            <w:pPr>
              <w:contextualSpacing/>
              <w:rPr>
                <w:sz w:val="20"/>
                <w:szCs w:val="20"/>
              </w:rPr>
            </w:pPr>
            <w:r>
              <w:rPr>
                <w:sz w:val="20"/>
                <w:szCs w:val="20"/>
              </w:rPr>
              <w:t>O: 3</w:t>
            </w:r>
          </w:p>
          <w:p w:rsidR="00F8230C" w:rsidRPr="001902B7" w:rsidRDefault="00F8230C" w:rsidP="00F8230C">
            <w:pPr>
              <w:contextualSpacing/>
              <w:rPr>
                <w:sz w:val="20"/>
                <w:szCs w:val="20"/>
              </w:rPr>
            </w:pPr>
            <w:r>
              <w:rPr>
                <w:sz w:val="20"/>
                <w:szCs w:val="20"/>
              </w:rPr>
              <w:t>P: a</w:t>
            </w:r>
          </w:p>
          <w:p w:rsidR="00F8230C" w:rsidRPr="001902B7" w:rsidRDefault="00F8230C" w:rsidP="00F8230C">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8230C" w:rsidRDefault="00F8230C" w:rsidP="00F8230C">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3. Členské štáty zabezpečia, aby sa odchylne od odseku 2 písm. e) mohli v prípade, že dotknutý povinný subjekt je úverovou inštitúciou alebo finančnou inštitúciou, uplatniť aj tieto sankcie: </w:t>
            </w:r>
          </w:p>
          <w:p w:rsidR="00F8230C" w:rsidRPr="001902B7" w:rsidRDefault="00F8230C" w:rsidP="00AF7DD5">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a) v prípade právnickej osoby, maximálne administratívne peňažné sankcie vo výške aspoň 5 000 000 EUR alebo 10 % celkového ročného obratu podľa poslednej dostupnej účtovnej závierky schválenej riadiacim orgánom; ak je povinný subjekt materským podnikom alebo dcérskou spoločnosťou materského podniku, ktorý </w:t>
            </w:r>
            <w:r w:rsidR="00AF7DD5">
              <w:rPr>
                <w:rFonts w:ascii="Times New Roman" w:hAnsi="Times New Roman"/>
                <w:color w:val="000000"/>
                <w:sz w:val="20"/>
                <w:szCs w:val="20"/>
              </w:rPr>
              <w:t xml:space="preserve">musí </w:t>
            </w:r>
            <w:r w:rsidRPr="005B3E83">
              <w:rPr>
                <w:rFonts w:ascii="Times New Roman" w:hAnsi="Times New Roman"/>
                <w:color w:val="000000"/>
                <w:sz w:val="20"/>
                <w:szCs w:val="20"/>
              </w:rPr>
              <w:t>vypracúvať konsolidovanú účtovnú závierku v súlade s  článkom 22 smernice 2013/34/EÚ, príslušný celkový ročný obrat je celkový ročný obrat  alebo zodpovedajúci typ príjmu v súlade s  príslušnými smernicami o účtovníctve podľa poslednej dostupnej konsolidovanej účtovnej závierky schválenej riadiacim orgánom konečného materského podniku;</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F8230C" w:rsidRPr="001902B7" w:rsidRDefault="00F8230C" w:rsidP="00F8230C">
            <w:pPr>
              <w:pStyle w:val="Normlny0"/>
              <w:widowControl/>
              <w:contextualSpacing/>
              <w:jc w:val="center"/>
            </w:pPr>
            <w:r>
              <w:t>návrh zákona</w:t>
            </w: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jc w:val="center"/>
            </w:pPr>
          </w:p>
          <w:p w:rsidR="00F8230C" w:rsidRPr="001902B7" w:rsidRDefault="00F8230C" w:rsidP="00F8230C">
            <w:pPr>
              <w:pStyle w:val="Normlny0"/>
              <w:widowControl/>
              <w:contextualSpacing/>
            </w:pPr>
          </w:p>
        </w:tc>
        <w:tc>
          <w:tcPr>
            <w:tcW w:w="709"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Pr>
                <w:sz w:val="20"/>
                <w:szCs w:val="20"/>
              </w:rPr>
              <w:t>§ 33</w:t>
            </w:r>
          </w:p>
          <w:p w:rsidR="00F8230C" w:rsidRPr="001902B7" w:rsidRDefault="00F8230C" w:rsidP="00F8230C">
            <w:pPr>
              <w:widowControl/>
              <w:contextualSpacing/>
              <w:jc w:val="center"/>
              <w:rPr>
                <w:sz w:val="20"/>
                <w:szCs w:val="20"/>
              </w:rPr>
            </w:pPr>
            <w:r>
              <w:rPr>
                <w:sz w:val="20"/>
                <w:szCs w:val="20"/>
              </w:rPr>
              <w:t>O: 2</w:t>
            </w: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F8230C" w:rsidRPr="001902B7" w:rsidRDefault="00896E33" w:rsidP="00F8230C">
            <w:pPr>
              <w:contextualSpacing/>
              <w:jc w:val="both"/>
              <w:rPr>
                <w:sz w:val="20"/>
                <w:szCs w:val="20"/>
              </w:rPr>
            </w:pPr>
            <w:r w:rsidRPr="00896E33">
              <w:rPr>
                <w:sz w:val="20"/>
                <w:szCs w:val="20"/>
              </w:rPr>
              <w:t>Finančná spravodajská jednotka môže uložiť banke alebo finančnej inštitúcii za nesplnenie alebo porušenie niektorej z povinností ustanovených v odseku 1 pokutu do výšky 5 000 000 eur alebo do výšky 10 % celkového ročného obratu podľa poslednej riadnej účtovnej závierky, podľa toho, ktorá z týchto hodnôt je vyššia; ak je banka alebo finančná inštitúcia súčasťou konsolidovaného celku, pokutu vo výške 10 % celkového ročného obratu podľa poslednej konsolidovanej účtovnej závierky konsolidovaného celku, ktorého je banka alebo finančná inštitúcia súčasťou.</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rPr>
                <w:b w:val="0"/>
                <w:bCs w:val="0"/>
                <w:sz w:val="20"/>
                <w:szCs w:val="20"/>
              </w:rPr>
            </w:pPr>
          </w:p>
        </w:tc>
      </w:tr>
      <w:tr w:rsidR="00F8230C" w:rsidRPr="001902B7" w:rsidTr="00AF7DD5">
        <w:trPr>
          <w:trHeight w:val="558"/>
        </w:trPr>
        <w:tc>
          <w:tcPr>
            <w:tcW w:w="752" w:type="dxa"/>
            <w:tcBorders>
              <w:top w:val="single" w:sz="4" w:space="0" w:color="auto"/>
              <w:left w:val="single" w:sz="12" w:space="0" w:color="auto"/>
              <w:bottom w:val="single" w:sz="4" w:space="0" w:color="auto"/>
              <w:right w:val="single" w:sz="4" w:space="0" w:color="auto"/>
            </w:tcBorders>
          </w:tcPr>
          <w:p w:rsidR="00F8230C" w:rsidRPr="001902B7" w:rsidRDefault="00F8230C" w:rsidP="00F8230C">
            <w:pPr>
              <w:contextualSpacing/>
              <w:rPr>
                <w:sz w:val="20"/>
                <w:szCs w:val="20"/>
              </w:rPr>
            </w:pPr>
            <w:r>
              <w:rPr>
                <w:sz w:val="20"/>
                <w:szCs w:val="20"/>
              </w:rPr>
              <w:t>Č: 60</w:t>
            </w:r>
          </w:p>
          <w:p w:rsidR="00F8230C" w:rsidRPr="001902B7" w:rsidRDefault="00F8230C" w:rsidP="00F8230C">
            <w:pPr>
              <w:contextualSpacing/>
              <w:rPr>
                <w:sz w:val="20"/>
                <w:szCs w:val="20"/>
              </w:rPr>
            </w:pPr>
            <w:r>
              <w:rPr>
                <w:sz w:val="20"/>
                <w:szCs w:val="20"/>
              </w:rPr>
              <w:t>O: 1</w:t>
            </w:r>
          </w:p>
          <w:p w:rsidR="00F8230C" w:rsidRPr="001902B7" w:rsidRDefault="00F8230C" w:rsidP="00F8230C">
            <w:pPr>
              <w:contextualSpacing/>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8230C" w:rsidRPr="001902B7" w:rsidRDefault="00F8230C" w:rsidP="00AF7DD5">
            <w:pPr>
              <w:pStyle w:val="CM4"/>
              <w:contextualSpacing/>
              <w:jc w:val="both"/>
              <w:rPr>
                <w:rFonts w:ascii="Times New Roman" w:hAnsi="Times New Roman"/>
                <w:color w:val="000000"/>
                <w:sz w:val="20"/>
                <w:szCs w:val="20"/>
              </w:rPr>
            </w:pPr>
            <w:r w:rsidRPr="001B31F2">
              <w:rPr>
                <w:rFonts w:ascii="Times New Roman" w:hAnsi="Times New Roman"/>
                <w:color w:val="000000"/>
                <w:sz w:val="20"/>
                <w:szCs w:val="20"/>
              </w:rPr>
              <w:t xml:space="preserve">1. Členské štáty zabezpečia, aby rozhodnutie, ktorým sa ukladá správna sankcia alebo opatrenie za porušenie vnútro­štátnych ustanovení transponujúcich túto smernicu, voči ktorému nebolo podané odvolanie, zverejnili príslušné orgány na svojich oficiálnych webových stránkach bezodkladne po tom, ako bola osoba, </w:t>
            </w:r>
            <w:r w:rsidRPr="001B31F2">
              <w:rPr>
                <w:rFonts w:ascii="Times New Roman" w:hAnsi="Times New Roman"/>
                <w:color w:val="000000"/>
                <w:sz w:val="20"/>
                <w:szCs w:val="20"/>
              </w:rPr>
              <w:lastRenderedPageBreak/>
              <w:t>ktorej sa sankcia udelila, informovaná o  uvedenom rozhodnutí. Zverejnenie zahŕňa aspoň informácie o type  a povahe porušenia, ako aj o totožnosti zodpovednej osoby. Členské štáty nie sú  povinné uplatňovať tento pododsek na  rozhodnutia, ktorými sa ukladajú opatrenia vyšetrovacej povahy.</w:t>
            </w:r>
          </w:p>
        </w:tc>
        <w:tc>
          <w:tcPr>
            <w:tcW w:w="709" w:type="dxa"/>
            <w:tcBorders>
              <w:top w:val="single" w:sz="4" w:space="0" w:color="auto"/>
              <w:left w:val="single" w:sz="4" w:space="0" w:color="auto"/>
              <w:bottom w:val="single" w:sz="4" w:space="0" w:color="auto"/>
              <w:right w:val="single" w:sz="12" w:space="0" w:color="auto"/>
            </w:tcBorders>
          </w:tcPr>
          <w:p w:rsidR="00F8230C" w:rsidRPr="001902B7" w:rsidRDefault="00F8230C" w:rsidP="00F8230C">
            <w:pPr>
              <w:widowControl/>
              <w:contextualSpacing/>
              <w:jc w:val="center"/>
              <w:rPr>
                <w:sz w:val="20"/>
                <w:szCs w:val="20"/>
              </w:rPr>
            </w:pPr>
            <w:r w:rsidRPr="001902B7">
              <w:rPr>
                <w:sz w:val="20"/>
                <w:szCs w:val="20"/>
              </w:rPr>
              <w:lastRenderedPageBreak/>
              <w:t>N</w:t>
            </w:r>
          </w:p>
        </w:tc>
        <w:tc>
          <w:tcPr>
            <w:tcW w:w="850" w:type="dxa"/>
            <w:tcBorders>
              <w:top w:val="single" w:sz="4" w:space="0" w:color="auto"/>
              <w:left w:val="nil"/>
              <w:bottom w:val="single" w:sz="4" w:space="0" w:color="auto"/>
              <w:right w:val="single" w:sz="4" w:space="0" w:color="auto"/>
            </w:tcBorders>
          </w:tcPr>
          <w:p w:rsidR="00F8230C" w:rsidRDefault="00F8230C" w:rsidP="00F8230C">
            <w:pPr>
              <w:pStyle w:val="Normlny0"/>
              <w:widowControl/>
              <w:contextualSpacing/>
              <w:jc w:val="center"/>
            </w:pPr>
            <w:r>
              <w:t>z</w:t>
            </w:r>
            <w:r w:rsidRPr="001902B7">
              <w:t>ákon č. 297/2008 Z. z.</w:t>
            </w:r>
          </w:p>
          <w:p w:rsidR="00F8230C" w:rsidRDefault="00F8230C" w:rsidP="00F8230C">
            <w:pPr>
              <w:pStyle w:val="Normlny0"/>
              <w:widowControl/>
              <w:contextualSpacing/>
              <w:jc w:val="center"/>
            </w:pPr>
            <w:r>
              <w:t>+</w:t>
            </w:r>
          </w:p>
          <w:p w:rsidR="00F8230C"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Pr>
                <w:sz w:val="20"/>
                <w:szCs w:val="20"/>
              </w:rPr>
              <w:t>§ 33a</w:t>
            </w:r>
          </w:p>
          <w:p w:rsidR="00F8230C" w:rsidRPr="001902B7" w:rsidRDefault="00AF7DD5" w:rsidP="00F8230C">
            <w:pPr>
              <w:widowControl/>
              <w:contextualSpacing/>
              <w:jc w:val="center"/>
              <w:rPr>
                <w:sz w:val="20"/>
                <w:szCs w:val="20"/>
              </w:rPr>
            </w:pPr>
            <w:r>
              <w:rPr>
                <w:sz w:val="20"/>
                <w:szCs w:val="20"/>
              </w:rPr>
              <w:t>O</w:t>
            </w:r>
            <w:r w:rsidR="00F8230C">
              <w:rPr>
                <w:sz w:val="20"/>
                <w:szCs w:val="20"/>
              </w:rPr>
              <w:t>: 1</w:t>
            </w: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p w:rsidR="00F8230C" w:rsidRPr="001902B7" w:rsidRDefault="00F8230C" w:rsidP="00F8230C">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F8230C" w:rsidRPr="001902B7" w:rsidRDefault="00F8230C" w:rsidP="00896E33">
            <w:pPr>
              <w:contextualSpacing/>
              <w:jc w:val="both"/>
              <w:rPr>
                <w:color w:val="000000"/>
                <w:sz w:val="20"/>
                <w:szCs w:val="20"/>
              </w:rPr>
            </w:pPr>
            <w:r w:rsidRPr="001B31F2">
              <w:rPr>
                <w:color w:val="000000"/>
                <w:sz w:val="20"/>
                <w:szCs w:val="20"/>
              </w:rPr>
              <w:lastRenderedPageBreak/>
              <w:t xml:space="preserve">Finančná spravodajská jednotka </w:t>
            </w:r>
            <w:r w:rsidRPr="00896E33">
              <w:rPr>
                <w:b/>
                <w:color w:val="000000"/>
                <w:sz w:val="20"/>
                <w:szCs w:val="20"/>
              </w:rPr>
              <w:t>uloží</w:t>
            </w:r>
            <w:r w:rsidRPr="001B31F2">
              <w:rPr>
                <w:color w:val="000000"/>
                <w:sz w:val="20"/>
                <w:szCs w:val="20"/>
              </w:rPr>
              <w:t xml:space="preserve"> právnickej osobe a fyzickej osobe - podnikateľovi popri pokute za správne delikty uvedené v § 33 ods. 1 a 2 aj sankciu zverejnenia právoplatného rozhodnutia o uložení sankcie za správny delikt</w:t>
            </w:r>
            <w:r w:rsidR="00896E33" w:rsidRPr="00896E33">
              <w:rPr>
                <w:b/>
                <w:color w:val="000000"/>
                <w:sz w:val="20"/>
                <w:szCs w:val="20"/>
              </w:rPr>
              <w:t>, ak v odseku 3 nie je ustanovené inak</w:t>
            </w:r>
            <w:r w:rsidRPr="001B31F2">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8230C" w:rsidRPr="001902B7" w:rsidRDefault="00F8230C" w:rsidP="00F8230C">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F8230C" w:rsidRPr="001902B7" w:rsidRDefault="00F8230C" w:rsidP="00F8230C">
            <w:pPr>
              <w:pStyle w:val="Nadpis1"/>
              <w:widowControl/>
              <w:contextualSpacing/>
              <w:rPr>
                <w:b w:val="0"/>
                <w:bCs w:val="0"/>
                <w:sz w:val="20"/>
                <w:szCs w:val="20"/>
              </w:rPr>
            </w:pPr>
          </w:p>
        </w:tc>
      </w:tr>
    </w:tbl>
    <w:p w:rsidR="001B7551" w:rsidRPr="001902B7" w:rsidRDefault="001B7551" w:rsidP="00026812">
      <w:pPr>
        <w:contextualSpacing/>
        <w:rPr>
          <w:sz w:val="20"/>
          <w:szCs w:val="20"/>
        </w:rPr>
      </w:pPr>
    </w:p>
    <w:p w:rsidR="00030FF0" w:rsidRPr="00641336" w:rsidRDefault="00030FF0" w:rsidP="00026812">
      <w:pPr>
        <w:contextualSpacing/>
        <w:jc w:val="both"/>
        <w:rPr>
          <w:sz w:val="16"/>
          <w:szCs w:val="16"/>
        </w:rPr>
      </w:pPr>
      <w:r w:rsidRPr="00641336">
        <w:rPr>
          <w:sz w:val="16"/>
          <w:szCs w:val="16"/>
        </w:rPr>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641336" w:rsidTr="00C37511">
        <w:trPr>
          <w:trHeight w:val="2029"/>
        </w:trPr>
        <w:tc>
          <w:tcPr>
            <w:tcW w:w="2373" w:type="dxa"/>
          </w:tcPr>
          <w:p w:rsidR="00030FF0" w:rsidRPr="00641336" w:rsidRDefault="00030FF0" w:rsidP="00026812">
            <w:pPr>
              <w:pStyle w:val="Normlny0"/>
              <w:contextualSpacing/>
              <w:jc w:val="both"/>
              <w:rPr>
                <w:b/>
                <w:sz w:val="16"/>
                <w:szCs w:val="16"/>
              </w:rPr>
            </w:pPr>
            <w:r w:rsidRPr="00641336">
              <w:rPr>
                <w:b/>
                <w:sz w:val="16"/>
                <w:szCs w:val="16"/>
              </w:rPr>
              <w:t xml:space="preserve">   V stĺpci (1):</w:t>
            </w:r>
          </w:p>
          <w:p w:rsidR="00030FF0" w:rsidRPr="00641336" w:rsidRDefault="00030FF0" w:rsidP="00026812">
            <w:pPr>
              <w:contextualSpacing/>
              <w:jc w:val="both"/>
              <w:rPr>
                <w:sz w:val="16"/>
                <w:szCs w:val="16"/>
              </w:rPr>
            </w:pPr>
            <w:r w:rsidRPr="00641336">
              <w:rPr>
                <w:sz w:val="16"/>
                <w:szCs w:val="16"/>
              </w:rPr>
              <w:t xml:space="preserve">   Č – článok</w:t>
            </w:r>
          </w:p>
          <w:p w:rsidR="00030FF0" w:rsidRPr="00641336" w:rsidRDefault="00030FF0" w:rsidP="00026812">
            <w:pPr>
              <w:contextualSpacing/>
              <w:jc w:val="both"/>
              <w:rPr>
                <w:sz w:val="16"/>
                <w:szCs w:val="16"/>
              </w:rPr>
            </w:pPr>
            <w:r w:rsidRPr="00641336">
              <w:rPr>
                <w:sz w:val="16"/>
                <w:szCs w:val="16"/>
              </w:rPr>
              <w:t xml:space="preserve">   O – odsek</w:t>
            </w:r>
          </w:p>
          <w:p w:rsidR="00030FF0" w:rsidRPr="00641336" w:rsidRDefault="00030FF0" w:rsidP="00026812">
            <w:pPr>
              <w:contextualSpacing/>
              <w:jc w:val="both"/>
              <w:rPr>
                <w:sz w:val="16"/>
                <w:szCs w:val="16"/>
              </w:rPr>
            </w:pPr>
            <w:r w:rsidRPr="00641336">
              <w:rPr>
                <w:sz w:val="16"/>
                <w:szCs w:val="16"/>
              </w:rPr>
              <w:t xml:space="preserve">   B – bod </w:t>
            </w:r>
          </w:p>
          <w:p w:rsidR="00030FF0" w:rsidRPr="00641336" w:rsidRDefault="00030FF0" w:rsidP="00026812">
            <w:pPr>
              <w:contextualSpacing/>
              <w:jc w:val="both"/>
              <w:rPr>
                <w:sz w:val="16"/>
                <w:szCs w:val="16"/>
              </w:rPr>
            </w:pPr>
            <w:r w:rsidRPr="00641336">
              <w:rPr>
                <w:sz w:val="16"/>
                <w:szCs w:val="16"/>
              </w:rPr>
              <w:t xml:space="preserve">   V – veta</w:t>
            </w:r>
          </w:p>
          <w:p w:rsidR="00030FF0" w:rsidRPr="00641336" w:rsidRDefault="00030FF0" w:rsidP="00026812">
            <w:pPr>
              <w:contextualSpacing/>
              <w:jc w:val="both"/>
              <w:rPr>
                <w:sz w:val="16"/>
                <w:szCs w:val="16"/>
              </w:rPr>
            </w:pPr>
            <w:r w:rsidRPr="00641336">
              <w:rPr>
                <w:sz w:val="16"/>
                <w:szCs w:val="16"/>
              </w:rPr>
              <w:t xml:space="preserve">   </w:t>
            </w:r>
            <w:r w:rsidR="00013E54">
              <w:rPr>
                <w:sz w:val="16"/>
                <w:szCs w:val="16"/>
              </w:rPr>
              <w:t>P – písmeno (číslo)</w:t>
            </w:r>
          </w:p>
        </w:tc>
        <w:tc>
          <w:tcPr>
            <w:tcW w:w="3722" w:type="dxa"/>
            <w:hideMark/>
          </w:tcPr>
          <w:p w:rsidR="00030FF0" w:rsidRPr="00641336" w:rsidRDefault="00030FF0" w:rsidP="00026812">
            <w:pPr>
              <w:pStyle w:val="Normlny0"/>
              <w:contextualSpacing/>
              <w:jc w:val="both"/>
              <w:rPr>
                <w:b/>
                <w:sz w:val="16"/>
                <w:szCs w:val="16"/>
              </w:rPr>
            </w:pPr>
            <w:r w:rsidRPr="00641336">
              <w:rPr>
                <w:b/>
                <w:sz w:val="16"/>
                <w:szCs w:val="16"/>
              </w:rPr>
              <w:t>V stĺpci (3):</w:t>
            </w:r>
          </w:p>
          <w:p w:rsidR="00030FF0" w:rsidRPr="00641336" w:rsidRDefault="00030FF0" w:rsidP="00026812">
            <w:pPr>
              <w:contextualSpacing/>
              <w:jc w:val="both"/>
              <w:rPr>
                <w:sz w:val="16"/>
                <w:szCs w:val="16"/>
              </w:rPr>
            </w:pPr>
            <w:r w:rsidRPr="00641336">
              <w:rPr>
                <w:sz w:val="16"/>
                <w:szCs w:val="16"/>
              </w:rPr>
              <w:t>N – bežná transpozícia</w:t>
            </w:r>
          </w:p>
          <w:p w:rsidR="00030FF0" w:rsidRPr="00641336" w:rsidRDefault="00030FF0" w:rsidP="00026812">
            <w:pPr>
              <w:contextualSpacing/>
              <w:jc w:val="both"/>
              <w:rPr>
                <w:sz w:val="16"/>
                <w:szCs w:val="16"/>
              </w:rPr>
            </w:pPr>
            <w:r w:rsidRPr="00641336">
              <w:rPr>
                <w:sz w:val="16"/>
                <w:szCs w:val="16"/>
              </w:rPr>
              <w:t>O – transpozícia s možnosťou voľby</w:t>
            </w:r>
          </w:p>
          <w:p w:rsidR="00030FF0" w:rsidRPr="00641336" w:rsidRDefault="00030FF0" w:rsidP="00026812">
            <w:pPr>
              <w:contextualSpacing/>
              <w:jc w:val="both"/>
              <w:rPr>
                <w:sz w:val="16"/>
                <w:szCs w:val="16"/>
              </w:rPr>
            </w:pPr>
            <w:r w:rsidRPr="00641336">
              <w:rPr>
                <w:sz w:val="16"/>
                <w:szCs w:val="16"/>
              </w:rPr>
              <w:t>D – transpozícia podľa úvahy (dobrovoľná)</w:t>
            </w:r>
          </w:p>
          <w:p w:rsidR="00030FF0" w:rsidRPr="00641336" w:rsidRDefault="00030FF0" w:rsidP="00026812">
            <w:pPr>
              <w:contextualSpacing/>
              <w:jc w:val="both"/>
              <w:rPr>
                <w:sz w:val="16"/>
                <w:szCs w:val="16"/>
              </w:rPr>
            </w:pPr>
            <w:r w:rsidRPr="00641336">
              <w:rPr>
                <w:sz w:val="16"/>
                <w:szCs w:val="16"/>
              </w:rPr>
              <w:t>n.a. – transpozícia sa neuskutočňuje</w:t>
            </w:r>
          </w:p>
        </w:tc>
        <w:tc>
          <w:tcPr>
            <w:tcW w:w="2304" w:type="dxa"/>
            <w:hideMark/>
          </w:tcPr>
          <w:p w:rsidR="00030FF0" w:rsidRPr="00641336" w:rsidRDefault="00030FF0" w:rsidP="00026812">
            <w:pPr>
              <w:pStyle w:val="Normlny0"/>
              <w:contextualSpacing/>
              <w:jc w:val="both"/>
              <w:rPr>
                <w:b/>
                <w:sz w:val="16"/>
                <w:szCs w:val="16"/>
              </w:rPr>
            </w:pPr>
            <w:r w:rsidRPr="00641336">
              <w:rPr>
                <w:b/>
                <w:sz w:val="16"/>
                <w:szCs w:val="16"/>
              </w:rPr>
              <w:t>V stĺpci (5):</w:t>
            </w:r>
          </w:p>
          <w:p w:rsidR="00030FF0" w:rsidRPr="00641336" w:rsidRDefault="00030FF0" w:rsidP="00026812">
            <w:pPr>
              <w:contextualSpacing/>
              <w:jc w:val="both"/>
              <w:rPr>
                <w:sz w:val="16"/>
                <w:szCs w:val="16"/>
              </w:rPr>
            </w:pPr>
            <w:r w:rsidRPr="00641336">
              <w:rPr>
                <w:sz w:val="16"/>
                <w:szCs w:val="16"/>
              </w:rPr>
              <w:t>Č – článok</w:t>
            </w:r>
          </w:p>
          <w:p w:rsidR="00030FF0" w:rsidRPr="00641336" w:rsidRDefault="00030FF0" w:rsidP="00026812">
            <w:pPr>
              <w:contextualSpacing/>
              <w:jc w:val="both"/>
              <w:rPr>
                <w:sz w:val="16"/>
                <w:szCs w:val="16"/>
              </w:rPr>
            </w:pPr>
            <w:r w:rsidRPr="00641336">
              <w:rPr>
                <w:sz w:val="16"/>
                <w:szCs w:val="16"/>
              </w:rPr>
              <w:t>§ – paragraf</w:t>
            </w:r>
          </w:p>
          <w:p w:rsidR="00030FF0" w:rsidRPr="00641336" w:rsidRDefault="00030FF0" w:rsidP="00026812">
            <w:pPr>
              <w:contextualSpacing/>
              <w:jc w:val="both"/>
              <w:rPr>
                <w:sz w:val="16"/>
                <w:szCs w:val="16"/>
              </w:rPr>
            </w:pPr>
            <w:r w:rsidRPr="00641336">
              <w:rPr>
                <w:sz w:val="16"/>
                <w:szCs w:val="16"/>
              </w:rPr>
              <w:t>O – odsek</w:t>
            </w:r>
          </w:p>
          <w:p w:rsidR="00030FF0" w:rsidRPr="00641336" w:rsidRDefault="00030FF0" w:rsidP="00026812">
            <w:pPr>
              <w:contextualSpacing/>
              <w:jc w:val="both"/>
              <w:rPr>
                <w:sz w:val="16"/>
                <w:szCs w:val="16"/>
              </w:rPr>
            </w:pPr>
            <w:r w:rsidRPr="00641336">
              <w:rPr>
                <w:sz w:val="16"/>
                <w:szCs w:val="16"/>
              </w:rPr>
              <w:t>V – veta</w:t>
            </w:r>
          </w:p>
          <w:p w:rsidR="00030FF0" w:rsidRPr="00641336" w:rsidRDefault="00030FF0" w:rsidP="00026812">
            <w:pPr>
              <w:contextualSpacing/>
              <w:jc w:val="both"/>
              <w:rPr>
                <w:sz w:val="16"/>
                <w:szCs w:val="16"/>
              </w:rPr>
            </w:pPr>
            <w:r w:rsidRPr="00641336">
              <w:rPr>
                <w:sz w:val="16"/>
                <w:szCs w:val="16"/>
              </w:rPr>
              <w:t>P – písmeno (číslo)</w:t>
            </w:r>
          </w:p>
        </w:tc>
        <w:tc>
          <w:tcPr>
            <w:tcW w:w="7406" w:type="dxa"/>
            <w:hideMark/>
          </w:tcPr>
          <w:p w:rsidR="00030FF0" w:rsidRPr="00641336" w:rsidRDefault="00030FF0" w:rsidP="00026812">
            <w:pPr>
              <w:pStyle w:val="Normlny0"/>
              <w:contextualSpacing/>
              <w:jc w:val="both"/>
              <w:rPr>
                <w:b/>
                <w:sz w:val="16"/>
                <w:szCs w:val="16"/>
              </w:rPr>
            </w:pPr>
            <w:r w:rsidRPr="00641336">
              <w:rPr>
                <w:b/>
                <w:sz w:val="16"/>
                <w:szCs w:val="16"/>
              </w:rPr>
              <w:t>V stĺpci (7):</w:t>
            </w:r>
          </w:p>
          <w:p w:rsidR="00030FF0" w:rsidRPr="00641336" w:rsidRDefault="00030FF0" w:rsidP="00026812">
            <w:pPr>
              <w:contextualSpacing/>
              <w:jc w:val="both"/>
              <w:rPr>
                <w:sz w:val="16"/>
                <w:szCs w:val="16"/>
              </w:rPr>
            </w:pPr>
            <w:r w:rsidRPr="00641336">
              <w:rPr>
                <w:sz w:val="16"/>
                <w:szCs w:val="16"/>
              </w:rPr>
              <w:t>Ú – úplná zhoda</w:t>
            </w:r>
          </w:p>
          <w:p w:rsidR="00030FF0" w:rsidRPr="00641336" w:rsidRDefault="00030FF0" w:rsidP="00026812">
            <w:pPr>
              <w:contextualSpacing/>
              <w:jc w:val="both"/>
              <w:rPr>
                <w:sz w:val="16"/>
                <w:szCs w:val="16"/>
              </w:rPr>
            </w:pPr>
            <w:r w:rsidRPr="00641336">
              <w:rPr>
                <w:sz w:val="16"/>
                <w:szCs w:val="16"/>
              </w:rPr>
              <w:t>Č – čiastočná zhoda</w:t>
            </w:r>
          </w:p>
          <w:p w:rsidR="00030FF0" w:rsidRPr="00641336" w:rsidRDefault="00030FF0" w:rsidP="00026812">
            <w:pPr>
              <w:contextualSpacing/>
              <w:jc w:val="both"/>
              <w:rPr>
                <w:sz w:val="16"/>
                <w:szCs w:val="16"/>
              </w:rPr>
            </w:pPr>
            <w:r w:rsidRPr="00641336">
              <w:rPr>
                <w:sz w:val="16"/>
                <w:szCs w:val="16"/>
              </w:rPr>
              <w:t>Ž – žiadna zhoda (ak nebola dosiahnutá ani čiast. ani úplná zhoda alebo k prebratiu dôjde v budúcnosti)</w:t>
            </w:r>
          </w:p>
          <w:p w:rsidR="00030FF0" w:rsidRPr="00641336" w:rsidRDefault="00030FF0" w:rsidP="00026812">
            <w:pPr>
              <w:contextualSpacing/>
              <w:jc w:val="both"/>
              <w:rPr>
                <w:sz w:val="16"/>
                <w:szCs w:val="16"/>
              </w:rPr>
            </w:pPr>
            <w:r w:rsidRPr="00641336">
              <w:rPr>
                <w:sz w:val="16"/>
                <w:szCs w:val="16"/>
              </w:rPr>
              <w:t>n.a. – neaplikovateľnosť (ak sa ustanovenie smernice netýka SR alebo nie je potrebné ho prebrať)</w:t>
            </w:r>
          </w:p>
        </w:tc>
      </w:tr>
    </w:tbl>
    <w:p w:rsidR="00245F1E" w:rsidRPr="00C0722A" w:rsidRDefault="00245F1E" w:rsidP="00896E33">
      <w:pPr>
        <w:contextualSpacing/>
        <w:rPr>
          <w:sz w:val="20"/>
          <w:szCs w:val="20"/>
        </w:rPr>
      </w:pPr>
    </w:p>
    <w:sectPr w:rsidR="00245F1E" w:rsidRPr="00C0722A" w:rsidSect="00BB28A1">
      <w:footerReference w:type="default" r:id="rId8"/>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9D" w:rsidRDefault="00F46C9D" w:rsidP="007949E7">
      <w:r>
        <w:separator/>
      </w:r>
    </w:p>
  </w:endnote>
  <w:endnote w:type="continuationSeparator" w:id="0">
    <w:p w:rsidR="00F46C9D" w:rsidRDefault="00F46C9D"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0C" w:rsidRPr="00F8230C" w:rsidRDefault="00F8230C" w:rsidP="00F8230C">
    <w:pPr>
      <w:pStyle w:val="Pta"/>
      <w:jc w:val="center"/>
      <w:rPr>
        <w:sz w:val="16"/>
        <w:szCs w:val="16"/>
      </w:rPr>
    </w:pPr>
    <w:r w:rsidRPr="00F8230C">
      <w:rPr>
        <w:sz w:val="16"/>
        <w:szCs w:val="16"/>
      </w:rPr>
      <w:fldChar w:fldCharType="begin"/>
    </w:r>
    <w:r w:rsidRPr="00F8230C">
      <w:rPr>
        <w:sz w:val="16"/>
        <w:szCs w:val="16"/>
      </w:rPr>
      <w:instrText>PAGE   \* MERGEFORMAT</w:instrText>
    </w:r>
    <w:r w:rsidRPr="00F8230C">
      <w:rPr>
        <w:sz w:val="16"/>
        <w:szCs w:val="16"/>
      </w:rPr>
      <w:fldChar w:fldCharType="separate"/>
    </w:r>
    <w:r w:rsidR="004A4B14">
      <w:rPr>
        <w:noProof/>
        <w:sz w:val="16"/>
        <w:szCs w:val="16"/>
      </w:rPr>
      <w:t>2</w:t>
    </w:r>
    <w:r w:rsidRPr="00F823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9D" w:rsidRDefault="00F46C9D" w:rsidP="007949E7">
      <w:r>
        <w:separator/>
      </w:r>
    </w:p>
  </w:footnote>
  <w:footnote w:type="continuationSeparator" w:id="0">
    <w:p w:rsidR="00F46C9D" w:rsidRDefault="00F46C9D"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D427F8"/>
    <w:multiLevelType w:val="hybridMultilevel"/>
    <w:tmpl w:val="D0B89C76"/>
    <w:lvl w:ilvl="0" w:tplc="6C3A8696">
      <w:start w:val="1"/>
      <w:numFmt w:val="decimal"/>
      <w:suff w:val="nothing"/>
      <w:lvlText w:val="%1."/>
      <w:lvlJc w:val="left"/>
      <w:pPr>
        <w:ind w:firstLine="709"/>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124B2F"/>
    <w:multiLevelType w:val="multilevel"/>
    <w:tmpl w:val="FDA8CA7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0C6079EF"/>
    <w:multiLevelType w:val="hybridMultilevel"/>
    <w:tmpl w:val="B9FA5D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A4595C"/>
    <w:multiLevelType w:val="hybridMultilevel"/>
    <w:tmpl w:val="D326DC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A736C"/>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09B2A8E"/>
    <w:multiLevelType w:val="hybridMultilevel"/>
    <w:tmpl w:val="4B5C7BEA"/>
    <w:lvl w:ilvl="0" w:tplc="FA761D7A">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303380"/>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1C702101"/>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CB169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3301A9"/>
    <w:multiLevelType w:val="multilevel"/>
    <w:tmpl w:val="A29CC2B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58D2404"/>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3" w15:restartNumberingAfterBreak="0">
    <w:nsid w:val="44967E62"/>
    <w:multiLevelType w:val="hybridMultilevel"/>
    <w:tmpl w:val="793C871A"/>
    <w:lvl w:ilvl="0" w:tplc="9FCE2D54">
      <w:start w:val="1"/>
      <w:numFmt w:val="decimal"/>
      <w:suff w:val="nothing"/>
      <w:lvlText w:val="%1."/>
      <w:lvlJc w:val="left"/>
      <w:pPr>
        <w:ind w:left="-769" w:firstLine="769"/>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472D4533"/>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C5511DE"/>
    <w:multiLevelType w:val="hybridMultilevel"/>
    <w:tmpl w:val="876A4F8A"/>
    <w:lvl w:ilvl="0" w:tplc="FD9A7F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E06CB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0581019"/>
    <w:multiLevelType w:val="multilevel"/>
    <w:tmpl w:val="6FC668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8" w15:restartNumberingAfterBreak="0">
    <w:nsid w:val="537C7EC5"/>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4A63EF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77735D3"/>
    <w:multiLevelType w:val="multilevel"/>
    <w:tmpl w:val="4FC6CFB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15:restartNumberingAfterBreak="0">
    <w:nsid w:val="5C1F50CD"/>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D085626"/>
    <w:multiLevelType w:val="hybridMultilevel"/>
    <w:tmpl w:val="DC7AACFE"/>
    <w:lvl w:ilvl="0" w:tplc="F196C7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D5D75F6"/>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4" w15:restartNumberingAfterBreak="0">
    <w:nsid w:val="5F127BA4"/>
    <w:multiLevelType w:val="hybridMultilevel"/>
    <w:tmpl w:val="DD9404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F965199"/>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3A32F9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28" w15:restartNumberingAfterBreak="0">
    <w:nsid w:val="72306D0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30B30E9"/>
    <w:multiLevelType w:val="hybridMultilevel"/>
    <w:tmpl w:val="98CC6326"/>
    <w:lvl w:ilvl="0" w:tplc="A4B07E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F11FF1"/>
    <w:multiLevelType w:val="hybridMultilevel"/>
    <w:tmpl w:val="3306F000"/>
    <w:lvl w:ilvl="0" w:tplc="1FC8A5DA">
      <w:start w:val="1"/>
      <w:numFmt w:val="decimal"/>
      <w:suff w:val="nothing"/>
      <w:lvlText w:val="%1."/>
      <w:lvlJc w:val="left"/>
      <w:pPr>
        <w:ind w:firstLine="709"/>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1" w15:restartNumberingAfterBreak="0">
    <w:nsid w:val="77677C4A"/>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2" w15:restartNumberingAfterBreak="0">
    <w:nsid w:val="77BE78CC"/>
    <w:multiLevelType w:val="multilevel"/>
    <w:tmpl w:val="113A1B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B083002"/>
    <w:multiLevelType w:val="hybridMultilevel"/>
    <w:tmpl w:val="D58621D2"/>
    <w:lvl w:ilvl="0" w:tplc="041B0017">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EB240B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2"/>
  </w:num>
  <w:num w:numId="2">
    <w:abstractNumId w:val="27"/>
  </w:num>
  <w:num w:numId="3">
    <w:abstractNumId w:val="22"/>
  </w:num>
  <w:num w:numId="4">
    <w:abstractNumId w:val="8"/>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num>
  <w:num w:numId="10">
    <w:abstractNumId w:val="29"/>
  </w:num>
  <w:num w:numId="11">
    <w:abstractNumId w:val="3"/>
  </w:num>
  <w:num w:numId="12">
    <w:abstractNumId w:val="4"/>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1"/>
  </w:num>
  <w:num w:numId="18">
    <w:abstractNumId w:val="31"/>
  </w:num>
  <w:num w:numId="19">
    <w:abstractNumId w:val="6"/>
  </w:num>
  <w:num w:numId="20">
    <w:abstractNumId w:val="28"/>
  </w:num>
  <w:num w:numId="21">
    <w:abstractNumId w:val="34"/>
  </w:num>
  <w:num w:numId="22">
    <w:abstractNumId w:val="17"/>
  </w:num>
  <w:num w:numId="23">
    <w:abstractNumId w:val="2"/>
  </w:num>
  <w:num w:numId="24">
    <w:abstractNumId w:val="16"/>
  </w:num>
  <w:num w:numId="25">
    <w:abstractNumId w:val="20"/>
  </w:num>
  <w:num w:numId="26">
    <w:abstractNumId w:val="32"/>
  </w:num>
  <w:num w:numId="27">
    <w:abstractNumId w:val="5"/>
  </w:num>
  <w:num w:numId="28">
    <w:abstractNumId w:val="9"/>
  </w:num>
  <w:num w:numId="29">
    <w:abstractNumId w:val="14"/>
  </w:num>
  <w:num w:numId="30">
    <w:abstractNumId w:val="10"/>
  </w:num>
  <w:num w:numId="31">
    <w:abstractNumId w:val="26"/>
  </w:num>
  <w:num w:numId="32">
    <w:abstractNumId w:val="25"/>
  </w:num>
  <w:num w:numId="33">
    <w:abstractNumId w:val="11"/>
  </w:num>
  <w:num w:numId="34">
    <w:abstractNumId w:val="19"/>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1034B"/>
    <w:rsid w:val="00010446"/>
    <w:rsid w:val="000133BB"/>
    <w:rsid w:val="00013E54"/>
    <w:rsid w:val="00022D84"/>
    <w:rsid w:val="00023155"/>
    <w:rsid w:val="00025F82"/>
    <w:rsid w:val="00026812"/>
    <w:rsid w:val="00030FF0"/>
    <w:rsid w:val="00043674"/>
    <w:rsid w:val="00051EA3"/>
    <w:rsid w:val="00056169"/>
    <w:rsid w:val="00076533"/>
    <w:rsid w:val="00080B20"/>
    <w:rsid w:val="00091DE2"/>
    <w:rsid w:val="00094E36"/>
    <w:rsid w:val="00096801"/>
    <w:rsid w:val="00096C5E"/>
    <w:rsid w:val="000976FD"/>
    <w:rsid w:val="000A0525"/>
    <w:rsid w:val="000A0893"/>
    <w:rsid w:val="000A67E3"/>
    <w:rsid w:val="000B1938"/>
    <w:rsid w:val="000B2CF2"/>
    <w:rsid w:val="000B4427"/>
    <w:rsid w:val="000B4DF0"/>
    <w:rsid w:val="000C0CF5"/>
    <w:rsid w:val="000C474C"/>
    <w:rsid w:val="000C5B28"/>
    <w:rsid w:val="000C682B"/>
    <w:rsid w:val="000E0E23"/>
    <w:rsid w:val="000E36C8"/>
    <w:rsid w:val="000F5782"/>
    <w:rsid w:val="000F6767"/>
    <w:rsid w:val="000F6AC0"/>
    <w:rsid w:val="00100746"/>
    <w:rsid w:val="00115F2C"/>
    <w:rsid w:val="001202A5"/>
    <w:rsid w:val="00121608"/>
    <w:rsid w:val="00125CCC"/>
    <w:rsid w:val="0013370F"/>
    <w:rsid w:val="00144F66"/>
    <w:rsid w:val="00146BF5"/>
    <w:rsid w:val="00150641"/>
    <w:rsid w:val="00151272"/>
    <w:rsid w:val="001534BF"/>
    <w:rsid w:val="0015371F"/>
    <w:rsid w:val="00157022"/>
    <w:rsid w:val="001614A9"/>
    <w:rsid w:val="001628DE"/>
    <w:rsid w:val="001679D1"/>
    <w:rsid w:val="0018080D"/>
    <w:rsid w:val="00186680"/>
    <w:rsid w:val="001902B7"/>
    <w:rsid w:val="001962B6"/>
    <w:rsid w:val="001A1AE8"/>
    <w:rsid w:val="001A2267"/>
    <w:rsid w:val="001A7F7B"/>
    <w:rsid w:val="001B31F2"/>
    <w:rsid w:val="001B7551"/>
    <w:rsid w:val="001C29D4"/>
    <w:rsid w:val="001C3E1B"/>
    <w:rsid w:val="001C601A"/>
    <w:rsid w:val="001C734C"/>
    <w:rsid w:val="001D47C7"/>
    <w:rsid w:val="001F401E"/>
    <w:rsid w:val="001F71C2"/>
    <w:rsid w:val="00200783"/>
    <w:rsid w:val="00202DD1"/>
    <w:rsid w:val="002065FA"/>
    <w:rsid w:val="00230B53"/>
    <w:rsid w:val="00231042"/>
    <w:rsid w:val="00237508"/>
    <w:rsid w:val="00243B3D"/>
    <w:rsid w:val="00245F1E"/>
    <w:rsid w:val="002558EA"/>
    <w:rsid w:val="00256039"/>
    <w:rsid w:val="002643F8"/>
    <w:rsid w:val="002673A9"/>
    <w:rsid w:val="002739C1"/>
    <w:rsid w:val="002821BA"/>
    <w:rsid w:val="002828F1"/>
    <w:rsid w:val="00283404"/>
    <w:rsid w:val="00284124"/>
    <w:rsid w:val="00285AD6"/>
    <w:rsid w:val="00294095"/>
    <w:rsid w:val="002B47A8"/>
    <w:rsid w:val="002B6EB5"/>
    <w:rsid w:val="002D4A6F"/>
    <w:rsid w:val="002E0A9C"/>
    <w:rsid w:val="002F2B77"/>
    <w:rsid w:val="002F4D1C"/>
    <w:rsid w:val="002F6981"/>
    <w:rsid w:val="003001A7"/>
    <w:rsid w:val="003110C9"/>
    <w:rsid w:val="00316CCF"/>
    <w:rsid w:val="00320BD0"/>
    <w:rsid w:val="00331F1E"/>
    <w:rsid w:val="00333042"/>
    <w:rsid w:val="00335BF2"/>
    <w:rsid w:val="00342687"/>
    <w:rsid w:val="00355349"/>
    <w:rsid w:val="00362A1C"/>
    <w:rsid w:val="00380A2F"/>
    <w:rsid w:val="0038162A"/>
    <w:rsid w:val="00391745"/>
    <w:rsid w:val="00391A6D"/>
    <w:rsid w:val="00392096"/>
    <w:rsid w:val="003B5636"/>
    <w:rsid w:val="003B6018"/>
    <w:rsid w:val="003C320B"/>
    <w:rsid w:val="003C6B94"/>
    <w:rsid w:val="003D5F1E"/>
    <w:rsid w:val="003E6CB2"/>
    <w:rsid w:val="003E6D9F"/>
    <w:rsid w:val="003E7844"/>
    <w:rsid w:val="003F6756"/>
    <w:rsid w:val="0040488E"/>
    <w:rsid w:val="004201F5"/>
    <w:rsid w:val="00420BFC"/>
    <w:rsid w:val="00421084"/>
    <w:rsid w:val="00421873"/>
    <w:rsid w:val="00424C29"/>
    <w:rsid w:val="00425EE7"/>
    <w:rsid w:val="00427BB2"/>
    <w:rsid w:val="00440D31"/>
    <w:rsid w:val="0044346D"/>
    <w:rsid w:val="00450231"/>
    <w:rsid w:val="00452F53"/>
    <w:rsid w:val="00455E03"/>
    <w:rsid w:val="0045789F"/>
    <w:rsid w:val="0046431C"/>
    <w:rsid w:val="00481CAC"/>
    <w:rsid w:val="004861FE"/>
    <w:rsid w:val="0049584D"/>
    <w:rsid w:val="00495F8E"/>
    <w:rsid w:val="00496353"/>
    <w:rsid w:val="004A2929"/>
    <w:rsid w:val="004A293D"/>
    <w:rsid w:val="004A4B14"/>
    <w:rsid w:val="004B0C8D"/>
    <w:rsid w:val="004B4A51"/>
    <w:rsid w:val="004C0A19"/>
    <w:rsid w:val="004C5870"/>
    <w:rsid w:val="004C6E90"/>
    <w:rsid w:val="004D17B9"/>
    <w:rsid w:val="004D1E51"/>
    <w:rsid w:val="004D786C"/>
    <w:rsid w:val="004E186B"/>
    <w:rsid w:val="004E6AE1"/>
    <w:rsid w:val="00506A69"/>
    <w:rsid w:val="0051435A"/>
    <w:rsid w:val="00515DFE"/>
    <w:rsid w:val="00516FEF"/>
    <w:rsid w:val="00525592"/>
    <w:rsid w:val="00526109"/>
    <w:rsid w:val="00530FBC"/>
    <w:rsid w:val="005345B4"/>
    <w:rsid w:val="005434A0"/>
    <w:rsid w:val="00551FE4"/>
    <w:rsid w:val="005545AC"/>
    <w:rsid w:val="00556147"/>
    <w:rsid w:val="005676E2"/>
    <w:rsid w:val="005865F3"/>
    <w:rsid w:val="005918C1"/>
    <w:rsid w:val="00593E11"/>
    <w:rsid w:val="005940BE"/>
    <w:rsid w:val="005A3B31"/>
    <w:rsid w:val="005B3602"/>
    <w:rsid w:val="005B3E83"/>
    <w:rsid w:val="005B6162"/>
    <w:rsid w:val="005B7357"/>
    <w:rsid w:val="005B7BF7"/>
    <w:rsid w:val="005D763C"/>
    <w:rsid w:val="005E1CA7"/>
    <w:rsid w:val="005E72A2"/>
    <w:rsid w:val="005E795C"/>
    <w:rsid w:val="005F7F2D"/>
    <w:rsid w:val="006012C2"/>
    <w:rsid w:val="00605703"/>
    <w:rsid w:val="00607E6E"/>
    <w:rsid w:val="00610209"/>
    <w:rsid w:val="00631C80"/>
    <w:rsid w:val="006366D4"/>
    <w:rsid w:val="00641336"/>
    <w:rsid w:val="00641899"/>
    <w:rsid w:val="00664AC6"/>
    <w:rsid w:val="00667AA5"/>
    <w:rsid w:val="006836E1"/>
    <w:rsid w:val="0069191D"/>
    <w:rsid w:val="0069534E"/>
    <w:rsid w:val="006A05E6"/>
    <w:rsid w:val="006A0667"/>
    <w:rsid w:val="006B0362"/>
    <w:rsid w:val="006B1966"/>
    <w:rsid w:val="006B35E0"/>
    <w:rsid w:val="006C3644"/>
    <w:rsid w:val="006C7EE1"/>
    <w:rsid w:val="006D58D8"/>
    <w:rsid w:val="006D6FF6"/>
    <w:rsid w:val="006E32CB"/>
    <w:rsid w:val="006E3697"/>
    <w:rsid w:val="006F2395"/>
    <w:rsid w:val="006F32DC"/>
    <w:rsid w:val="006F62A8"/>
    <w:rsid w:val="00704F14"/>
    <w:rsid w:val="007064FD"/>
    <w:rsid w:val="007146D4"/>
    <w:rsid w:val="00714B55"/>
    <w:rsid w:val="0071612C"/>
    <w:rsid w:val="00726228"/>
    <w:rsid w:val="00732981"/>
    <w:rsid w:val="00751FF0"/>
    <w:rsid w:val="007629E8"/>
    <w:rsid w:val="00762BD7"/>
    <w:rsid w:val="00762C5F"/>
    <w:rsid w:val="00774D34"/>
    <w:rsid w:val="00783097"/>
    <w:rsid w:val="007949E7"/>
    <w:rsid w:val="007A17EE"/>
    <w:rsid w:val="007A47F9"/>
    <w:rsid w:val="007A5A00"/>
    <w:rsid w:val="007B7649"/>
    <w:rsid w:val="007C6852"/>
    <w:rsid w:val="007C754A"/>
    <w:rsid w:val="007D1152"/>
    <w:rsid w:val="007D1E42"/>
    <w:rsid w:val="007D2689"/>
    <w:rsid w:val="007D6DFC"/>
    <w:rsid w:val="0080613E"/>
    <w:rsid w:val="008077AE"/>
    <w:rsid w:val="008101AF"/>
    <w:rsid w:val="008276AA"/>
    <w:rsid w:val="008364F8"/>
    <w:rsid w:val="00845B52"/>
    <w:rsid w:val="0085144D"/>
    <w:rsid w:val="00853CDD"/>
    <w:rsid w:val="00854623"/>
    <w:rsid w:val="0086144E"/>
    <w:rsid w:val="008620A7"/>
    <w:rsid w:val="00862B81"/>
    <w:rsid w:val="0087704D"/>
    <w:rsid w:val="00880273"/>
    <w:rsid w:val="00882767"/>
    <w:rsid w:val="008849E5"/>
    <w:rsid w:val="00890667"/>
    <w:rsid w:val="00893177"/>
    <w:rsid w:val="008947CC"/>
    <w:rsid w:val="00896E33"/>
    <w:rsid w:val="008A1603"/>
    <w:rsid w:val="008B3AF1"/>
    <w:rsid w:val="008B6B46"/>
    <w:rsid w:val="008C10F4"/>
    <w:rsid w:val="008D087D"/>
    <w:rsid w:val="008D0C2A"/>
    <w:rsid w:val="008D2E3B"/>
    <w:rsid w:val="008D6852"/>
    <w:rsid w:val="008E59D4"/>
    <w:rsid w:val="008F501C"/>
    <w:rsid w:val="008F68B6"/>
    <w:rsid w:val="00902F4D"/>
    <w:rsid w:val="00907AA2"/>
    <w:rsid w:val="0091707A"/>
    <w:rsid w:val="00922B72"/>
    <w:rsid w:val="00922E4F"/>
    <w:rsid w:val="009435CF"/>
    <w:rsid w:val="00944AE7"/>
    <w:rsid w:val="00944BB2"/>
    <w:rsid w:val="00945589"/>
    <w:rsid w:val="00950074"/>
    <w:rsid w:val="0095484D"/>
    <w:rsid w:val="0095597C"/>
    <w:rsid w:val="009561E0"/>
    <w:rsid w:val="00957073"/>
    <w:rsid w:val="00961C6A"/>
    <w:rsid w:val="00962AA3"/>
    <w:rsid w:val="009719C6"/>
    <w:rsid w:val="00975E12"/>
    <w:rsid w:val="009809F3"/>
    <w:rsid w:val="009950D2"/>
    <w:rsid w:val="009A7CB8"/>
    <w:rsid w:val="009B043A"/>
    <w:rsid w:val="009C3BD9"/>
    <w:rsid w:val="009D2789"/>
    <w:rsid w:val="009E0BA8"/>
    <w:rsid w:val="009E1BBC"/>
    <w:rsid w:val="009E4149"/>
    <w:rsid w:val="009E4810"/>
    <w:rsid w:val="009F3506"/>
    <w:rsid w:val="009F56E0"/>
    <w:rsid w:val="00A02ED6"/>
    <w:rsid w:val="00A0702F"/>
    <w:rsid w:val="00A104E1"/>
    <w:rsid w:val="00A216BD"/>
    <w:rsid w:val="00A21B94"/>
    <w:rsid w:val="00A250EC"/>
    <w:rsid w:val="00A31BC3"/>
    <w:rsid w:val="00A462A8"/>
    <w:rsid w:val="00A47790"/>
    <w:rsid w:val="00A61E7E"/>
    <w:rsid w:val="00A62C52"/>
    <w:rsid w:val="00A718CF"/>
    <w:rsid w:val="00A73E15"/>
    <w:rsid w:val="00A77DCB"/>
    <w:rsid w:val="00AA5B83"/>
    <w:rsid w:val="00AB1BA2"/>
    <w:rsid w:val="00AB20BD"/>
    <w:rsid w:val="00AB38E4"/>
    <w:rsid w:val="00AE02B0"/>
    <w:rsid w:val="00AE0E50"/>
    <w:rsid w:val="00AE2B88"/>
    <w:rsid w:val="00AE5445"/>
    <w:rsid w:val="00AF69F3"/>
    <w:rsid w:val="00AF7DD5"/>
    <w:rsid w:val="00B02B09"/>
    <w:rsid w:val="00B166F0"/>
    <w:rsid w:val="00B223D9"/>
    <w:rsid w:val="00B22F4C"/>
    <w:rsid w:val="00B250C5"/>
    <w:rsid w:val="00B33DAC"/>
    <w:rsid w:val="00B350D2"/>
    <w:rsid w:val="00B37F04"/>
    <w:rsid w:val="00B40264"/>
    <w:rsid w:val="00B41521"/>
    <w:rsid w:val="00B4165D"/>
    <w:rsid w:val="00B43834"/>
    <w:rsid w:val="00B460FF"/>
    <w:rsid w:val="00B5647B"/>
    <w:rsid w:val="00B576E4"/>
    <w:rsid w:val="00B73983"/>
    <w:rsid w:val="00B80BBD"/>
    <w:rsid w:val="00B8267B"/>
    <w:rsid w:val="00B82A0D"/>
    <w:rsid w:val="00B8325F"/>
    <w:rsid w:val="00BB077B"/>
    <w:rsid w:val="00BB1E20"/>
    <w:rsid w:val="00BB28A1"/>
    <w:rsid w:val="00BB48AC"/>
    <w:rsid w:val="00BB59BB"/>
    <w:rsid w:val="00BB7457"/>
    <w:rsid w:val="00BC2420"/>
    <w:rsid w:val="00BC2BEF"/>
    <w:rsid w:val="00BC5285"/>
    <w:rsid w:val="00BC617E"/>
    <w:rsid w:val="00BD0F02"/>
    <w:rsid w:val="00BE406D"/>
    <w:rsid w:val="00BF3669"/>
    <w:rsid w:val="00BF4885"/>
    <w:rsid w:val="00C00BE2"/>
    <w:rsid w:val="00C023A3"/>
    <w:rsid w:val="00C03269"/>
    <w:rsid w:val="00C0722A"/>
    <w:rsid w:val="00C078BD"/>
    <w:rsid w:val="00C1539D"/>
    <w:rsid w:val="00C154F3"/>
    <w:rsid w:val="00C159BE"/>
    <w:rsid w:val="00C16B01"/>
    <w:rsid w:val="00C220F7"/>
    <w:rsid w:val="00C37511"/>
    <w:rsid w:val="00C544EF"/>
    <w:rsid w:val="00C65A9C"/>
    <w:rsid w:val="00C70AF1"/>
    <w:rsid w:val="00C73085"/>
    <w:rsid w:val="00C7480E"/>
    <w:rsid w:val="00C81D17"/>
    <w:rsid w:val="00C81E4A"/>
    <w:rsid w:val="00C821A8"/>
    <w:rsid w:val="00C839A7"/>
    <w:rsid w:val="00C8582D"/>
    <w:rsid w:val="00C94B09"/>
    <w:rsid w:val="00C96643"/>
    <w:rsid w:val="00C978E1"/>
    <w:rsid w:val="00CB055B"/>
    <w:rsid w:val="00CC0A1D"/>
    <w:rsid w:val="00CC3020"/>
    <w:rsid w:val="00CC7E31"/>
    <w:rsid w:val="00CD12D5"/>
    <w:rsid w:val="00CD17D0"/>
    <w:rsid w:val="00CD6007"/>
    <w:rsid w:val="00CD7788"/>
    <w:rsid w:val="00CE59F1"/>
    <w:rsid w:val="00CF4AD2"/>
    <w:rsid w:val="00D03E42"/>
    <w:rsid w:val="00D13B00"/>
    <w:rsid w:val="00D201E0"/>
    <w:rsid w:val="00D36B15"/>
    <w:rsid w:val="00D4059E"/>
    <w:rsid w:val="00D41E23"/>
    <w:rsid w:val="00D4286E"/>
    <w:rsid w:val="00D4386B"/>
    <w:rsid w:val="00D44FD2"/>
    <w:rsid w:val="00D476FA"/>
    <w:rsid w:val="00D47B93"/>
    <w:rsid w:val="00D5016A"/>
    <w:rsid w:val="00D63239"/>
    <w:rsid w:val="00D72558"/>
    <w:rsid w:val="00D85203"/>
    <w:rsid w:val="00D90CDF"/>
    <w:rsid w:val="00DA0B4E"/>
    <w:rsid w:val="00DA0FC3"/>
    <w:rsid w:val="00DA73EC"/>
    <w:rsid w:val="00DC583D"/>
    <w:rsid w:val="00DD2E7A"/>
    <w:rsid w:val="00DD4259"/>
    <w:rsid w:val="00DE1394"/>
    <w:rsid w:val="00DE3074"/>
    <w:rsid w:val="00DE3193"/>
    <w:rsid w:val="00E0287B"/>
    <w:rsid w:val="00E05AF9"/>
    <w:rsid w:val="00E07359"/>
    <w:rsid w:val="00E11EA0"/>
    <w:rsid w:val="00E14199"/>
    <w:rsid w:val="00E201FB"/>
    <w:rsid w:val="00E30307"/>
    <w:rsid w:val="00E35931"/>
    <w:rsid w:val="00E43B23"/>
    <w:rsid w:val="00E45975"/>
    <w:rsid w:val="00E51A19"/>
    <w:rsid w:val="00E54BFB"/>
    <w:rsid w:val="00E57335"/>
    <w:rsid w:val="00E711C6"/>
    <w:rsid w:val="00E92A54"/>
    <w:rsid w:val="00E92CC2"/>
    <w:rsid w:val="00E935EB"/>
    <w:rsid w:val="00EB0B68"/>
    <w:rsid w:val="00EB2935"/>
    <w:rsid w:val="00EC4133"/>
    <w:rsid w:val="00EC780C"/>
    <w:rsid w:val="00ED3105"/>
    <w:rsid w:val="00ED511F"/>
    <w:rsid w:val="00EE31B1"/>
    <w:rsid w:val="00EE3AF6"/>
    <w:rsid w:val="00EE4F99"/>
    <w:rsid w:val="00F07A31"/>
    <w:rsid w:val="00F13B5C"/>
    <w:rsid w:val="00F140DC"/>
    <w:rsid w:val="00F22059"/>
    <w:rsid w:val="00F241DC"/>
    <w:rsid w:val="00F32093"/>
    <w:rsid w:val="00F41951"/>
    <w:rsid w:val="00F4580B"/>
    <w:rsid w:val="00F46C9D"/>
    <w:rsid w:val="00F51505"/>
    <w:rsid w:val="00F643D2"/>
    <w:rsid w:val="00F7080F"/>
    <w:rsid w:val="00F73449"/>
    <w:rsid w:val="00F77482"/>
    <w:rsid w:val="00F77E8E"/>
    <w:rsid w:val="00F8078E"/>
    <w:rsid w:val="00F8230C"/>
    <w:rsid w:val="00FA4818"/>
    <w:rsid w:val="00FC3DE3"/>
    <w:rsid w:val="00FD2B8A"/>
    <w:rsid w:val="00FD733A"/>
    <w:rsid w:val="00FE574C"/>
    <w:rsid w:val="00FF5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70A956-6CA5-44AF-907C-38FBF2A7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551"/>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Pta">
    <w:name w:val="footer"/>
    <w:basedOn w:val="Normlny"/>
    <w:link w:val="PtaChar"/>
    <w:uiPriority w:val="99"/>
    <w:rsid w:val="00F8230C"/>
    <w:pPr>
      <w:tabs>
        <w:tab w:val="center" w:pos="4536"/>
        <w:tab w:val="right" w:pos="9072"/>
      </w:tabs>
    </w:pPr>
  </w:style>
  <w:style w:type="character" w:customStyle="1" w:styleId="PtaChar">
    <w:name w:val="Päta Char"/>
    <w:basedOn w:val="Predvolenpsmoodseku"/>
    <w:link w:val="Pta"/>
    <w:uiPriority w:val="99"/>
    <w:locked/>
    <w:rsid w:val="00F8230C"/>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872812">
      <w:marLeft w:val="0"/>
      <w:marRight w:val="0"/>
      <w:marTop w:val="0"/>
      <w:marBottom w:val="0"/>
      <w:divBdr>
        <w:top w:val="none" w:sz="0" w:space="0" w:color="auto"/>
        <w:left w:val="none" w:sz="0" w:space="0" w:color="auto"/>
        <w:bottom w:val="none" w:sz="0" w:space="0" w:color="auto"/>
        <w:right w:val="none" w:sz="0" w:space="0" w:color="auto"/>
      </w:divBdr>
    </w:div>
    <w:div w:id="1851872813">
      <w:marLeft w:val="0"/>
      <w:marRight w:val="0"/>
      <w:marTop w:val="0"/>
      <w:marBottom w:val="0"/>
      <w:divBdr>
        <w:top w:val="none" w:sz="0" w:space="0" w:color="auto"/>
        <w:left w:val="none" w:sz="0" w:space="0" w:color="auto"/>
        <w:bottom w:val="none" w:sz="0" w:space="0" w:color="auto"/>
        <w:right w:val="none" w:sz="0" w:space="0" w:color="auto"/>
      </w:divBdr>
      <w:divsChild>
        <w:div w:id="1851872884">
          <w:marLeft w:val="0"/>
          <w:marRight w:val="0"/>
          <w:marTop w:val="0"/>
          <w:marBottom w:val="0"/>
          <w:divBdr>
            <w:top w:val="none" w:sz="0" w:space="0" w:color="auto"/>
            <w:left w:val="none" w:sz="0" w:space="0" w:color="auto"/>
            <w:bottom w:val="none" w:sz="0" w:space="0" w:color="auto"/>
            <w:right w:val="none" w:sz="0" w:space="0" w:color="auto"/>
          </w:divBdr>
        </w:div>
        <w:div w:id="1851872887">
          <w:marLeft w:val="0"/>
          <w:marRight w:val="0"/>
          <w:marTop w:val="0"/>
          <w:marBottom w:val="0"/>
          <w:divBdr>
            <w:top w:val="none" w:sz="0" w:space="0" w:color="auto"/>
            <w:left w:val="none" w:sz="0" w:space="0" w:color="auto"/>
            <w:bottom w:val="none" w:sz="0" w:space="0" w:color="auto"/>
            <w:right w:val="none" w:sz="0" w:space="0" w:color="auto"/>
          </w:divBdr>
        </w:div>
      </w:divsChild>
    </w:div>
    <w:div w:id="1851872818">
      <w:marLeft w:val="0"/>
      <w:marRight w:val="0"/>
      <w:marTop w:val="0"/>
      <w:marBottom w:val="0"/>
      <w:divBdr>
        <w:top w:val="none" w:sz="0" w:space="0" w:color="auto"/>
        <w:left w:val="none" w:sz="0" w:space="0" w:color="auto"/>
        <w:bottom w:val="none" w:sz="0" w:space="0" w:color="auto"/>
        <w:right w:val="none" w:sz="0" w:space="0" w:color="auto"/>
      </w:divBdr>
      <w:divsChild>
        <w:div w:id="1851872816">
          <w:marLeft w:val="0"/>
          <w:marRight w:val="0"/>
          <w:marTop w:val="440"/>
          <w:marBottom w:val="740"/>
          <w:divBdr>
            <w:top w:val="none" w:sz="0" w:space="0" w:color="auto"/>
            <w:left w:val="none" w:sz="0" w:space="0" w:color="auto"/>
            <w:bottom w:val="none" w:sz="0" w:space="0" w:color="auto"/>
            <w:right w:val="none" w:sz="0" w:space="0" w:color="auto"/>
          </w:divBdr>
          <w:divsChild>
            <w:div w:id="1851872815">
              <w:marLeft w:val="0"/>
              <w:marRight w:val="0"/>
              <w:marTop w:val="400"/>
              <w:marBottom w:val="0"/>
              <w:divBdr>
                <w:top w:val="none" w:sz="0" w:space="0" w:color="auto"/>
                <w:left w:val="none" w:sz="0" w:space="0" w:color="auto"/>
                <w:bottom w:val="none" w:sz="0" w:space="0" w:color="auto"/>
                <w:right w:val="none" w:sz="0" w:space="0" w:color="auto"/>
              </w:divBdr>
            </w:div>
          </w:divsChild>
        </w:div>
        <w:div w:id="1851872817">
          <w:marLeft w:val="0"/>
          <w:marRight w:val="0"/>
          <w:marTop w:val="240"/>
          <w:marBottom w:val="140"/>
          <w:divBdr>
            <w:top w:val="none" w:sz="0" w:space="0" w:color="auto"/>
            <w:left w:val="none" w:sz="0" w:space="0" w:color="auto"/>
            <w:bottom w:val="none" w:sz="0" w:space="0" w:color="auto"/>
            <w:right w:val="none" w:sz="0" w:space="0" w:color="auto"/>
          </w:divBdr>
        </w:div>
      </w:divsChild>
    </w:div>
    <w:div w:id="1851872820">
      <w:marLeft w:val="0"/>
      <w:marRight w:val="0"/>
      <w:marTop w:val="0"/>
      <w:marBottom w:val="0"/>
      <w:divBdr>
        <w:top w:val="none" w:sz="0" w:space="0" w:color="auto"/>
        <w:left w:val="none" w:sz="0" w:space="0" w:color="auto"/>
        <w:bottom w:val="none" w:sz="0" w:space="0" w:color="auto"/>
        <w:right w:val="none" w:sz="0" w:space="0" w:color="auto"/>
      </w:divBdr>
      <w:divsChild>
        <w:div w:id="1851872823">
          <w:marLeft w:val="0"/>
          <w:marRight w:val="0"/>
          <w:marTop w:val="0"/>
          <w:marBottom w:val="0"/>
          <w:divBdr>
            <w:top w:val="none" w:sz="0" w:space="0" w:color="auto"/>
            <w:left w:val="none" w:sz="0" w:space="0" w:color="auto"/>
            <w:bottom w:val="none" w:sz="0" w:space="0" w:color="auto"/>
            <w:right w:val="none" w:sz="0" w:space="0" w:color="auto"/>
          </w:divBdr>
          <w:divsChild>
            <w:div w:id="1851872821">
              <w:marLeft w:val="0"/>
              <w:marRight w:val="0"/>
              <w:marTop w:val="0"/>
              <w:marBottom w:val="0"/>
              <w:divBdr>
                <w:top w:val="none" w:sz="0" w:space="0" w:color="auto"/>
                <w:left w:val="none" w:sz="0" w:space="0" w:color="auto"/>
                <w:bottom w:val="none" w:sz="0" w:space="0" w:color="auto"/>
                <w:right w:val="none" w:sz="0" w:space="0" w:color="auto"/>
              </w:divBdr>
            </w:div>
            <w:div w:id="1851872822">
              <w:marLeft w:val="0"/>
              <w:marRight w:val="0"/>
              <w:marTop w:val="0"/>
              <w:marBottom w:val="0"/>
              <w:divBdr>
                <w:top w:val="none" w:sz="0" w:space="0" w:color="auto"/>
                <w:left w:val="none" w:sz="0" w:space="0" w:color="auto"/>
                <w:bottom w:val="none" w:sz="0" w:space="0" w:color="auto"/>
                <w:right w:val="none" w:sz="0" w:space="0" w:color="auto"/>
              </w:divBdr>
            </w:div>
            <w:div w:id="1851872877">
              <w:marLeft w:val="0"/>
              <w:marRight w:val="0"/>
              <w:marTop w:val="0"/>
              <w:marBottom w:val="0"/>
              <w:divBdr>
                <w:top w:val="none" w:sz="0" w:space="0" w:color="auto"/>
                <w:left w:val="none" w:sz="0" w:space="0" w:color="auto"/>
                <w:bottom w:val="none" w:sz="0" w:space="0" w:color="auto"/>
                <w:right w:val="none" w:sz="0" w:space="0" w:color="auto"/>
              </w:divBdr>
            </w:div>
            <w:div w:id="18518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826">
      <w:marLeft w:val="0"/>
      <w:marRight w:val="0"/>
      <w:marTop w:val="0"/>
      <w:marBottom w:val="0"/>
      <w:divBdr>
        <w:top w:val="none" w:sz="0" w:space="0" w:color="auto"/>
        <w:left w:val="none" w:sz="0" w:space="0" w:color="auto"/>
        <w:bottom w:val="none" w:sz="0" w:space="0" w:color="auto"/>
        <w:right w:val="none" w:sz="0" w:space="0" w:color="auto"/>
      </w:divBdr>
      <w:divsChild>
        <w:div w:id="1851872824">
          <w:marLeft w:val="0"/>
          <w:marRight w:val="0"/>
          <w:marTop w:val="0"/>
          <w:marBottom w:val="0"/>
          <w:divBdr>
            <w:top w:val="none" w:sz="0" w:space="0" w:color="auto"/>
            <w:left w:val="none" w:sz="0" w:space="0" w:color="auto"/>
            <w:bottom w:val="none" w:sz="0" w:space="0" w:color="auto"/>
            <w:right w:val="none" w:sz="0" w:space="0" w:color="auto"/>
          </w:divBdr>
        </w:div>
        <w:div w:id="1851872871">
          <w:marLeft w:val="0"/>
          <w:marRight w:val="0"/>
          <w:marTop w:val="0"/>
          <w:marBottom w:val="0"/>
          <w:divBdr>
            <w:top w:val="none" w:sz="0" w:space="0" w:color="auto"/>
            <w:left w:val="none" w:sz="0" w:space="0" w:color="auto"/>
            <w:bottom w:val="none" w:sz="0" w:space="0" w:color="auto"/>
            <w:right w:val="none" w:sz="0" w:space="0" w:color="auto"/>
          </w:divBdr>
        </w:div>
        <w:div w:id="1851872872">
          <w:marLeft w:val="0"/>
          <w:marRight w:val="0"/>
          <w:marTop w:val="0"/>
          <w:marBottom w:val="0"/>
          <w:divBdr>
            <w:top w:val="none" w:sz="0" w:space="0" w:color="auto"/>
            <w:left w:val="none" w:sz="0" w:space="0" w:color="auto"/>
            <w:bottom w:val="none" w:sz="0" w:space="0" w:color="auto"/>
            <w:right w:val="none" w:sz="0" w:space="0" w:color="auto"/>
          </w:divBdr>
        </w:div>
        <w:div w:id="1851872874">
          <w:marLeft w:val="0"/>
          <w:marRight w:val="0"/>
          <w:marTop w:val="0"/>
          <w:marBottom w:val="0"/>
          <w:divBdr>
            <w:top w:val="none" w:sz="0" w:space="0" w:color="auto"/>
            <w:left w:val="none" w:sz="0" w:space="0" w:color="auto"/>
            <w:bottom w:val="none" w:sz="0" w:space="0" w:color="auto"/>
            <w:right w:val="none" w:sz="0" w:space="0" w:color="auto"/>
          </w:divBdr>
        </w:div>
      </w:divsChild>
    </w:div>
    <w:div w:id="1851872834">
      <w:marLeft w:val="0"/>
      <w:marRight w:val="0"/>
      <w:marTop w:val="0"/>
      <w:marBottom w:val="0"/>
      <w:divBdr>
        <w:top w:val="none" w:sz="0" w:space="0" w:color="auto"/>
        <w:left w:val="none" w:sz="0" w:space="0" w:color="auto"/>
        <w:bottom w:val="none" w:sz="0" w:space="0" w:color="auto"/>
        <w:right w:val="none" w:sz="0" w:space="0" w:color="auto"/>
      </w:divBdr>
    </w:div>
    <w:div w:id="1851872835">
      <w:marLeft w:val="0"/>
      <w:marRight w:val="0"/>
      <w:marTop w:val="0"/>
      <w:marBottom w:val="0"/>
      <w:divBdr>
        <w:top w:val="none" w:sz="0" w:space="0" w:color="auto"/>
        <w:left w:val="none" w:sz="0" w:space="0" w:color="auto"/>
        <w:bottom w:val="none" w:sz="0" w:space="0" w:color="auto"/>
        <w:right w:val="none" w:sz="0" w:space="0" w:color="auto"/>
      </w:divBdr>
      <w:divsChild>
        <w:div w:id="1851872828">
          <w:marLeft w:val="0"/>
          <w:marRight w:val="0"/>
          <w:marTop w:val="0"/>
          <w:marBottom w:val="0"/>
          <w:divBdr>
            <w:top w:val="none" w:sz="0" w:space="0" w:color="auto"/>
            <w:left w:val="none" w:sz="0" w:space="0" w:color="auto"/>
            <w:bottom w:val="none" w:sz="0" w:space="0" w:color="auto"/>
            <w:right w:val="none" w:sz="0" w:space="0" w:color="auto"/>
          </w:divBdr>
        </w:div>
        <w:div w:id="1851872829">
          <w:marLeft w:val="0"/>
          <w:marRight w:val="0"/>
          <w:marTop w:val="0"/>
          <w:marBottom w:val="0"/>
          <w:divBdr>
            <w:top w:val="none" w:sz="0" w:space="0" w:color="auto"/>
            <w:left w:val="none" w:sz="0" w:space="0" w:color="auto"/>
            <w:bottom w:val="none" w:sz="0" w:space="0" w:color="auto"/>
            <w:right w:val="none" w:sz="0" w:space="0" w:color="auto"/>
          </w:divBdr>
        </w:div>
        <w:div w:id="1851872830">
          <w:marLeft w:val="0"/>
          <w:marRight w:val="0"/>
          <w:marTop w:val="0"/>
          <w:marBottom w:val="0"/>
          <w:divBdr>
            <w:top w:val="none" w:sz="0" w:space="0" w:color="auto"/>
            <w:left w:val="none" w:sz="0" w:space="0" w:color="auto"/>
            <w:bottom w:val="none" w:sz="0" w:space="0" w:color="auto"/>
            <w:right w:val="none" w:sz="0" w:space="0" w:color="auto"/>
          </w:divBdr>
        </w:div>
        <w:div w:id="1851872831">
          <w:marLeft w:val="0"/>
          <w:marRight w:val="0"/>
          <w:marTop w:val="0"/>
          <w:marBottom w:val="0"/>
          <w:divBdr>
            <w:top w:val="none" w:sz="0" w:space="0" w:color="auto"/>
            <w:left w:val="none" w:sz="0" w:space="0" w:color="auto"/>
            <w:bottom w:val="none" w:sz="0" w:space="0" w:color="auto"/>
            <w:right w:val="none" w:sz="0" w:space="0" w:color="auto"/>
          </w:divBdr>
        </w:div>
        <w:div w:id="1851872832">
          <w:marLeft w:val="0"/>
          <w:marRight w:val="0"/>
          <w:marTop w:val="0"/>
          <w:marBottom w:val="0"/>
          <w:divBdr>
            <w:top w:val="none" w:sz="0" w:space="0" w:color="auto"/>
            <w:left w:val="none" w:sz="0" w:space="0" w:color="auto"/>
            <w:bottom w:val="none" w:sz="0" w:space="0" w:color="auto"/>
            <w:right w:val="none" w:sz="0" w:space="0" w:color="auto"/>
          </w:divBdr>
        </w:div>
        <w:div w:id="1851872836">
          <w:marLeft w:val="0"/>
          <w:marRight w:val="0"/>
          <w:marTop w:val="0"/>
          <w:marBottom w:val="0"/>
          <w:divBdr>
            <w:top w:val="none" w:sz="0" w:space="0" w:color="auto"/>
            <w:left w:val="none" w:sz="0" w:space="0" w:color="auto"/>
            <w:bottom w:val="none" w:sz="0" w:space="0" w:color="auto"/>
            <w:right w:val="none" w:sz="0" w:space="0" w:color="auto"/>
          </w:divBdr>
        </w:div>
        <w:div w:id="1851872837">
          <w:marLeft w:val="0"/>
          <w:marRight w:val="0"/>
          <w:marTop w:val="0"/>
          <w:marBottom w:val="0"/>
          <w:divBdr>
            <w:top w:val="none" w:sz="0" w:space="0" w:color="auto"/>
            <w:left w:val="none" w:sz="0" w:space="0" w:color="auto"/>
            <w:bottom w:val="none" w:sz="0" w:space="0" w:color="auto"/>
            <w:right w:val="none" w:sz="0" w:space="0" w:color="auto"/>
          </w:divBdr>
        </w:div>
        <w:div w:id="1851872838">
          <w:marLeft w:val="0"/>
          <w:marRight w:val="0"/>
          <w:marTop w:val="0"/>
          <w:marBottom w:val="0"/>
          <w:divBdr>
            <w:top w:val="none" w:sz="0" w:space="0" w:color="auto"/>
            <w:left w:val="none" w:sz="0" w:space="0" w:color="auto"/>
            <w:bottom w:val="none" w:sz="0" w:space="0" w:color="auto"/>
            <w:right w:val="none" w:sz="0" w:space="0" w:color="auto"/>
          </w:divBdr>
        </w:div>
        <w:div w:id="1851872839">
          <w:marLeft w:val="0"/>
          <w:marRight w:val="0"/>
          <w:marTop w:val="0"/>
          <w:marBottom w:val="0"/>
          <w:divBdr>
            <w:top w:val="none" w:sz="0" w:space="0" w:color="auto"/>
            <w:left w:val="none" w:sz="0" w:space="0" w:color="auto"/>
            <w:bottom w:val="none" w:sz="0" w:space="0" w:color="auto"/>
            <w:right w:val="none" w:sz="0" w:space="0" w:color="auto"/>
          </w:divBdr>
        </w:div>
        <w:div w:id="1851872840">
          <w:marLeft w:val="0"/>
          <w:marRight w:val="0"/>
          <w:marTop w:val="0"/>
          <w:marBottom w:val="0"/>
          <w:divBdr>
            <w:top w:val="none" w:sz="0" w:space="0" w:color="auto"/>
            <w:left w:val="none" w:sz="0" w:space="0" w:color="auto"/>
            <w:bottom w:val="none" w:sz="0" w:space="0" w:color="auto"/>
            <w:right w:val="none" w:sz="0" w:space="0" w:color="auto"/>
          </w:divBdr>
        </w:div>
        <w:div w:id="1851872841">
          <w:marLeft w:val="0"/>
          <w:marRight w:val="0"/>
          <w:marTop w:val="0"/>
          <w:marBottom w:val="0"/>
          <w:divBdr>
            <w:top w:val="none" w:sz="0" w:space="0" w:color="auto"/>
            <w:left w:val="none" w:sz="0" w:space="0" w:color="auto"/>
            <w:bottom w:val="none" w:sz="0" w:space="0" w:color="auto"/>
            <w:right w:val="none" w:sz="0" w:space="0" w:color="auto"/>
          </w:divBdr>
        </w:div>
        <w:div w:id="1851872842">
          <w:marLeft w:val="0"/>
          <w:marRight w:val="0"/>
          <w:marTop w:val="0"/>
          <w:marBottom w:val="0"/>
          <w:divBdr>
            <w:top w:val="none" w:sz="0" w:space="0" w:color="auto"/>
            <w:left w:val="none" w:sz="0" w:space="0" w:color="auto"/>
            <w:bottom w:val="none" w:sz="0" w:space="0" w:color="auto"/>
            <w:right w:val="none" w:sz="0" w:space="0" w:color="auto"/>
          </w:divBdr>
        </w:div>
        <w:div w:id="1851872843">
          <w:marLeft w:val="0"/>
          <w:marRight w:val="0"/>
          <w:marTop w:val="0"/>
          <w:marBottom w:val="0"/>
          <w:divBdr>
            <w:top w:val="none" w:sz="0" w:space="0" w:color="auto"/>
            <w:left w:val="none" w:sz="0" w:space="0" w:color="auto"/>
            <w:bottom w:val="none" w:sz="0" w:space="0" w:color="auto"/>
            <w:right w:val="none" w:sz="0" w:space="0" w:color="auto"/>
          </w:divBdr>
          <w:divsChild>
            <w:div w:id="1851872833">
              <w:marLeft w:val="0"/>
              <w:marRight w:val="0"/>
              <w:marTop w:val="0"/>
              <w:marBottom w:val="0"/>
              <w:divBdr>
                <w:top w:val="none" w:sz="0" w:space="0" w:color="auto"/>
                <w:left w:val="none" w:sz="0" w:space="0" w:color="auto"/>
                <w:bottom w:val="none" w:sz="0" w:space="0" w:color="auto"/>
                <w:right w:val="none" w:sz="0" w:space="0" w:color="auto"/>
              </w:divBdr>
            </w:div>
            <w:div w:id="1851872845">
              <w:marLeft w:val="0"/>
              <w:marRight w:val="0"/>
              <w:marTop w:val="0"/>
              <w:marBottom w:val="0"/>
              <w:divBdr>
                <w:top w:val="none" w:sz="0" w:space="0" w:color="auto"/>
                <w:left w:val="none" w:sz="0" w:space="0" w:color="auto"/>
                <w:bottom w:val="none" w:sz="0" w:space="0" w:color="auto"/>
                <w:right w:val="none" w:sz="0" w:space="0" w:color="auto"/>
              </w:divBdr>
            </w:div>
            <w:div w:id="1851872853">
              <w:marLeft w:val="0"/>
              <w:marRight w:val="0"/>
              <w:marTop w:val="0"/>
              <w:marBottom w:val="0"/>
              <w:divBdr>
                <w:top w:val="none" w:sz="0" w:space="0" w:color="auto"/>
                <w:left w:val="none" w:sz="0" w:space="0" w:color="auto"/>
                <w:bottom w:val="none" w:sz="0" w:space="0" w:color="auto"/>
                <w:right w:val="none" w:sz="0" w:space="0" w:color="auto"/>
              </w:divBdr>
            </w:div>
            <w:div w:id="1851872866">
              <w:marLeft w:val="0"/>
              <w:marRight w:val="0"/>
              <w:marTop w:val="0"/>
              <w:marBottom w:val="0"/>
              <w:divBdr>
                <w:top w:val="none" w:sz="0" w:space="0" w:color="auto"/>
                <w:left w:val="none" w:sz="0" w:space="0" w:color="auto"/>
                <w:bottom w:val="none" w:sz="0" w:space="0" w:color="auto"/>
                <w:right w:val="none" w:sz="0" w:space="0" w:color="auto"/>
              </w:divBdr>
            </w:div>
          </w:divsChild>
        </w:div>
        <w:div w:id="1851872844">
          <w:marLeft w:val="0"/>
          <w:marRight w:val="0"/>
          <w:marTop w:val="0"/>
          <w:marBottom w:val="0"/>
          <w:divBdr>
            <w:top w:val="none" w:sz="0" w:space="0" w:color="auto"/>
            <w:left w:val="none" w:sz="0" w:space="0" w:color="auto"/>
            <w:bottom w:val="none" w:sz="0" w:space="0" w:color="auto"/>
            <w:right w:val="none" w:sz="0" w:space="0" w:color="auto"/>
          </w:divBdr>
        </w:div>
        <w:div w:id="1851872846">
          <w:marLeft w:val="0"/>
          <w:marRight w:val="0"/>
          <w:marTop w:val="0"/>
          <w:marBottom w:val="0"/>
          <w:divBdr>
            <w:top w:val="none" w:sz="0" w:space="0" w:color="auto"/>
            <w:left w:val="none" w:sz="0" w:space="0" w:color="auto"/>
            <w:bottom w:val="none" w:sz="0" w:space="0" w:color="auto"/>
            <w:right w:val="none" w:sz="0" w:space="0" w:color="auto"/>
          </w:divBdr>
        </w:div>
        <w:div w:id="1851872847">
          <w:marLeft w:val="0"/>
          <w:marRight w:val="0"/>
          <w:marTop w:val="0"/>
          <w:marBottom w:val="0"/>
          <w:divBdr>
            <w:top w:val="none" w:sz="0" w:space="0" w:color="auto"/>
            <w:left w:val="none" w:sz="0" w:space="0" w:color="auto"/>
            <w:bottom w:val="none" w:sz="0" w:space="0" w:color="auto"/>
            <w:right w:val="none" w:sz="0" w:space="0" w:color="auto"/>
          </w:divBdr>
        </w:div>
        <w:div w:id="1851872848">
          <w:marLeft w:val="0"/>
          <w:marRight w:val="0"/>
          <w:marTop w:val="0"/>
          <w:marBottom w:val="0"/>
          <w:divBdr>
            <w:top w:val="none" w:sz="0" w:space="0" w:color="auto"/>
            <w:left w:val="none" w:sz="0" w:space="0" w:color="auto"/>
            <w:bottom w:val="none" w:sz="0" w:space="0" w:color="auto"/>
            <w:right w:val="none" w:sz="0" w:space="0" w:color="auto"/>
          </w:divBdr>
        </w:div>
        <w:div w:id="1851872850">
          <w:marLeft w:val="0"/>
          <w:marRight w:val="0"/>
          <w:marTop w:val="0"/>
          <w:marBottom w:val="0"/>
          <w:divBdr>
            <w:top w:val="none" w:sz="0" w:space="0" w:color="auto"/>
            <w:left w:val="none" w:sz="0" w:space="0" w:color="auto"/>
            <w:bottom w:val="none" w:sz="0" w:space="0" w:color="auto"/>
            <w:right w:val="none" w:sz="0" w:space="0" w:color="auto"/>
          </w:divBdr>
        </w:div>
        <w:div w:id="1851872851">
          <w:marLeft w:val="0"/>
          <w:marRight w:val="0"/>
          <w:marTop w:val="0"/>
          <w:marBottom w:val="0"/>
          <w:divBdr>
            <w:top w:val="none" w:sz="0" w:space="0" w:color="auto"/>
            <w:left w:val="none" w:sz="0" w:space="0" w:color="auto"/>
            <w:bottom w:val="none" w:sz="0" w:space="0" w:color="auto"/>
            <w:right w:val="none" w:sz="0" w:space="0" w:color="auto"/>
          </w:divBdr>
        </w:div>
        <w:div w:id="1851872852">
          <w:marLeft w:val="0"/>
          <w:marRight w:val="0"/>
          <w:marTop w:val="0"/>
          <w:marBottom w:val="0"/>
          <w:divBdr>
            <w:top w:val="none" w:sz="0" w:space="0" w:color="auto"/>
            <w:left w:val="none" w:sz="0" w:space="0" w:color="auto"/>
            <w:bottom w:val="none" w:sz="0" w:space="0" w:color="auto"/>
            <w:right w:val="none" w:sz="0" w:space="0" w:color="auto"/>
          </w:divBdr>
        </w:div>
        <w:div w:id="1851872854">
          <w:marLeft w:val="0"/>
          <w:marRight w:val="0"/>
          <w:marTop w:val="0"/>
          <w:marBottom w:val="0"/>
          <w:divBdr>
            <w:top w:val="none" w:sz="0" w:space="0" w:color="auto"/>
            <w:left w:val="none" w:sz="0" w:space="0" w:color="auto"/>
            <w:bottom w:val="none" w:sz="0" w:space="0" w:color="auto"/>
            <w:right w:val="none" w:sz="0" w:space="0" w:color="auto"/>
          </w:divBdr>
        </w:div>
        <w:div w:id="1851872856">
          <w:marLeft w:val="0"/>
          <w:marRight w:val="0"/>
          <w:marTop w:val="0"/>
          <w:marBottom w:val="0"/>
          <w:divBdr>
            <w:top w:val="none" w:sz="0" w:space="0" w:color="auto"/>
            <w:left w:val="none" w:sz="0" w:space="0" w:color="auto"/>
            <w:bottom w:val="none" w:sz="0" w:space="0" w:color="auto"/>
            <w:right w:val="none" w:sz="0" w:space="0" w:color="auto"/>
          </w:divBdr>
        </w:div>
        <w:div w:id="1851872857">
          <w:marLeft w:val="0"/>
          <w:marRight w:val="0"/>
          <w:marTop w:val="0"/>
          <w:marBottom w:val="0"/>
          <w:divBdr>
            <w:top w:val="none" w:sz="0" w:space="0" w:color="auto"/>
            <w:left w:val="none" w:sz="0" w:space="0" w:color="auto"/>
            <w:bottom w:val="none" w:sz="0" w:space="0" w:color="auto"/>
            <w:right w:val="none" w:sz="0" w:space="0" w:color="auto"/>
          </w:divBdr>
        </w:div>
        <w:div w:id="1851872861">
          <w:marLeft w:val="0"/>
          <w:marRight w:val="0"/>
          <w:marTop w:val="0"/>
          <w:marBottom w:val="0"/>
          <w:divBdr>
            <w:top w:val="none" w:sz="0" w:space="0" w:color="auto"/>
            <w:left w:val="none" w:sz="0" w:space="0" w:color="auto"/>
            <w:bottom w:val="none" w:sz="0" w:space="0" w:color="auto"/>
            <w:right w:val="none" w:sz="0" w:space="0" w:color="auto"/>
          </w:divBdr>
        </w:div>
        <w:div w:id="1851872862">
          <w:marLeft w:val="0"/>
          <w:marRight w:val="0"/>
          <w:marTop w:val="0"/>
          <w:marBottom w:val="0"/>
          <w:divBdr>
            <w:top w:val="none" w:sz="0" w:space="0" w:color="auto"/>
            <w:left w:val="none" w:sz="0" w:space="0" w:color="auto"/>
            <w:bottom w:val="none" w:sz="0" w:space="0" w:color="auto"/>
            <w:right w:val="none" w:sz="0" w:space="0" w:color="auto"/>
          </w:divBdr>
        </w:div>
        <w:div w:id="1851872863">
          <w:marLeft w:val="0"/>
          <w:marRight w:val="0"/>
          <w:marTop w:val="0"/>
          <w:marBottom w:val="0"/>
          <w:divBdr>
            <w:top w:val="none" w:sz="0" w:space="0" w:color="auto"/>
            <w:left w:val="none" w:sz="0" w:space="0" w:color="auto"/>
            <w:bottom w:val="none" w:sz="0" w:space="0" w:color="auto"/>
            <w:right w:val="none" w:sz="0" w:space="0" w:color="auto"/>
          </w:divBdr>
        </w:div>
        <w:div w:id="1851872867">
          <w:marLeft w:val="0"/>
          <w:marRight w:val="0"/>
          <w:marTop w:val="0"/>
          <w:marBottom w:val="0"/>
          <w:divBdr>
            <w:top w:val="none" w:sz="0" w:space="0" w:color="auto"/>
            <w:left w:val="none" w:sz="0" w:space="0" w:color="auto"/>
            <w:bottom w:val="none" w:sz="0" w:space="0" w:color="auto"/>
            <w:right w:val="none" w:sz="0" w:space="0" w:color="auto"/>
          </w:divBdr>
        </w:div>
        <w:div w:id="1851872868">
          <w:marLeft w:val="0"/>
          <w:marRight w:val="0"/>
          <w:marTop w:val="0"/>
          <w:marBottom w:val="0"/>
          <w:divBdr>
            <w:top w:val="none" w:sz="0" w:space="0" w:color="auto"/>
            <w:left w:val="none" w:sz="0" w:space="0" w:color="auto"/>
            <w:bottom w:val="none" w:sz="0" w:space="0" w:color="auto"/>
            <w:right w:val="none" w:sz="0" w:space="0" w:color="auto"/>
          </w:divBdr>
        </w:div>
        <w:div w:id="1851872870">
          <w:marLeft w:val="0"/>
          <w:marRight w:val="0"/>
          <w:marTop w:val="0"/>
          <w:marBottom w:val="0"/>
          <w:divBdr>
            <w:top w:val="none" w:sz="0" w:space="0" w:color="auto"/>
            <w:left w:val="none" w:sz="0" w:space="0" w:color="auto"/>
            <w:bottom w:val="none" w:sz="0" w:space="0" w:color="auto"/>
            <w:right w:val="none" w:sz="0" w:space="0" w:color="auto"/>
          </w:divBdr>
        </w:div>
      </w:divsChild>
    </w:div>
    <w:div w:id="1851872849">
      <w:marLeft w:val="0"/>
      <w:marRight w:val="0"/>
      <w:marTop w:val="0"/>
      <w:marBottom w:val="0"/>
      <w:divBdr>
        <w:top w:val="none" w:sz="0" w:space="0" w:color="auto"/>
        <w:left w:val="none" w:sz="0" w:space="0" w:color="auto"/>
        <w:bottom w:val="none" w:sz="0" w:space="0" w:color="auto"/>
        <w:right w:val="none" w:sz="0" w:space="0" w:color="auto"/>
      </w:divBdr>
    </w:div>
    <w:div w:id="1851872855">
      <w:marLeft w:val="0"/>
      <w:marRight w:val="0"/>
      <w:marTop w:val="0"/>
      <w:marBottom w:val="0"/>
      <w:divBdr>
        <w:top w:val="none" w:sz="0" w:space="0" w:color="auto"/>
        <w:left w:val="none" w:sz="0" w:space="0" w:color="auto"/>
        <w:bottom w:val="none" w:sz="0" w:space="0" w:color="auto"/>
        <w:right w:val="none" w:sz="0" w:space="0" w:color="auto"/>
      </w:divBdr>
    </w:div>
    <w:div w:id="1851872858">
      <w:marLeft w:val="0"/>
      <w:marRight w:val="0"/>
      <w:marTop w:val="0"/>
      <w:marBottom w:val="0"/>
      <w:divBdr>
        <w:top w:val="none" w:sz="0" w:space="0" w:color="auto"/>
        <w:left w:val="none" w:sz="0" w:space="0" w:color="auto"/>
        <w:bottom w:val="none" w:sz="0" w:space="0" w:color="auto"/>
        <w:right w:val="none" w:sz="0" w:space="0" w:color="auto"/>
      </w:divBdr>
    </w:div>
    <w:div w:id="1851872859">
      <w:marLeft w:val="0"/>
      <w:marRight w:val="0"/>
      <w:marTop w:val="0"/>
      <w:marBottom w:val="0"/>
      <w:divBdr>
        <w:top w:val="none" w:sz="0" w:space="0" w:color="auto"/>
        <w:left w:val="none" w:sz="0" w:space="0" w:color="auto"/>
        <w:bottom w:val="none" w:sz="0" w:space="0" w:color="auto"/>
        <w:right w:val="none" w:sz="0" w:space="0" w:color="auto"/>
      </w:divBdr>
    </w:div>
    <w:div w:id="1851872860">
      <w:marLeft w:val="0"/>
      <w:marRight w:val="0"/>
      <w:marTop w:val="0"/>
      <w:marBottom w:val="0"/>
      <w:divBdr>
        <w:top w:val="none" w:sz="0" w:space="0" w:color="auto"/>
        <w:left w:val="none" w:sz="0" w:space="0" w:color="auto"/>
        <w:bottom w:val="none" w:sz="0" w:space="0" w:color="auto"/>
        <w:right w:val="none" w:sz="0" w:space="0" w:color="auto"/>
      </w:divBdr>
    </w:div>
    <w:div w:id="1851872864">
      <w:marLeft w:val="0"/>
      <w:marRight w:val="0"/>
      <w:marTop w:val="0"/>
      <w:marBottom w:val="0"/>
      <w:divBdr>
        <w:top w:val="none" w:sz="0" w:space="0" w:color="auto"/>
        <w:left w:val="none" w:sz="0" w:space="0" w:color="auto"/>
        <w:bottom w:val="none" w:sz="0" w:space="0" w:color="auto"/>
        <w:right w:val="none" w:sz="0" w:space="0" w:color="auto"/>
      </w:divBdr>
    </w:div>
    <w:div w:id="1851872865">
      <w:marLeft w:val="0"/>
      <w:marRight w:val="0"/>
      <w:marTop w:val="0"/>
      <w:marBottom w:val="0"/>
      <w:divBdr>
        <w:top w:val="none" w:sz="0" w:space="0" w:color="auto"/>
        <w:left w:val="none" w:sz="0" w:space="0" w:color="auto"/>
        <w:bottom w:val="none" w:sz="0" w:space="0" w:color="auto"/>
        <w:right w:val="none" w:sz="0" w:space="0" w:color="auto"/>
      </w:divBdr>
    </w:div>
    <w:div w:id="1851872869">
      <w:marLeft w:val="0"/>
      <w:marRight w:val="0"/>
      <w:marTop w:val="0"/>
      <w:marBottom w:val="0"/>
      <w:divBdr>
        <w:top w:val="none" w:sz="0" w:space="0" w:color="auto"/>
        <w:left w:val="none" w:sz="0" w:space="0" w:color="auto"/>
        <w:bottom w:val="none" w:sz="0" w:space="0" w:color="auto"/>
        <w:right w:val="none" w:sz="0" w:space="0" w:color="auto"/>
      </w:divBdr>
    </w:div>
    <w:div w:id="1851872873">
      <w:marLeft w:val="0"/>
      <w:marRight w:val="0"/>
      <w:marTop w:val="0"/>
      <w:marBottom w:val="0"/>
      <w:divBdr>
        <w:top w:val="none" w:sz="0" w:space="0" w:color="auto"/>
        <w:left w:val="none" w:sz="0" w:space="0" w:color="auto"/>
        <w:bottom w:val="none" w:sz="0" w:space="0" w:color="auto"/>
        <w:right w:val="none" w:sz="0" w:space="0" w:color="auto"/>
      </w:divBdr>
      <w:divsChild>
        <w:div w:id="1851872825">
          <w:marLeft w:val="0"/>
          <w:marRight w:val="0"/>
          <w:marTop w:val="0"/>
          <w:marBottom w:val="0"/>
          <w:divBdr>
            <w:top w:val="none" w:sz="0" w:space="0" w:color="auto"/>
            <w:left w:val="none" w:sz="0" w:space="0" w:color="auto"/>
            <w:bottom w:val="none" w:sz="0" w:space="0" w:color="auto"/>
            <w:right w:val="none" w:sz="0" w:space="0" w:color="auto"/>
          </w:divBdr>
        </w:div>
        <w:div w:id="1851872827">
          <w:marLeft w:val="0"/>
          <w:marRight w:val="0"/>
          <w:marTop w:val="0"/>
          <w:marBottom w:val="0"/>
          <w:divBdr>
            <w:top w:val="none" w:sz="0" w:space="0" w:color="auto"/>
            <w:left w:val="none" w:sz="0" w:space="0" w:color="auto"/>
            <w:bottom w:val="none" w:sz="0" w:space="0" w:color="auto"/>
            <w:right w:val="none" w:sz="0" w:space="0" w:color="auto"/>
          </w:divBdr>
        </w:div>
      </w:divsChild>
    </w:div>
    <w:div w:id="1851872875">
      <w:marLeft w:val="0"/>
      <w:marRight w:val="0"/>
      <w:marTop w:val="0"/>
      <w:marBottom w:val="0"/>
      <w:divBdr>
        <w:top w:val="none" w:sz="0" w:space="0" w:color="auto"/>
        <w:left w:val="none" w:sz="0" w:space="0" w:color="auto"/>
        <w:bottom w:val="none" w:sz="0" w:space="0" w:color="auto"/>
        <w:right w:val="none" w:sz="0" w:space="0" w:color="auto"/>
      </w:divBdr>
    </w:div>
    <w:div w:id="1851872876">
      <w:marLeft w:val="0"/>
      <w:marRight w:val="0"/>
      <w:marTop w:val="0"/>
      <w:marBottom w:val="0"/>
      <w:divBdr>
        <w:top w:val="none" w:sz="0" w:space="0" w:color="auto"/>
        <w:left w:val="none" w:sz="0" w:space="0" w:color="auto"/>
        <w:bottom w:val="none" w:sz="0" w:space="0" w:color="auto"/>
        <w:right w:val="none" w:sz="0" w:space="0" w:color="auto"/>
      </w:divBdr>
    </w:div>
    <w:div w:id="1851872879">
      <w:marLeft w:val="0"/>
      <w:marRight w:val="0"/>
      <w:marTop w:val="0"/>
      <w:marBottom w:val="0"/>
      <w:divBdr>
        <w:top w:val="none" w:sz="0" w:space="0" w:color="auto"/>
        <w:left w:val="none" w:sz="0" w:space="0" w:color="auto"/>
        <w:bottom w:val="none" w:sz="0" w:space="0" w:color="auto"/>
        <w:right w:val="none" w:sz="0" w:space="0" w:color="auto"/>
      </w:divBdr>
      <w:divsChild>
        <w:div w:id="1851872814">
          <w:marLeft w:val="0"/>
          <w:marRight w:val="0"/>
          <w:marTop w:val="400"/>
          <w:marBottom w:val="0"/>
          <w:divBdr>
            <w:top w:val="none" w:sz="0" w:space="0" w:color="auto"/>
            <w:left w:val="none" w:sz="0" w:space="0" w:color="auto"/>
            <w:bottom w:val="none" w:sz="0" w:space="0" w:color="auto"/>
            <w:right w:val="none" w:sz="0" w:space="0" w:color="auto"/>
          </w:divBdr>
        </w:div>
        <w:div w:id="1851872819">
          <w:marLeft w:val="0"/>
          <w:marRight w:val="0"/>
          <w:marTop w:val="400"/>
          <w:marBottom w:val="0"/>
          <w:divBdr>
            <w:top w:val="none" w:sz="0" w:space="0" w:color="auto"/>
            <w:left w:val="none" w:sz="0" w:space="0" w:color="auto"/>
            <w:bottom w:val="none" w:sz="0" w:space="0" w:color="auto"/>
            <w:right w:val="none" w:sz="0" w:space="0" w:color="auto"/>
          </w:divBdr>
        </w:div>
      </w:divsChild>
    </w:div>
    <w:div w:id="1851872886">
      <w:marLeft w:val="0"/>
      <w:marRight w:val="0"/>
      <w:marTop w:val="0"/>
      <w:marBottom w:val="0"/>
      <w:divBdr>
        <w:top w:val="none" w:sz="0" w:space="0" w:color="auto"/>
        <w:left w:val="none" w:sz="0" w:space="0" w:color="auto"/>
        <w:bottom w:val="none" w:sz="0" w:space="0" w:color="auto"/>
        <w:right w:val="none" w:sz="0" w:space="0" w:color="auto"/>
      </w:divBdr>
      <w:divsChild>
        <w:div w:id="1851872883">
          <w:marLeft w:val="0"/>
          <w:marRight w:val="0"/>
          <w:marTop w:val="0"/>
          <w:marBottom w:val="0"/>
          <w:divBdr>
            <w:top w:val="none" w:sz="0" w:space="0" w:color="auto"/>
            <w:left w:val="none" w:sz="0" w:space="0" w:color="auto"/>
            <w:bottom w:val="none" w:sz="0" w:space="0" w:color="auto"/>
            <w:right w:val="none" w:sz="0" w:space="0" w:color="auto"/>
          </w:divBdr>
          <w:divsChild>
            <w:div w:id="1851872880">
              <w:marLeft w:val="0"/>
              <w:marRight w:val="0"/>
              <w:marTop w:val="0"/>
              <w:marBottom w:val="0"/>
              <w:divBdr>
                <w:top w:val="none" w:sz="0" w:space="0" w:color="auto"/>
                <w:left w:val="none" w:sz="0" w:space="0" w:color="auto"/>
                <w:bottom w:val="none" w:sz="0" w:space="0" w:color="auto"/>
                <w:right w:val="none" w:sz="0" w:space="0" w:color="auto"/>
              </w:divBdr>
            </w:div>
            <w:div w:id="1851872881">
              <w:marLeft w:val="0"/>
              <w:marRight w:val="0"/>
              <w:marTop w:val="0"/>
              <w:marBottom w:val="0"/>
              <w:divBdr>
                <w:top w:val="none" w:sz="0" w:space="0" w:color="auto"/>
                <w:left w:val="none" w:sz="0" w:space="0" w:color="auto"/>
                <w:bottom w:val="none" w:sz="0" w:space="0" w:color="auto"/>
                <w:right w:val="none" w:sz="0" w:space="0" w:color="auto"/>
              </w:divBdr>
            </w:div>
            <w:div w:id="1851872882">
              <w:marLeft w:val="0"/>
              <w:marRight w:val="0"/>
              <w:marTop w:val="0"/>
              <w:marBottom w:val="0"/>
              <w:divBdr>
                <w:top w:val="none" w:sz="0" w:space="0" w:color="auto"/>
                <w:left w:val="none" w:sz="0" w:space="0" w:color="auto"/>
                <w:bottom w:val="none" w:sz="0" w:space="0" w:color="auto"/>
                <w:right w:val="none" w:sz="0" w:space="0" w:color="auto"/>
              </w:divBdr>
            </w:div>
            <w:div w:id="18518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888">
      <w:marLeft w:val="0"/>
      <w:marRight w:val="0"/>
      <w:marTop w:val="0"/>
      <w:marBottom w:val="0"/>
      <w:divBdr>
        <w:top w:val="none" w:sz="0" w:space="0" w:color="auto"/>
        <w:left w:val="none" w:sz="0" w:space="0" w:color="auto"/>
        <w:bottom w:val="none" w:sz="0" w:space="0" w:color="auto"/>
        <w:right w:val="none" w:sz="0" w:space="0" w:color="auto"/>
      </w:divBdr>
    </w:div>
    <w:div w:id="1851872889">
      <w:marLeft w:val="0"/>
      <w:marRight w:val="0"/>
      <w:marTop w:val="0"/>
      <w:marBottom w:val="0"/>
      <w:divBdr>
        <w:top w:val="none" w:sz="0" w:space="0" w:color="auto"/>
        <w:left w:val="none" w:sz="0" w:space="0" w:color="auto"/>
        <w:bottom w:val="none" w:sz="0" w:space="0" w:color="auto"/>
        <w:right w:val="none" w:sz="0" w:space="0" w:color="auto"/>
      </w:divBdr>
      <w:divsChild>
        <w:div w:id="1851872810">
          <w:marLeft w:val="0"/>
          <w:marRight w:val="0"/>
          <w:marTop w:val="225"/>
          <w:marBottom w:val="0"/>
          <w:divBdr>
            <w:top w:val="none" w:sz="0" w:space="0" w:color="auto"/>
            <w:left w:val="none" w:sz="0" w:space="0" w:color="auto"/>
            <w:bottom w:val="none" w:sz="0" w:space="0" w:color="auto"/>
            <w:right w:val="none" w:sz="0" w:space="0" w:color="auto"/>
          </w:divBdr>
          <w:divsChild>
            <w:div w:id="1851872808">
              <w:marLeft w:val="0"/>
              <w:marRight w:val="0"/>
              <w:marTop w:val="0"/>
              <w:marBottom w:val="0"/>
              <w:divBdr>
                <w:top w:val="none" w:sz="0" w:space="0" w:color="auto"/>
                <w:left w:val="none" w:sz="0" w:space="0" w:color="auto"/>
                <w:bottom w:val="none" w:sz="0" w:space="0" w:color="auto"/>
                <w:right w:val="none" w:sz="0" w:space="0" w:color="auto"/>
              </w:divBdr>
            </w:div>
            <w:div w:id="1851872891">
              <w:marLeft w:val="0"/>
              <w:marRight w:val="0"/>
              <w:marTop w:val="0"/>
              <w:marBottom w:val="0"/>
              <w:divBdr>
                <w:top w:val="none" w:sz="0" w:space="0" w:color="auto"/>
                <w:left w:val="none" w:sz="0" w:space="0" w:color="auto"/>
                <w:bottom w:val="none" w:sz="0" w:space="0" w:color="auto"/>
                <w:right w:val="none" w:sz="0" w:space="0" w:color="auto"/>
              </w:divBdr>
            </w:div>
          </w:divsChild>
        </w:div>
        <w:div w:id="1851872811">
          <w:marLeft w:val="0"/>
          <w:marRight w:val="0"/>
          <w:marTop w:val="225"/>
          <w:marBottom w:val="0"/>
          <w:divBdr>
            <w:top w:val="none" w:sz="0" w:space="0" w:color="auto"/>
            <w:left w:val="none" w:sz="0" w:space="0" w:color="auto"/>
            <w:bottom w:val="none" w:sz="0" w:space="0" w:color="auto"/>
            <w:right w:val="none" w:sz="0" w:space="0" w:color="auto"/>
          </w:divBdr>
          <w:divsChild>
            <w:div w:id="1851872809">
              <w:marLeft w:val="0"/>
              <w:marRight w:val="0"/>
              <w:marTop w:val="0"/>
              <w:marBottom w:val="0"/>
              <w:divBdr>
                <w:top w:val="none" w:sz="0" w:space="0" w:color="auto"/>
                <w:left w:val="none" w:sz="0" w:space="0" w:color="auto"/>
                <w:bottom w:val="none" w:sz="0" w:space="0" w:color="auto"/>
                <w:right w:val="none" w:sz="0" w:space="0" w:color="auto"/>
              </w:divBdr>
            </w:div>
            <w:div w:id="18518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2078-EC20-4E87-BD8A-3CF87140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2460</Words>
  <Characters>14028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Marianna Ferancova</cp:lastModifiedBy>
  <cp:revision>2</cp:revision>
  <cp:lastPrinted>2020-04-28T08:42:00Z</cp:lastPrinted>
  <dcterms:created xsi:type="dcterms:W3CDTF">2021-12-02T09:14:00Z</dcterms:created>
  <dcterms:modified xsi:type="dcterms:W3CDTF">2021-12-02T09:14:00Z</dcterms:modified>
</cp:coreProperties>
</file>