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BF9CF" w14:textId="77777777" w:rsidR="00940F02" w:rsidRDefault="00940F02" w:rsidP="00940F02">
      <w:pPr>
        <w:spacing w:after="0" w:line="240" w:lineRule="auto"/>
        <w:jc w:val="center"/>
        <w:rPr>
          <w:rFonts w:ascii="Times New Roman" w:hAnsi="Times New Roman"/>
          <w:b/>
          <w:bCs/>
          <w:sz w:val="28"/>
          <w:szCs w:val="28"/>
          <w:lang w:eastAsia="sk-SK"/>
        </w:rPr>
      </w:pPr>
    </w:p>
    <w:p w14:paraId="417B34A5" w14:textId="77777777" w:rsidR="00940F02" w:rsidRPr="007D5748" w:rsidRDefault="00940F02" w:rsidP="00940F02">
      <w:pPr>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14:paraId="2E9F6B7E" w14:textId="77777777" w:rsidR="00940F02" w:rsidRPr="007D5748" w:rsidRDefault="00940F02" w:rsidP="00940F02">
      <w:pPr>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14:paraId="34EB9A8A" w14:textId="77777777" w:rsidR="00940F02" w:rsidRPr="00212894" w:rsidRDefault="00940F02" w:rsidP="00940F02">
      <w:pPr>
        <w:spacing w:after="0" w:line="240" w:lineRule="auto"/>
        <w:jc w:val="right"/>
        <w:rPr>
          <w:rFonts w:ascii="Times New Roman" w:hAnsi="Times New Roman"/>
          <w:b/>
          <w:bCs/>
          <w:sz w:val="24"/>
          <w:szCs w:val="24"/>
          <w:lang w:eastAsia="sk-SK"/>
        </w:rPr>
      </w:pPr>
    </w:p>
    <w:p w14:paraId="4D946AD6" w14:textId="77777777" w:rsidR="00940F02" w:rsidRDefault="00940F02" w:rsidP="00940F02">
      <w:pPr>
        <w:spacing w:after="0" w:line="240" w:lineRule="auto"/>
        <w:rPr>
          <w:rFonts w:ascii="Times New Roman" w:hAnsi="Times New Roman"/>
          <w:b/>
          <w:bCs/>
          <w:sz w:val="24"/>
          <w:szCs w:val="24"/>
          <w:lang w:eastAsia="sk-SK"/>
        </w:rPr>
      </w:pPr>
    </w:p>
    <w:p w14:paraId="51D37140" w14:textId="77777777" w:rsidR="00940F02" w:rsidRPr="00212894" w:rsidRDefault="00940F02" w:rsidP="00940F02">
      <w:pPr>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14:paraId="37AC9877" w14:textId="77777777" w:rsidR="00940F02" w:rsidRDefault="00940F02" w:rsidP="00940F02">
      <w:pPr>
        <w:spacing w:after="0" w:line="240" w:lineRule="auto"/>
        <w:jc w:val="right"/>
        <w:rPr>
          <w:rFonts w:ascii="Times New Roman" w:hAnsi="Times New Roman"/>
          <w:sz w:val="20"/>
          <w:szCs w:val="20"/>
          <w:lang w:eastAsia="sk-SK"/>
        </w:rPr>
      </w:pPr>
    </w:p>
    <w:p w14:paraId="7361DC80" w14:textId="77777777" w:rsidR="00940F02" w:rsidRPr="007D5748" w:rsidRDefault="00940F02" w:rsidP="00940F02">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940F02" w:rsidRPr="007D5748" w14:paraId="0E6D823C" w14:textId="77777777" w:rsidTr="00237722">
        <w:trPr>
          <w:cantSplit/>
          <w:trHeight w:val="194"/>
          <w:jc w:val="center"/>
        </w:trPr>
        <w:tc>
          <w:tcPr>
            <w:tcW w:w="4661" w:type="dxa"/>
            <w:vMerge w:val="restart"/>
            <w:shd w:val="clear" w:color="auto" w:fill="BFBFBF" w:themeFill="background1" w:themeFillShade="BF"/>
            <w:vAlign w:val="center"/>
          </w:tcPr>
          <w:p w14:paraId="0C552173" w14:textId="77777777" w:rsidR="00940F02" w:rsidRPr="006B04A1" w:rsidRDefault="00940F02" w:rsidP="00237722">
            <w:pPr>
              <w:spacing w:after="0" w:line="240" w:lineRule="auto"/>
              <w:jc w:val="center"/>
              <w:rPr>
                <w:rFonts w:ascii="Times New Roman" w:hAnsi="Times New Roman"/>
                <w:b/>
                <w:bCs/>
                <w:sz w:val="24"/>
                <w:szCs w:val="24"/>
                <w:lang w:eastAsia="sk-SK"/>
              </w:rPr>
            </w:pPr>
            <w:bookmarkStart w:id="0" w:name="OLE_LINK1"/>
            <w:r w:rsidRPr="006B04A1">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38F0F180" w14:textId="77777777" w:rsidR="00940F02" w:rsidRPr="006B04A1" w:rsidRDefault="00940F02" w:rsidP="00237722">
            <w:pPr>
              <w:spacing w:after="0" w:line="240" w:lineRule="auto"/>
              <w:jc w:val="center"/>
              <w:rPr>
                <w:rFonts w:ascii="Times New Roman" w:hAnsi="Times New Roman"/>
                <w:b/>
                <w:bCs/>
                <w:sz w:val="24"/>
                <w:szCs w:val="24"/>
                <w:lang w:eastAsia="sk-SK"/>
              </w:rPr>
            </w:pPr>
            <w:r w:rsidRPr="006B04A1">
              <w:rPr>
                <w:rFonts w:ascii="Times New Roman" w:hAnsi="Times New Roman"/>
                <w:b/>
                <w:bCs/>
                <w:sz w:val="24"/>
                <w:szCs w:val="24"/>
                <w:lang w:eastAsia="sk-SK"/>
              </w:rPr>
              <w:t>Vplyv na rozpočet verejnej správy (v eurách)</w:t>
            </w:r>
          </w:p>
        </w:tc>
      </w:tr>
      <w:tr w:rsidR="00940F02" w:rsidRPr="007D5748" w14:paraId="6E64E65A" w14:textId="77777777" w:rsidTr="00237722">
        <w:trPr>
          <w:cantSplit/>
          <w:trHeight w:val="70"/>
          <w:jc w:val="center"/>
        </w:trPr>
        <w:tc>
          <w:tcPr>
            <w:tcW w:w="4661" w:type="dxa"/>
            <w:vMerge/>
            <w:shd w:val="clear" w:color="auto" w:fill="BFBFBF" w:themeFill="background1" w:themeFillShade="BF"/>
            <w:vAlign w:val="center"/>
          </w:tcPr>
          <w:p w14:paraId="1A29FD42" w14:textId="77777777" w:rsidR="00940F02" w:rsidRPr="006B04A1" w:rsidRDefault="00940F02" w:rsidP="00237722">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vAlign w:val="center"/>
          </w:tcPr>
          <w:p w14:paraId="57E58F10" w14:textId="064938FE" w:rsidR="00940F02" w:rsidRPr="006B04A1" w:rsidRDefault="00940F02" w:rsidP="00E853D3">
            <w:pPr>
              <w:spacing w:after="0" w:line="240" w:lineRule="auto"/>
              <w:jc w:val="center"/>
              <w:rPr>
                <w:rFonts w:ascii="Times New Roman" w:hAnsi="Times New Roman"/>
                <w:b/>
                <w:bCs/>
                <w:sz w:val="24"/>
                <w:szCs w:val="24"/>
                <w:lang w:eastAsia="sk-SK"/>
              </w:rPr>
            </w:pPr>
            <w:r w:rsidRPr="006B04A1">
              <w:rPr>
                <w:rFonts w:ascii="Times New Roman" w:hAnsi="Times New Roman"/>
                <w:b/>
                <w:bCs/>
                <w:sz w:val="24"/>
                <w:szCs w:val="24"/>
                <w:lang w:eastAsia="sk-SK"/>
              </w:rPr>
              <w:t>202</w:t>
            </w:r>
            <w:r w:rsidR="00E853D3">
              <w:rPr>
                <w:rFonts w:ascii="Times New Roman" w:hAnsi="Times New Roman"/>
                <w:b/>
                <w:bCs/>
                <w:sz w:val="24"/>
                <w:szCs w:val="24"/>
                <w:lang w:eastAsia="sk-SK"/>
              </w:rPr>
              <w:t>1</w:t>
            </w:r>
          </w:p>
        </w:tc>
        <w:tc>
          <w:tcPr>
            <w:tcW w:w="1267" w:type="dxa"/>
            <w:shd w:val="clear" w:color="auto" w:fill="BFBFBF" w:themeFill="background1" w:themeFillShade="BF"/>
            <w:vAlign w:val="center"/>
          </w:tcPr>
          <w:p w14:paraId="1CAE3A99" w14:textId="69E65529" w:rsidR="00940F02" w:rsidRPr="006B04A1" w:rsidRDefault="00940F02" w:rsidP="00621ECB">
            <w:pPr>
              <w:spacing w:after="0" w:line="240" w:lineRule="auto"/>
              <w:jc w:val="center"/>
              <w:rPr>
                <w:rFonts w:ascii="Times New Roman" w:hAnsi="Times New Roman"/>
                <w:b/>
                <w:bCs/>
                <w:sz w:val="24"/>
                <w:szCs w:val="24"/>
                <w:lang w:eastAsia="sk-SK"/>
              </w:rPr>
            </w:pPr>
            <w:r w:rsidRPr="006B04A1">
              <w:rPr>
                <w:rFonts w:ascii="Times New Roman" w:hAnsi="Times New Roman"/>
                <w:b/>
                <w:bCs/>
                <w:sz w:val="24"/>
                <w:szCs w:val="24"/>
                <w:lang w:eastAsia="sk-SK"/>
              </w:rPr>
              <w:t>202</w:t>
            </w:r>
            <w:r w:rsidR="00E853D3">
              <w:rPr>
                <w:rFonts w:ascii="Times New Roman" w:hAnsi="Times New Roman"/>
                <w:b/>
                <w:bCs/>
                <w:sz w:val="24"/>
                <w:szCs w:val="24"/>
                <w:lang w:eastAsia="sk-SK"/>
              </w:rPr>
              <w:t>2</w:t>
            </w:r>
          </w:p>
        </w:tc>
        <w:tc>
          <w:tcPr>
            <w:tcW w:w="1267" w:type="dxa"/>
            <w:shd w:val="clear" w:color="auto" w:fill="BFBFBF" w:themeFill="background1" w:themeFillShade="BF"/>
            <w:vAlign w:val="center"/>
          </w:tcPr>
          <w:p w14:paraId="630AB4A1" w14:textId="63D599C6" w:rsidR="00940F02" w:rsidRPr="006B04A1" w:rsidRDefault="00940F02" w:rsidP="00621ECB">
            <w:pPr>
              <w:spacing w:after="0" w:line="240" w:lineRule="auto"/>
              <w:jc w:val="center"/>
              <w:rPr>
                <w:rFonts w:ascii="Times New Roman" w:hAnsi="Times New Roman"/>
                <w:b/>
                <w:bCs/>
                <w:sz w:val="24"/>
                <w:szCs w:val="24"/>
                <w:lang w:eastAsia="sk-SK"/>
              </w:rPr>
            </w:pPr>
            <w:r w:rsidRPr="006B04A1">
              <w:rPr>
                <w:rFonts w:ascii="Times New Roman" w:hAnsi="Times New Roman"/>
                <w:b/>
                <w:bCs/>
                <w:sz w:val="24"/>
                <w:szCs w:val="24"/>
                <w:lang w:eastAsia="sk-SK"/>
              </w:rPr>
              <w:t>202</w:t>
            </w:r>
            <w:r w:rsidR="00E853D3">
              <w:rPr>
                <w:rFonts w:ascii="Times New Roman" w:hAnsi="Times New Roman"/>
                <w:b/>
                <w:bCs/>
                <w:sz w:val="24"/>
                <w:szCs w:val="24"/>
                <w:lang w:eastAsia="sk-SK"/>
              </w:rPr>
              <w:t>3</w:t>
            </w:r>
          </w:p>
        </w:tc>
        <w:tc>
          <w:tcPr>
            <w:tcW w:w="1267" w:type="dxa"/>
            <w:shd w:val="clear" w:color="auto" w:fill="BFBFBF" w:themeFill="background1" w:themeFillShade="BF"/>
            <w:vAlign w:val="center"/>
          </w:tcPr>
          <w:p w14:paraId="2CC07568" w14:textId="633FFEF8" w:rsidR="00940F02" w:rsidRPr="006B04A1" w:rsidRDefault="00940F02" w:rsidP="00E853D3">
            <w:pPr>
              <w:spacing w:after="0" w:line="240" w:lineRule="auto"/>
              <w:jc w:val="center"/>
              <w:rPr>
                <w:rFonts w:ascii="Times New Roman" w:hAnsi="Times New Roman"/>
                <w:b/>
                <w:bCs/>
                <w:sz w:val="24"/>
                <w:szCs w:val="24"/>
                <w:lang w:eastAsia="sk-SK"/>
              </w:rPr>
            </w:pPr>
            <w:r w:rsidRPr="006B04A1">
              <w:rPr>
                <w:rFonts w:ascii="Times New Roman" w:hAnsi="Times New Roman"/>
                <w:b/>
                <w:bCs/>
                <w:sz w:val="24"/>
                <w:szCs w:val="24"/>
                <w:lang w:eastAsia="sk-SK"/>
              </w:rPr>
              <w:t>202</w:t>
            </w:r>
            <w:r w:rsidR="00E853D3">
              <w:rPr>
                <w:rFonts w:ascii="Times New Roman" w:hAnsi="Times New Roman"/>
                <w:b/>
                <w:bCs/>
                <w:sz w:val="24"/>
                <w:szCs w:val="24"/>
                <w:lang w:eastAsia="sk-SK"/>
              </w:rPr>
              <w:t>4</w:t>
            </w:r>
          </w:p>
        </w:tc>
      </w:tr>
      <w:tr w:rsidR="00940F02" w:rsidRPr="007D5748" w14:paraId="5650B9FB" w14:textId="77777777" w:rsidTr="00237722">
        <w:trPr>
          <w:trHeight w:val="70"/>
          <w:jc w:val="center"/>
        </w:trPr>
        <w:tc>
          <w:tcPr>
            <w:tcW w:w="4661" w:type="dxa"/>
            <w:shd w:val="clear" w:color="auto" w:fill="C0C0C0"/>
            <w:noWrap/>
            <w:vAlign w:val="center"/>
          </w:tcPr>
          <w:p w14:paraId="2FE60727" w14:textId="77777777" w:rsidR="00940F02" w:rsidRPr="006B04A1" w:rsidRDefault="00940F02" w:rsidP="00237722">
            <w:pPr>
              <w:spacing w:after="0" w:line="240" w:lineRule="auto"/>
              <w:rPr>
                <w:rFonts w:ascii="Times New Roman" w:hAnsi="Times New Roman"/>
                <w:sz w:val="24"/>
                <w:szCs w:val="24"/>
                <w:lang w:eastAsia="sk-SK"/>
              </w:rPr>
            </w:pPr>
            <w:r w:rsidRPr="006B04A1">
              <w:rPr>
                <w:rFonts w:ascii="Times New Roman" w:hAnsi="Times New Roman"/>
                <w:b/>
                <w:bCs/>
                <w:sz w:val="24"/>
                <w:szCs w:val="24"/>
                <w:lang w:eastAsia="sk-SK"/>
              </w:rPr>
              <w:t>Príjmy verejnej správy celkom</w:t>
            </w:r>
          </w:p>
        </w:tc>
        <w:tc>
          <w:tcPr>
            <w:tcW w:w="1267" w:type="dxa"/>
            <w:shd w:val="clear" w:color="auto" w:fill="C0C0C0"/>
            <w:vAlign w:val="center"/>
          </w:tcPr>
          <w:p w14:paraId="26AD31C5" w14:textId="77777777" w:rsidR="00940F02" w:rsidRPr="006B04A1" w:rsidRDefault="00940F02" w:rsidP="00237722">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c>
          <w:tcPr>
            <w:tcW w:w="1267" w:type="dxa"/>
            <w:shd w:val="clear" w:color="auto" w:fill="C0C0C0"/>
            <w:vAlign w:val="center"/>
          </w:tcPr>
          <w:p w14:paraId="5D5B1ACC" w14:textId="77777777" w:rsidR="00940F02" w:rsidRPr="006B04A1" w:rsidRDefault="00940F02" w:rsidP="00237722">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c>
          <w:tcPr>
            <w:tcW w:w="1267" w:type="dxa"/>
            <w:shd w:val="clear" w:color="auto" w:fill="C0C0C0"/>
            <w:vAlign w:val="center"/>
          </w:tcPr>
          <w:p w14:paraId="0B1FE1D9" w14:textId="77777777" w:rsidR="00940F02" w:rsidRPr="006B04A1" w:rsidRDefault="00940F02" w:rsidP="00237722">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c>
          <w:tcPr>
            <w:tcW w:w="1267" w:type="dxa"/>
            <w:shd w:val="clear" w:color="auto" w:fill="C0C0C0"/>
            <w:vAlign w:val="center"/>
          </w:tcPr>
          <w:p w14:paraId="6127FE39" w14:textId="77777777" w:rsidR="00940F02" w:rsidRPr="006B04A1" w:rsidRDefault="00940F02" w:rsidP="00237722">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r>
      <w:tr w:rsidR="00940F02" w:rsidRPr="007D5748" w14:paraId="5D005FF0" w14:textId="77777777" w:rsidTr="00237722">
        <w:trPr>
          <w:trHeight w:val="132"/>
          <w:jc w:val="center"/>
        </w:trPr>
        <w:tc>
          <w:tcPr>
            <w:tcW w:w="4661" w:type="dxa"/>
            <w:noWrap/>
            <w:vAlign w:val="center"/>
          </w:tcPr>
          <w:p w14:paraId="71FBB3E3" w14:textId="77777777" w:rsidR="00940F02" w:rsidRPr="006B04A1" w:rsidRDefault="00940F02" w:rsidP="00237722">
            <w:pPr>
              <w:spacing w:after="0" w:line="240" w:lineRule="auto"/>
              <w:rPr>
                <w:rFonts w:ascii="Times New Roman" w:hAnsi="Times New Roman"/>
                <w:sz w:val="24"/>
                <w:szCs w:val="24"/>
                <w:lang w:eastAsia="sk-SK"/>
              </w:rPr>
            </w:pPr>
            <w:r w:rsidRPr="006B04A1">
              <w:rPr>
                <w:rFonts w:ascii="Times New Roman" w:hAnsi="Times New Roman"/>
                <w:sz w:val="24"/>
                <w:szCs w:val="24"/>
                <w:lang w:eastAsia="sk-SK"/>
              </w:rPr>
              <w:t xml:space="preserve">v tom: </w:t>
            </w:r>
          </w:p>
        </w:tc>
        <w:tc>
          <w:tcPr>
            <w:tcW w:w="1267" w:type="dxa"/>
            <w:noWrap/>
            <w:vAlign w:val="center"/>
          </w:tcPr>
          <w:p w14:paraId="60310645" w14:textId="77777777" w:rsidR="00940F02" w:rsidRPr="006B04A1" w:rsidRDefault="00940F02" w:rsidP="00237722">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c>
          <w:tcPr>
            <w:tcW w:w="1267" w:type="dxa"/>
            <w:noWrap/>
            <w:vAlign w:val="center"/>
          </w:tcPr>
          <w:p w14:paraId="53CA7A2E" w14:textId="77777777" w:rsidR="00940F02" w:rsidRPr="006B04A1" w:rsidRDefault="00940F02" w:rsidP="00237722">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c>
          <w:tcPr>
            <w:tcW w:w="1267" w:type="dxa"/>
            <w:noWrap/>
            <w:vAlign w:val="center"/>
          </w:tcPr>
          <w:p w14:paraId="19BE0CE2" w14:textId="77777777" w:rsidR="00940F02" w:rsidRPr="006B04A1" w:rsidRDefault="00940F02" w:rsidP="00237722">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c>
          <w:tcPr>
            <w:tcW w:w="1267" w:type="dxa"/>
            <w:noWrap/>
            <w:vAlign w:val="center"/>
          </w:tcPr>
          <w:p w14:paraId="2B00E93C" w14:textId="77777777" w:rsidR="00940F02" w:rsidRPr="006B04A1" w:rsidRDefault="00940F02" w:rsidP="00237722">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r>
      <w:tr w:rsidR="00940F02" w:rsidRPr="007D5748" w14:paraId="2D658928" w14:textId="77777777" w:rsidTr="00237722">
        <w:trPr>
          <w:trHeight w:val="70"/>
          <w:jc w:val="center"/>
        </w:trPr>
        <w:tc>
          <w:tcPr>
            <w:tcW w:w="4661" w:type="dxa"/>
            <w:noWrap/>
            <w:vAlign w:val="center"/>
          </w:tcPr>
          <w:p w14:paraId="726D5C6A"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xml:space="preserve">z toho:  </w:t>
            </w:r>
          </w:p>
        </w:tc>
        <w:tc>
          <w:tcPr>
            <w:tcW w:w="1267" w:type="dxa"/>
            <w:noWrap/>
            <w:vAlign w:val="center"/>
          </w:tcPr>
          <w:p w14:paraId="687F53BA" w14:textId="77777777" w:rsidR="00940F02" w:rsidRPr="00E853D3" w:rsidRDefault="00940F02" w:rsidP="00237722">
            <w:pPr>
              <w:spacing w:after="0" w:line="240" w:lineRule="auto"/>
              <w:jc w:val="right"/>
              <w:rPr>
                <w:rFonts w:ascii="Times New Roman" w:hAnsi="Times New Roman"/>
                <w:b/>
                <w:bCs/>
                <w:i/>
                <w:iCs/>
                <w:sz w:val="24"/>
                <w:szCs w:val="24"/>
                <w:lang w:eastAsia="sk-SK"/>
              </w:rPr>
            </w:pPr>
          </w:p>
        </w:tc>
        <w:tc>
          <w:tcPr>
            <w:tcW w:w="1267" w:type="dxa"/>
            <w:noWrap/>
            <w:vAlign w:val="center"/>
          </w:tcPr>
          <w:p w14:paraId="77BC0545" w14:textId="77777777" w:rsidR="00940F02" w:rsidRPr="00E853D3" w:rsidRDefault="00940F02" w:rsidP="00237722">
            <w:pPr>
              <w:spacing w:after="0" w:line="240" w:lineRule="auto"/>
              <w:jc w:val="right"/>
              <w:rPr>
                <w:rFonts w:ascii="Times New Roman" w:hAnsi="Times New Roman"/>
                <w:b/>
                <w:bCs/>
                <w:i/>
                <w:iCs/>
                <w:sz w:val="24"/>
                <w:szCs w:val="24"/>
                <w:lang w:eastAsia="sk-SK"/>
              </w:rPr>
            </w:pPr>
          </w:p>
        </w:tc>
        <w:tc>
          <w:tcPr>
            <w:tcW w:w="1267" w:type="dxa"/>
            <w:noWrap/>
            <w:vAlign w:val="center"/>
          </w:tcPr>
          <w:p w14:paraId="03232E31" w14:textId="77777777" w:rsidR="00940F02" w:rsidRPr="00E853D3" w:rsidRDefault="00940F02" w:rsidP="00237722">
            <w:pPr>
              <w:spacing w:after="0" w:line="240" w:lineRule="auto"/>
              <w:jc w:val="right"/>
              <w:rPr>
                <w:rFonts w:ascii="Times New Roman" w:hAnsi="Times New Roman"/>
                <w:b/>
                <w:bCs/>
                <w:i/>
                <w:iCs/>
                <w:sz w:val="24"/>
                <w:szCs w:val="24"/>
                <w:lang w:eastAsia="sk-SK"/>
              </w:rPr>
            </w:pPr>
          </w:p>
        </w:tc>
        <w:tc>
          <w:tcPr>
            <w:tcW w:w="1267" w:type="dxa"/>
            <w:noWrap/>
            <w:vAlign w:val="center"/>
          </w:tcPr>
          <w:p w14:paraId="77AFC6AB" w14:textId="77777777" w:rsidR="00940F02" w:rsidRPr="00E853D3" w:rsidRDefault="00940F02" w:rsidP="00237722">
            <w:pPr>
              <w:spacing w:after="0" w:line="240" w:lineRule="auto"/>
              <w:jc w:val="right"/>
              <w:rPr>
                <w:rFonts w:ascii="Times New Roman" w:hAnsi="Times New Roman"/>
                <w:b/>
                <w:bCs/>
                <w:i/>
                <w:iCs/>
                <w:sz w:val="24"/>
                <w:szCs w:val="24"/>
                <w:lang w:eastAsia="sk-SK"/>
              </w:rPr>
            </w:pPr>
          </w:p>
        </w:tc>
      </w:tr>
      <w:tr w:rsidR="00940F02" w:rsidRPr="007D5748" w14:paraId="21F112F4" w14:textId="77777777" w:rsidTr="00237722">
        <w:trPr>
          <w:trHeight w:val="125"/>
          <w:jc w:val="center"/>
        </w:trPr>
        <w:tc>
          <w:tcPr>
            <w:tcW w:w="4661" w:type="dxa"/>
            <w:noWrap/>
            <w:vAlign w:val="center"/>
          </w:tcPr>
          <w:p w14:paraId="2B4B97D4"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ŠR</w:t>
            </w:r>
          </w:p>
        </w:tc>
        <w:tc>
          <w:tcPr>
            <w:tcW w:w="1267" w:type="dxa"/>
            <w:noWrap/>
            <w:vAlign w:val="center"/>
          </w:tcPr>
          <w:p w14:paraId="0E0C60C2"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0BE8A38F"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76D75773"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3E42C0F3"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r>
      <w:tr w:rsidR="00940F02" w:rsidRPr="007D5748" w14:paraId="0D576DC3" w14:textId="77777777" w:rsidTr="00237722">
        <w:trPr>
          <w:trHeight w:val="125"/>
          <w:jc w:val="center"/>
        </w:trPr>
        <w:tc>
          <w:tcPr>
            <w:tcW w:w="4661" w:type="dxa"/>
            <w:noWrap/>
            <w:vAlign w:val="center"/>
          </w:tcPr>
          <w:p w14:paraId="3870EAF7" w14:textId="77777777" w:rsidR="00940F02" w:rsidRPr="006B04A1" w:rsidRDefault="00940F02" w:rsidP="00237722">
            <w:pPr>
              <w:spacing w:after="0" w:line="240" w:lineRule="auto"/>
              <w:ind w:left="259"/>
              <w:rPr>
                <w:rFonts w:ascii="Times New Roman" w:hAnsi="Times New Roman"/>
                <w:b/>
                <w:bCs/>
                <w:i/>
                <w:iCs/>
                <w:sz w:val="24"/>
                <w:szCs w:val="24"/>
                <w:lang w:eastAsia="sk-SK"/>
              </w:rPr>
            </w:pPr>
            <w:r w:rsidRPr="006B04A1">
              <w:rPr>
                <w:rFonts w:ascii="Times New Roman" w:hAnsi="Times New Roman"/>
                <w:bCs/>
                <w:i/>
                <w:iCs/>
                <w:sz w:val="24"/>
                <w:szCs w:val="24"/>
                <w:lang w:eastAsia="sk-SK"/>
              </w:rPr>
              <w:t>Rozpočtové prostriedky</w:t>
            </w:r>
          </w:p>
        </w:tc>
        <w:tc>
          <w:tcPr>
            <w:tcW w:w="1267" w:type="dxa"/>
            <w:noWrap/>
            <w:vAlign w:val="center"/>
          </w:tcPr>
          <w:p w14:paraId="5EF2D4C7" w14:textId="77777777" w:rsidR="00940F02" w:rsidRPr="00E853D3" w:rsidRDefault="00940F02" w:rsidP="00237722">
            <w:pPr>
              <w:spacing w:after="0" w:line="240" w:lineRule="auto"/>
              <w:jc w:val="right"/>
              <w:rPr>
                <w:rFonts w:ascii="Times New Roman" w:hAnsi="Times New Roman"/>
                <w:bCs/>
                <w:i/>
                <w:iCs/>
                <w:sz w:val="24"/>
                <w:szCs w:val="24"/>
                <w:lang w:eastAsia="sk-SK"/>
              </w:rPr>
            </w:pPr>
            <w:r w:rsidRPr="00E853D3">
              <w:rPr>
                <w:rFonts w:ascii="Times New Roman" w:hAnsi="Times New Roman"/>
                <w:bCs/>
                <w:i/>
                <w:iCs/>
                <w:sz w:val="24"/>
                <w:szCs w:val="24"/>
                <w:lang w:eastAsia="sk-SK"/>
              </w:rPr>
              <w:t>0</w:t>
            </w:r>
          </w:p>
        </w:tc>
        <w:tc>
          <w:tcPr>
            <w:tcW w:w="1267" w:type="dxa"/>
            <w:noWrap/>
            <w:vAlign w:val="center"/>
          </w:tcPr>
          <w:p w14:paraId="24D9C856" w14:textId="77777777" w:rsidR="00940F02" w:rsidRPr="00E853D3" w:rsidRDefault="00940F02" w:rsidP="00237722">
            <w:pPr>
              <w:spacing w:after="0" w:line="240" w:lineRule="auto"/>
              <w:jc w:val="right"/>
              <w:rPr>
                <w:rFonts w:ascii="Times New Roman" w:hAnsi="Times New Roman"/>
                <w:bCs/>
                <w:i/>
                <w:iCs/>
                <w:sz w:val="24"/>
                <w:szCs w:val="24"/>
                <w:lang w:eastAsia="sk-SK"/>
              </w:rPr>
            </w:pPr>
            <w:r w:rsidRPr="00E853D3">
              <w:rPr>
                <w:rFonts w:ascii="Times New Roman" w:hAnsi="Times New Roman"/>
                <w:bCs/>
                <w:i/>
                <w:iCs/>
                <w:sz w:val="24"/>
                <w:szCs w:val="24"/>
                <w:lang w:eastAsia="sk-SK"/>
              </w:rPr>
              <w:t>0</w:t>
            </w:r>
          </w:p>
        </w:tc>
        <w:tc>
          <w:tcPr>
            <w:tcW w:w="1267" w:type="dxa"/>
            <w:noWrap/>
            <w:vAlign w:val="center"/>
          </w:tcPr>
          <w:p w14:paraId="51E75040" w14:textId="77777777" w:rsidR="00940F02" w:rsidRPr="00E853D3" w:rsidRDefault="00940F02" w:rsidP="00237722">
            <w:pPr>
              <w:spacing w:after="0" w:line="240" w:lineRule="auto"/>
              <w:jc w:val="right"/>
              <w:rPr>
                <w:rFonts w:ascii="Times New Roman" w:hAnsi="Times New Roman"/>
                <w:bCs/>
                <w:i/>
                <w:iCs/>
                <w:sz w:val="24"/>
                <w:szCs w:val="24"/>
                <w:lang w:eastAsia="sk-SK"/>
              </w:rPr>
            </w:pPr>
            <w:r w:rsidRPr="00E853D3">
              <w:rPr>
                <w:rFonts w:ascii="Times New Roman" w:hAnsi="Times New Roman"/>
                <w:bCs/>
                <w:i/>
                <w:iCs/>
                <w:sz w:val="24"/>
                <w:szCs w:val="24"/>
                <w:lang w:eastAsia="sk-SK"/>
              </w:rPr>
              <w:t>0</w:t>
            </w:r>
          </w:p>
        </w:tc>
        <w:tc>
          <w:tcPr>
            <w:tcW w:w="1267" w:type="dxa"/>
            <w:noWrap/>
            <w:vAlign w:val="center"/>
          </w:tcPr>
          <w:p w14:paraId="31FE8C41" w14:textId="77777777" w:rsidR="00940F02" w:rsidRPr="00E853D3" w:rsidRDefault="00940F02" w:rsidP="00237722">
            <w:pPr>
              <w:spacing w:after="0" w:line="240" w:lineRule="auto"/>
              <w:jc w:val="right"/>
              <w:rPr>
                <w:rFonts w:ascii="Times New Roman" w:hAnsi="Times New Roman"/>
                <w:bCs/>
                <w:i/>
                <w:iCs/>
                <w:sz w:val="24"/>
                <w:szCs w:val="24"/>
                <w:lang w:eastAsia="sk-SK"/>
              </w:rPr>
            </w:pPr>
            <w:r w:rsidRPr="00E853D3">
              <w:rPr>
                <w:rFonts w:ascii="Times New Roman" w:hAnsi="Times New Roman"/>
                <w:bCs/>
                <w:i/>
                <w:iCs/>
                <w:sz w:val="24"/>
                <w:szCs w:val="24"/>
                <w:lang w:eastAsia="sk-SK"/>
              </w:rPr>
              <w:t>0</w:t>
            </w:r>
          </w:p>
        </w:tc>
      </w:tr>
      <w:tr w:rsidR="00940F02" w:rsidRPr="007D5748" w14:paraId="6B92D309" w14:textId="77777777" w:rsidTr="00237722">
        <w:trPr>
          <w:trHeight w:val="125"/>
          <w:jc w:val="center"/>
        </w:trPr>
        <w:tc>
          <w:tcPr>
            <w:tcW w:w="4661" w:type="dxa"/>
            <w:noWrap/>
            <w:vAlign w:val="center"/>
          </w:tcPr>
          <w:p w14:paraId="6E1A84A4" w14:textId="77777777" w:rsidR="00940F02" w:rsidRPr="006B04A1" w:rsidRDefault="00940F02" w:rsidP="00237722">
            <w:pPr>
              <w:spacing w:after="0" w:line="240" w:lineRule="auto"/>
              <w:ind w:left="259"/>
              <w:rPr>
                <w:rFonts w:ascii="Times New Roman" w:hAnsi="Times New Roman"/>
                <w:bCs/>
                <w:i/>
                <w:iCs/>
                <w:sz w:val="24"/>
                <w:szCs w:val="24"/>
                <w:lang w:eastAsia="sk-SK"/>
              </w:rPr>
            </w:pPr>
            <w:r w:rsidRPr="006B04A1">
              <w:rPr>
                <w:rFonts w:ascii="Times New Roman" w:hAnsi="Times New Roman"/>
                <w:bCs/>
                <w:i/>
                <w:iCs/>
                <w:sz w:val="24"/>
                <w:szCs w:val="24"/>
                <w:lang w:eastAsia="sk-SK"/>
              </w:rPr>
              <w:t>EÚ zdroje</w:t>
            </w:r>
          </w:p>
        </w:tc>
        <w:tc>
          <w:tcPr>
            <w:tcW w:w="1267" w:type="dxa"/>
            <w:noWrap/>
            <w:vAlign w:val="center"/>
          </w:tcPr>
          <w:p w14:paraId="0A5F6744" w14:textId="77777777" w:rsidR="00940F02" w:rsidRPr="00E853D3" w:rsidRDefault="00940F02" w:rsidP="00237722">
            <w:pPr>
              <w:spacing w:after="0" w:line="240" w:lineRule="auto"/>
              <w:jc w:val="right"/>
              <w:rPr>
                <w:rFonts w:ascii="Times New Roman" w:hAnsi="Times New Roman"/>
                <w:i/>
                <w:sz w:val="24"/>
                <w:szCs w:val="24"/>
                <w:lang w:eastAsia="sk-SK"/>
              </w:rPr>
            </w:pPr>
            <w:r w:rsidRPr="00E853D3">
              <w:rPr>
                <w:rFonts w:ascii="Times New Roman" w:hAnsi="Times New Roman"/>
                <w:i/>
                <w:sz w:val="24"/>
                <w:szCs w:val="24"/>
                <w:lang w:eastAsia="sk-SK"/>
              </w:rPr>
              <w:t>0</w:t>
            </w:r>
          </w:p>
        </w:tc>
        <w:tc>
          <w:tcPr>
            <w:tcW w:w="1267" w:type="dxa"/>
            <w:noWrap/>
            <w:vAlign w:val="center"/>
          </w:tcPr>
          <w:p w14:paraId="09094D89" w14:textId="77777777" w:rsidR="00940F02" w:rsidRPr="00E853D3" w:rsidRDefault="00940F02" w:rsidP="00237722">
            <w:pPr>
              <w:spacing w:after="0" w:line="240" w:lineRule="auto"/>
              <w:jc w:val="right"/>
              <w:rPr>
                <w:rFonts w:ascii="Times New Roman" w:hAnsi="Times New Roman"/>
                <w:i/>
                <w:sz w:val="24"/>
                <w:szCs w:val="24"/>
                <w:lang w:eastAsia="sk-SK"/>
              </w:rPr>
            </w:pPr>
            <w:r w:rsidRPr="00E853D3">
              <w:rPr>
                <w:rFonts w:ascii="Times New Roman" w:hAnsi="Times New Roman"/>
                <w:i/>
                <w:sz w:val="24"/>
                <w:szCs w:val="24"/>
                <w:lang w:eastAsia="sk-SK"/>
              </w:rPr>
              <w:t>0</w:t>
            </w:r>
          </w:p>
        </w:tc>
        <w:tc>
          <w:tcPr>
            <w:tcW w:w="1267" w:type="dxa"/>
            <w:noWrap/>
            <w:vAlign w:val="center"/>
          </w:tcPr>
          <w:p w14:paraId="44F02C3A" w14:textId="77777777" w:rsidR="00940F02" w:rsidRPr="00E853D3" w:rsidRDefault="00940F02" w:rsidP="00237722">
            <w:pPr>
              <w:spacing w:after="0" w:line="240" w:lineRule="auto"/>
              <w:jc w:val="right"/>
              <w:rPr>
                <w:rFonts w:ascii="Times New Roman" w:hAnsi="Times New Roman"/>
                <w:i/>
                <w:sz w:val="24"/>
                <w:szCs w:val="24"/>
                <w:lang w:eastAsia="sk-SK"/>
              </w:rPr>
            </w:pPr>
            <w:r w:rsidRPr="00E853D3">
              <w:rPr>
                <w:rFonts w:ascii="Times New Roman" w:hAnsi="Times New Roman"/>
                <w:i/>
                <w:sz w:val="24"/>
                <w:szCs w:val="24"/>
                <w:lang w:eastAsia="sk-SK"/>
              </w:rPr>
              <w:t>0</w:t>
            </w:r>
          </w:p>
        </w:tc>
        <w:tc>
          <w:tcPr>
            <w:tcW w:w="1267" w:type="dxa"/>
            <w:noWrap/>
            <w:vAlign w:val="center"/>
          </w:tcPr>
          <w:p w14:paraId="4CDD9465" w14:textId="77777777" w:rsidR="00940F02" w:rsidRPr="00E853D3" w:rsidRDefault="00940F02" w:rsidP="00237722">
            <w:pPr>
              <w:spacing w:after="0" w:line="240" w:lineRule="auto"/>
              <w:jc w:val="right"/>
              <w:rPr>
                <w:rFonts w:ascii="Times New Roman" w:hAnsi="Times New Roman"/>
                <w:i/>
                <w:sz w:val="24"/>
                <w:szCs w:val="24"/>
                <w:lang w:eastAsia="sk-SK"/>
              </w:rPr>
            </w:pPr>
            <w:r w:rsidRPr="00E853D3">
              <w:rPr>
                <w:rFonts w:ascii="Times New Roman" w:hAnsi="Times New Roman"/>
                <w:i/>
                <w:sz w:val="24"/>
                <w:szCs w:val="24"/>
                <w:lang w:eastAsia="sk-SK"/>
              </w:rPr>
              <w:t>0</w:t>
            </w:r>
          </w:p>
        </w:tc>
      </w:tr>
      <w:tr w:rsidR="00940F02" w:rsidRPr="007D5748" w14:paraId="1B30E341" w14:textId="77777777" w:rsidTr="00237722">
        <w:trPr>
          <w:trHeight w:val="125"/>
          <w:jc w:val="center"/>
        </w:trPr>
        <w:tc>
          <w:tcPr>
            <w:tcW w:w="4661" w:type="dxa"/>
            <w:noWrap/>
            <w:vAlign w:val="center"/>
          </w:tcPr>
          <w:p w14:paraId="7AB6F322"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obce</w:t>
            </w:r>
          </w:p>
        </w:tc>
        <w:tc>
          <w:tcPr>
            <w:tcW w:w="1267" w:type="dxa"/>
            <w:noWrap/>
            <w:vAlign w:val="center"/>
          </w:tcPr>
          <w:p w14:paraId="579A4AB9"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55318049"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67134BA1"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6A495AE5"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r>
      <w:tr w:rsidR="00940F02" w:rsidRPr="007D5748" w14:paraId="24116AD9" w14:textId="77777777" w:rsidTr="00237722">
        <w:trPr>
          <w:trHeight w:val="125"/>
          <w:jc w:val="center"/>
        </w:trPr>
        <w:tc>
          <w:tcPr>
            <w:tcW w:w="4661" w:type="dxa"/>
            <w:noWrap/>
            <w:vAlign w:val="center"/>
          </w:tcPr>
          <w:p w14:paraId="3D8AE2D8"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vyššie územné celky</w:t>
            </w:r>
          </w:p>
        </w:tc>
        <w:tc>
          <w:tcPr>
            <w:tcW w:w="1267" w:type="dxa"/>
            <w:noWrap/>
            <w:vAlign w:val="center"/>
          </w:tcPr>
          <w:p w14:paraId="142D5515"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2A25CD96"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074CCDDC"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288226A6"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r>
      <w:tr w:rsidR="00940F02" w:rsidRPr="007D5748" w14:paraId="18F5515C" w14:textId="77777777" w:rsidTr="00237722">
        <w:trPr>
          <w:trHeight w:val="125"/>
          <w:jc w:val="center"/>
        </w:trPr>
        <w:tc>
          <w:tcPr>
            <w:tcW w:w="4661" w:type="dxa"/>
            <w:noWrap/>
            <w:vAlign w:val="center"/>
          </w:tcPr>
          <w:p w14:paraId="4B3CD7AE"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ostatné subjekty verejnej správy</w:t>
            </w:r>
          </w:p>
        </w:tc>
        <w:tc>
          <w:tcPr>
            <w:tcW w:w="1267" w:type="dxa"/>
            <w:noWrap/>
            <w:vAlign w:val="center"/>
          </w:tcPr>
          <w:p w14:paraId="782B07AC"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25D24D0B"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0FE266B5"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7B8ADAB5"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r>
      <w:tr w:rsidR="00940F02" w:rsidRPr="007D5748" w14:paraId="2E685AD8" w14:textId="77777777" w:rsidTr="00237722">
        <w:trPr>
          <w:trHeight w:val="125"/>
          <w:jc w:val="center"/>
        </w:trPr>
        <w:tc>
          <w:tcPr>
            <w:tcW w:w="4661" w:type="dxa"/>
            <w:shd w:val="clear" w:color="auto" w:fill="C0C0C0"/>
            <w:noWrap/>
            <w:vAlign w:val="center"/>
          </w:tcPr>
          <w:p w14:paraId="163EF6CA" w14:textId="77777777" w:rsidR="00940F02" w:rsidRPr="006B04A1" w:rsidRDefault="00940F02" w:rsidP="00237722">
            <w:pPr>
              <w:spacing w:after="0" w:line="240" w:lineRule="auto"/>
              <w:rPr>
                <w:rFonts w:ascii="Times New Roman" w:hAnsi="Times New Roman"/>
                <w:b/>
                <w:bCs/>
                <w:sz w:val="24"/>
                <w:szCs w:val="24"/>
                <w:lang w:eastAsia="sk-SK"/>
              </w:rPr>
            </w:pPr>
            <w:r w:rsidRPr="006B04A1">
              <w:rPr>
                <w:rFonts w:ascii="Times New Roman" w:hAnsi="Times New Roman"/>
                <w:b/>
                <w:bCs/>
                <w:sz w:val="24"/>
                <w:szCs w:val="24"/>
                <w:lang w:eastAsia="sk-SK"/>
              </w:rPr>
              <w:t>Výdavky verejnej správy celkom</w:t>
            </w:r>
          </w:p>
        </w:tc>
        <w:tc>
          <w:tcPr>
            <w:tcW w:w="1267" w:type="dxa"/>
            <w:shd w:val="clear" w:color="auto" w:fill="C0C0C0"/>
            <w:noWrap/>
            <w:vAlign w:val="center"/>
          </w:tcPr>
          <w:p w14:paraId="088E57FC" w14:textId="77777777" w:rsidR="00940F02" w:rsidRPr="006B04A1" w:rsidRDefault="00940F02" w:rsidP="0023772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noWrap/>
            <w:vAlign w:val="center"/>
          </w:tcPr>
          <w:p w14:paraId="57D225A7" w14:textId="6A96FBC7" w:rsidR="00940F02" w:rsidRPr="00061BB5" w:rsidRDefault="005C08DA" w:rsidP="00237722">
            <w:pPr>
              <w:spacing w:after="0" w:line="240" w:lineRule="auto"/>
              <w:jc w:val="right"/>
              <w:rPr>
                <w:rFonts w:ascii="Times New Roman" w:hAnsi="Times New Roman"/>
                <w:b/>
                <w:bCs/>
                <w:sz w:val="24"/>
                <w:szCs w:val="24"/>
                <w:lang w:eastAsia="sk-SK"/>
              </w:rPr>
            </w:pPr>
            <w:r w:rsidRPr="00061BB5">
              <w:rPr>
                <w:rFonts w:ascii="Times New Roman" w:hAnsi="Times New Roman"/>
                <w:b/>
                <w:bCs/>
                <w:sz w:val="24"/>
                <w:szCs w:val="24"/>
                <w:lang w:eastAsia="sk-SK"/>
              </w:rPr>
              <w:t>131 766</w:t>
            </w:r>
          </w:p>
        </w:tc>
        <w:tc>
          <w:tcPr>
            <w:tcW w:w="1267" w:type="dxa"/>
            <w:shd w:val="clear" w:color="auto" w:fill="C0C0C0"/>
            <w:noWrap/>
            <w:vAlign w:val="center"/>
          </w:tcPr>
          <w:p w14:paraId="33FB5FF8" w14:textId="77777777" w:rsidR="00940F02" w:rsidRPr="006B04A1" w:rsidRDefault="00940F02" w:rsidP="0023772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noWrap/>
            <w:vAlign w:val="center"/>
          </w:tcPr>
          <w:p w14:paraId="4D9D80F0" w14:textId="77777777" w:rsidR="00940F02" w:rsidRPr="006B04A1" w:rsidRDefault="00940F02" w:rsidP="0023772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940F02" w:rsidRPr="007D5748" w14:paraId="1E19F62A" w14:textId="77777777" w:rsidTr="00237722">
        <w:trPr>
          <w:trHeight w:val="70"/>
          <w:jc w:val="center"/>
        </w:trPr>
        <w:tc>
          <w:tcPr>
            <w:tcW w:w="4661" w:type="dxa"/>
            <w:noWrap/>
            <w:vAlign w:val="center"/>
          </w:tcPr>
          <w:p w14:paraId="19059CA5" w14:textId="77777777" w:rsidR="00282D16" w:rsidRPr="00282D16" w:rsidRDefault="00940F02" w:rsidP="00282D16">
            <w:pPr>
              <w:spacing w:after="0" w:line="240" w:lineRule="auto"/>
              <w:rPr>
                <w:rFonts w:ascii="Times New Roman" w:hAnsi="Times New Roman"/>
                <w:lang w:eastAsia="sk-SK"/>
              </w:rPr>
            </w:pPr>
            <w:r w:rsidRPr="00282D16">
              <w:rPr>
                <w:rFonts w:ascii="Times New Roman" w:hAnsi="Times New Roman"/>
                <w:lang w:eastAsia="sk-SK"/>
              </w:rPr>
              <w:t xml:space="preserve">v tom: </w:t>
            </w:r>
          </w:p>
          <w:p w14:paraId="7471DA45" w14:textId="65355030" w:rsidR="00940F02" w:rsidRPr="00282D16" w:rsidRDefault="00282D16" w:rsidP="00282D16">
            <w:pPr>
              <w:spacing w:after="0" w:line="240" w:lineRule="auto"/>
              <w:rPr>
                <w:rFonts w:ascii="Times New Roman" w:hAnsi="Times New Roman"/>
                <w:lang w:eastAsia="sk-SK"/>
              </w:rPr>
            </w:pPr>
            <w:r w:rsidRPr="00282D16">
              <w:rPr>
                <w:rFonts w:ascii="Times New Roman" w:hAnsi="Times New Roman"/>
                <w:lang w:eastAsia="sk-SK"/>
              </w:rPr>
              <w:t>MS SR/</w:t>
            </w:r>
            <w:r w:rsidR="00940F02" w:rsidRPr="00282D16">
              <w:rPr>
                <w:rFonts w:ascii="Times New Roman" w:hAnsi="Times New Roman"/>
                <w:lang w:eastAsia="sk-SK"/>
              </w:rPr>
              <w:t>0EK0C - IT financ</w:t>
            </w:r>
            <w:r w:rsidRPr="00282D16">
              <w:rPr>
                <w:rFonts w:ascii="Times New Roman" w:hAnsi="Times New Roman"/>
                <w:lang w:eastAsia="sk-SK"/>
              </w:rPr>
              <w:t>ované</w:t>
            </w:r>
            <w:r w:rsidR="00940F02" w:rsidRPr="00282D16">
              <w:rPr>
                <w:rFonts w:ascii="Times New Roman" w:hAnsi="Times New Roman"/>
                <w:lang w:eastAsia="sk-SK"/>
              </w:rPr>
              <w:t xml:space="preserve"> zo ŠR – MS SR</w:t>
            </w:r>
          </w:p>
        </w:tc>
        <w:tc>
          <w:tcPr>
            <w:tcW w:w="1267" w:type="dxa"/>
            <w:noWrap/>
            <w:vAlign w:val="center"/>
          </w:tcPr>
          <w:p w14:paraId="4ECF860C" w14:textId="77777777" w:rsidR="00940F02" w:rsidRPr="006B04A1" w:rsidRDefault="00940F02" w:rsidP="00237722">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14:paraId="0A56534E" w14:textId="1DB6E38D" w:rsidR="00940F02" w:rsidRPr="00061BB5" w:rsidRDefault="00FD2AF2" w:rsidP="00237722">
            <w:pPr>
              <w:spacing w:after="0" w:line="240" w:lineRule="auto"/>
              <w:jc w:val="right"/>
              <w:rPr>
                <w:rFonts w:ascii="Times New Roman" w:hAnsi="Times New Roman"/>
                <w:sz w:val="24"/>
                <w:szCs w:val="24"/>
                <w:lang w:eastAsia="sk-SK"/>
              </w:rPr>
            </w:pPr>
            <w:r w:rsidRPr="00061BB5">
              <w:rPr>
                <w:rFonts w:ascii="Times New Roman" w:hAnsi="Times New Roman"/>
                <w:sz w:val="24"/>
                <w:szCs w:val="24"/>
                <w:lang w:eastAsia="sk-SK"/>
              </w:rPr>
              <w:t>79 340</w:t>
            </w:r>
          </w:p>
        </w:tc>
        <w:tc>
          <w:tcPr>
            <w:tcW w:w="1267" w:type="dxa"/>
            <w:noWrap/>
            <w:vAlign w:val="center"/>
          </w:tcPr>
          <w:p w14:paraId="2CC67BC1" w14:textId="77777777" w:rsidR="00940F02" w:rsidRPr="006B04A1" w:rsidRDefault="00940F02" w:rsidP="00237722">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14:paraId="5586593A" w14:textId="77777777" w:rsidR="00940F02" w:rsidRPr="006B04A1" w:rsidRDefault="00940F02" w:rsidP="00237722">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5C08DA" w:rsidRPr="007D5748" w14:paraId="07CE4D37" w14:textId="77777777" w:rsidTr="00237722">
        <w:trPr>
          <w:trHeight w:val="70"/>
          <w:jc w:val="center"/>
        </w:trPr>
        <w:tc>
          <w:tcPr>
            <w:tcW w:w="4661" w:type="dxa"/>
            <w:noWrap/>
            <w:vAlign w:val="center"/>
          </w:tcPr>
          <w:p w14:paraId="6A804ED1" w14:textId="1FDFBBD3" w:rsidR="005C08DA" w:rsidRPr="00282D16" w:rsidRDefault="00282D16" w:rsidP="00282D16">
            <w:pPr>
              <w:spacing w:after="0" w:line="240" w:lineRule="auto"/>
              <w:rPr>
                <w:rFonts w:ascii="Times New Roman" w:hAnsi="Times New Roman"/>
                <w:lang w:eastAsia="sk-SK"/>
              </w:rPr>
            </w:pPr>
            <w:r w:rsidRPr="00282D16">
              <w:rPr>
                <w:rFonts w:ascii="Times New Roman" w:hAnsi="Times New Roman"/>
                <w:lang w:eastAsia="sk-SK"/>
              </w:rPr>
              <w:t>MF SR/</w:t>
            </w:r>
            <w:r w:rsidR="005C08DA" w:rsidRPr="00282D16">
              <w:rPr>
                <w:rFonts w:ascii="Times New Roman" w:hAnsi="Times New Roman"/>
                <w:lang w:eastAsia="sk-SK"/>
              </w:rPr>
              <w:t xml:space="preserve">0EK0D </w:t>
            </w:r>
            <w:r w:rsidRPr="00282D16">
              <w:rPr>
                <w:rFonts w:ascii="Times New Roman" w:hAnsi="Times New Roman"/>
                <w:lang w:eastAsia="sk-SK"/>
              </w:rPr>
              <w:t xml:space="preserve">- </w:t>
            </w:r>
            <w:r w:rsidR="005C08DA" w:rsidRPr="00282D16">
              <w:rPr>
                <w:rFonts w:ascii="Times New Roman" w:hAnsi="Times New Roman"/>
                <w:lang w:eastAsia="sk-SK"/>
              </w:rPr>
              <w:t xml:space="preserve">IT financované zo </w:t>
            </w:r>
            <w:r w:rsidR="00A41246" w:rsidRPr="00282D16">
              <w:rPr>
                <w:rFonts w:ascii="Times New Roman" w:hAnsi="Times New Roman"/>
                <w:lang w:eastAsia="sk-SK"/>
              </w:rPr>
              <w:t>Š</w:t>
            </w:r>
            <w:r w:rsidR="005C08DA" w:rsidRPr="00282D16">
              <w:rPr>
                <w:rFonts w:ascii="Times New Roman" w:hAnsi="Times New Roman"/>
                <w:lang w:eastAsia="sk-SK"/>
              </w:rPr>
              <w:t>R</w:t>
            </w:r>
            <w:r w:rsidR="00A41246" w:rsidRPr="00282D16">
              <w:rPr>
                <w:rFonts w:ascii="Times New Roman" w:hAnsi="Times New Roman"/>
                <w:lang w:eastAsia="sk-SK"/>
              </w:rPr>
              <w:t xml:space="preserve"> – MF SR</w:t>
            </w:r>
          </w:p>
        </w:tc>
        <w:tc>
          <w:tcPr>
            <w:tcW w:w="1267" w:type="dxa"/>
            <w:noWrap/>
            <w:vAlign w:val="center"/>
          </w:tcPr>
          <w:p w14:paraId="575C8D01" w14:textId="7FCC6229" w:rsidR="005C08DA" w:rsidRDefault="00282D16" w:rsidP="00237722">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14:paraId="149A3A7B" w14:textId="56A865D2" w:rsidR="005C08DA" w:rsidRPr="00061BB5" w:rsidRDefault="005C08DA" w:rsidP="00237722">
            <w:pPr>
              <w:spacing w:after="0" w:line="240" w:lineRule="auto"/>
              <w:jc w:val="right"/>
              <w:rPr>
                <w:rFonts w:ascii="Times New Roman" w:hAnsi="Times New Roman"/>
                <w:sz w:val="24"/>
                <w:szCs w:val="24"/>
                <w:lang w:eastAsia="sk-SK"/>
              </w:rPr>
            </w:pPr>
            <w:r w:rsidRPr="00061BB5">
              <w:rPr>
                <w:rFonts w:ascii="Times New Roman" w:hAnsi="Times New Roman"/>
                <w:sz w:val="24"/>
                <w:szCs w:val="24"/>
                <w:lang w:eastAsia="sk-SK"/>
              </w:rPr>
              <w:t>52 426</w:t>
            </w:r>
          </w:p>
        </w:tc>
        <w:tc>
          <w:tcPr>
            <w:tcW w:w="1267" w:type="dxa"/>
            <w:noWrap/>
            <w:vAlign w:val="center"/>
          </w:tcPr>
          <w:p w14:paraId="7BC22F5C" w14:textId="5EDEC9F6" w:rsidR="005C08DA" w:rsidRDefault="00282D16" w:rsidP="00237722">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14:paraId="639FE2D7" w14:textId="23F6C101" w:rsidR="005C08DA" w:rsidRDefault="00282D16" w:rsidP="00237722">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940F02" w:rsidRPr="007D5748" w14:paraId="6D6723DF" w14:textId="77777777" w:rsidTr="00237722">
        <w:trPr>
          <w:trHeight w:val="70"/>
          <w:jc w:val="center"/>
        </w:trPr>
        <w:tc>
          <w:tcPr>
            <w:tcW w:w="4661" w:type="dxa"/>
            <w:noWrap/>
            <w:vAlign w:val="center"/>
          </w:tcPr>
          <w:p w14:paraId="650578E8"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xml:space="preserve">z toho: </w:t>
            </w:r>
          </w:p>
        </w:tc>
        <w:tc>
          <w:tcPr>
            <w:tcW w:w="1267" w:type="dxa"/>
            <w:noWrap/>
            <w:vAlign w:val="center"/>
          </w:tcPr>
          <w:p w14:paraId="1DFC3958" w14:textId="77777777" w:rsidR="00940F02" w:rsidRPr="00E853D3" w:rsidRDefault="00940F02" w:rsidP="00237722">
            <w:pPr>
              <w:spacing w:after="0" w:line="240" w:lineRule="auto"/>
              <w:jc w:val="right"/>
              <w:rPr>
                <w:rFonts w:ascii="Times New Roman" w:hAnsi="Times New Roman"/>
                <w:b/>
                <w:bCs/>
                <w:i/>
                <w:iCs/>
                <w:sz w:val="24"/>
                <w:szCs w:val="24"/>
                <w:lang w:eastAsia="sk-SK"/>
              </w:rPr>
            </w:pPr>
          </w:p>
        </w:tc>
        <w:tc>
          <w:tcPr>
            <w:tcW w:w="1267" w:type="dxa"/>
            <w:noWrap/>
            <w:vAlign w:val="center"/>
          </w:tcPr>
          <w:p w14:paraId="7030AF5F" w14:textId="77777777" w:rsidR="00940F02" w:rsidRPr="00061BB5" w:rsidRDefault="00940F02" w:rsidP="00237722">
            <w:pPr>
              <w:spacing w:after="0" w:line="240" w:lineRule="auto"/>
              <w:jc w:val="right"/>
              <w:rPr>
                <w:rFonts w:ascii="Times New Roman" w:hAnsi="Times New Roman"/>
                <w:b/>
                <w:bCs/>
                <w:i/>
                <w:iCs/>
                <w:sz w:val="24"/>
                <w:szCs w:val="24"/>
                <w:lang w:eastAsia="sk-SK"/>
              </w:rPr>
            </w:pPr>
          </w:p>
        </w:tc>
        <w:tc>
          <w:tcPr>
            <w:tcW w:w="1267" w:type="dxa"/>
            <w:noWrap/>
            <w:vAlign w:val="center"/>
          </w:tcPr>
          <w:p w14:paraId="16C4B784" w14:textId="77777777" w:rsidR="00940F02" w:rsidRPr="00E853D3" w:rsidRDefault="00940F02" w:rsidP="00237722">
            <w:pPr>
              <w:spacing w:after="0" w:line="240" w:lineRule="auto"/>
              <w:jc w:val="right"/>
              <w:rPr>
                <w:rFonts w:ascii="Times New Roman" w:hAnsi="Times New Roman"/>
                <w:b/>
                <w:bCs/>
                <w:i/>
                <w:iCs/>
                <w:sz w:val="24"/>
                <w:szCs w:val="24"/>
                <w:lang w:eastAsia="sk-SK"/>
              </w:rPr>
            </w:pPr>
          </w:p>
        </w:tc>
        <w:tc>
          <w:tcPr>
            <w:tcW w:w="1267" w:type="dxa"/>
            <w:noWrap/>
            <w:vAlign w:val="center"/>
          </w:tcPr>
          <w:p w14:paraId="13C0FAED" w14:textId="77777777" w:rsidR="00940F02" w:rsidRPr="00E853D3" w:rsidRDefault="00940F02" w:rsidP="00237722">
            <w:pPr>
              <w:spacing w:after="0" w:line="240" w:lineRule="auto"/>
              <w:jc w:val="right"/>
              <w:rPr>
                <w:rFonts w:ascii="Times New Roman" w:hAnsi="Times New Roman"/>
                <w:b/>
                <w:bCs/>
                <w:i/>
                <w:iCs/>
                <w:sz w:val="24"/>
                <w:szCs w:val="24"/>
                <w:lang w:eastAsia="sk-SK"/>
              </w:rPr>
            </w:pPr>
          </w:p>
        </w:tc>
      </w:tr>
      <w:tr w:rsidR="00940F02" w:rsidRPr="007D5748" w14:paraId="781DB52E" w14:textId="77777777" w:rsidTr="00237722">
        <w:trPr>
          <w:trHeight w:val="70"/>
          <w:jc w:val="center"/>
        </w:trPr>
        <w:tc>
          <w:tcPr>
            <w:tcW w:w="4661" w:type="dxa"/>
            <w:noWrap/>
            <w:vAlign w:val="center"/>
          </w:tcPr>
          <w:p w14:paraId="28D810AF"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ŠR</w:t>
            </w:r>
          </w:p>
        </w:tc>
        <w:tc>
          <w:tcPr>
            <w:tcW w:w="1267" w:type="dxa"/>
            <w:noWrap/>
            <w:vAlign w:val="center"/>
          </w:tcPr>
          <w:p w14:paraId="0404C7FE" w14:textId="77777777" w:rsidR="00940F02" w:rsidRPr="00E853D3" w:rsidRDefault="00940F02" w:rsidP="00237722">
            <w:pPr>
              <w:spacing w:after="0" w:line="240" w:lineRule="auto"/>
              <w:jc w:val="right"/>
              <w:rPr>
                <w:rFonts w:ascii="Times New Roman" w:hAnsi="Times New Roman"/>
                <w:b/>
                <w:bCs/>
                <w:i/>
                <w:sz w:val="24"/>
                <w:szCs w:val="24"/>
                <w:lang w:eastAsia="sk-SK"/>
              </w:rPr>
            </w:pPr>
            <w:r w:rsidRPr="00E853D3">
              <w:rPr>
                <w:rFonts w:ascii="Times New Roman" w:hAnsi="Times New Roman"/>
                <w:b/>
                <w:bCs/>
                <w:i/>
                <w:sz w:val="24"/>
                <w:szCs w:val="24"/>
                <w:lang w:eastAsia="sk-SK"/>
              </w:rPr>
              <w:t>0</w:t>
            </w:r>
          </w:p>
        </w:tc>
        <w:tc>
          <w:tcPr>
            <w:tcW w:w="1267" w:type="dxa"/>
            <w:noWrap/>
            <w:vAlign w:val="center"/>
          </w:tcPr>
          <w:p w14:paraId="46791A83" w14:textId="7B17630B" w:rsidR="00940F02" w:rsidRPr="00061BB5" w:rsidRDefault="005C08DA" w:rsidP="00237722">
            <w:pPr>
              <w:spacing w:after="0" w:line="240" w:lineRule="auto"/>
              <w:jc w:val="right"/>
              <w:rPr>
                <w:rFonts w:ascii="Times New Roman" w:hAnsi="Times New Roman"/>
                <w:b/>
                <w:bCs/>
                <w:i/>
                <w:sz w:val="24"/>
                <w:szCs w:val="24"/>
                <w:lang w:eastAsia="sk-SK"/>
              </w:rPr>
            </w:pPr>
            <w:r w:rsidRPr="00061BB5">
              <w:rPr>
                <w:rFonts w:ascii="Times New Roman" w:hAnsi="Times New Roman"/>
                <w:b/>
                <w:bCs/>
                <w:i/>
                <w:sz w:val="24"/>
                <w:szCs w:val="24"/>
                <w:lang w:eastAsia="sk-SK"/>
              </w:rPr>
              <w:t>131 766</w:t>
            </w:r>
          </w:p>
        </w:tc>
        <w:tc>
          <w:tcPr>
            <w:tcW w:w="1267" w:type="dxa"/>
            <w:noWrap/>
            <w:vAlign w:val="center"/>
          </w:tcPr>
          <w:p w14:paraId="2EFAF91E" w14:textId="77777777" w:rsidR="00940F02" w:rsidRPr="00E853D3" w:rsidRDefault="00940F02" w:rsidP="00237722">
            <w:pPr>
              <w:spacing w:after="0" w:line="240" w:lineRule="auto"/>
              <w:jc w:val="right"/>
              <w:rPr>
                <w:rFonts w:ascii="Times New Roman" w:hAnsi="Times New Roman"/>
                <w:b/>
                <w:bCs/>
                <w:i/>
                <w:sz w:val="24"/>
                <w:szCs w:val="24"/>
                <w:lang w:eastAsia="sk-SK"/>
              </w:rPr>
            </w:pPr>
            <w:r w:rsidRPr="00E853D3">
              <w:rPr>
                <w:rFonts w:ascii="Times New Roman" w:hAnsi="Times New Roman"/>
                <w:b/>
                <w:bCs/>
                <w:i/>
                <w:sz w:val="24"/>
                <w:szCs w:val="24"/>
                <w:lang w:eastAsia="sk-SK"/>
              </w:rPr>
              <w:t>0</w:t>
            </w:r>
          </w:p>
        </w:tc>
        <w:tc>
          <w:tcPr>
            <w:tcW w:w="1267" w:type="dxa"/>
            <w:noWrap/>
            <w:vAlign w:val="center"/>
          </w:tcPr>
          <w:p w14:paraId="6D33D275" w14:textId="77777777" w:rsidR="00940F02" w:rsidRPr="00E853D3" w:rsidRDefault="00940F02" w:rsidP="00237722">
            <w:pPr>
              <w:spacing w:after="0" w:line="240" w:lineRule="auto"/>
              <w:jc w:val="right"/>
              <w:rPr>
                <w:rFonts w:ascii="Times New Roman" w:hAnsi="Times New Roman"/>
                <w:b/>
                <w:bCs/>
                <w:i/>
                <w:sz w:val="24"/>
                <w:szCs w:val="24"/>
                <w:lang w:eastAsia="sk-SK"/>
              </w:rPr>
            </w:pPr>
            <w:r w:rsidRPr="00E853D3">
              <w:rPr>
                <w:rFonts w:ascii="Times New Roman" w:hAnsi="Times New Roman"/>
                <w:b/>
                <w:bCs/>
                <w:i/>
                <w:sz w:val="24"/>
                <w:szCs w:val="24"/>
                <w:lang w:eastAsia="sk-SK"/>
              </w:rPr>
              <w:t>0</w:t>
            </w:r>
          </w:p>
        </w:tc>
      </w:tr>
      <w:tr w:rsidR="00940F02" w:rsidRPr="007D5748" w14:paraId="3712E936" w14:textId="77777777" w:rsidTr="00237722">
        <w:trPr>
          <w:trHeight w:val="70"/>
          <w:jc w:val="center"/>
        </w:trPr>
        <w:tc>
          <w:tcPr>
            <w:tcW w:w="4661" w:type="dxa"/>
            <w:noWrap/>
            <w:vAlign w:val="center"/>
          </w:tcPr>
          <w:p w14:paraId="26BCAE75" w14:textId="77777777" w:rsidR="00940F02" w:rsidRPr="006B04A1" w:rsidRDefault="00940F02" w:rsidP="00237722">
            <w:pPr>
              <w:spacing w:after="0" w:line="240" w:lineRule="auto"/>
              <w:ind w:left="259"/>
              <w:rPr>
                <w:rFonts w:ascii="Times New Roman" w:hAnsi="Times New Roman"/>
                <w:b/>
                <w:bCs/>
                <w:i/>
                <w:iCs/>
                <w:sz w:val="24"/>
                <w:szCs w:val="24"/>
                <w:lang w:eastAsia="sk-SK"/>
              </w:rPr>
            </w:pPr>
            <w:r w:rsidRPr="006B04A1">
              <w:rPr>
                <w:rFonts w:ascii="Times New Roman" w:hAnsi="Times New Roman"/>
                <w:bCs/>
                <w:i/>
                <w:iCs/>
                <w:sz w:val="24"/>
                <w:szCs w:val="24"/>
                <w:lang w:eastAsia="sk-SK"/>
              </w:rPr>
              <w:t>Rozpočtové prostriedky</w:t>
            </w:r>
          </w:p>
        </w:tc>
        <w:tc>
          <w:tcPr>
            <w:tcW w:w="1267" w:type="dxa"/>
            <w:noWrap/>
            <w:vAlign w:val="center"/>
          </w:tcPr>
          <w:p w14:paraId="2F7D8503" w14:textId="77777777" w:rsidR="00940F02" w:rsidRPr="00E853D3" w:rsidRDefault="00940F02" w:rsidP="00237722">
            <w:pPr>
              <w:spacing w:after="0" w:line="240" w:lineRule="auto"/>
              <w:jc w:val="right"/>
              <w:rPr>
                <w:rFonts w:ascii="Times New Roman" w:hAnsi="Times New Roman"/>
                <w:bCs/>
                <w:i/>
                <w:sz w:val="24"/>
                <w:szCs w:val="24"/>
                <w:lang w:eastAsia="sk-SK"/>
              </w:rPr>
            </w:pPr>
            <w:r w:rsidRPr="00E853D3">
              <w:rPr>
                <w:rFonts w:ascii="Times New Roman" w:hAnsi="Times New Roman"/>
                <w:bCs/>
                <w:i/>
                <w:sz w:val="24"/>
                <w:szCs w:val="24"/>
                <w:lang w:eastAsia="sk-SK"/>
              </w:rPr>
              <w:t>0</w:t>
            </w:r>
          </w:p>
        </w:tc>
        <w:tc>
          <w:tcPr>
            <w:tcW w:w="1267" w:type="dxa"/>
            <w:noWrap/>
            <w:vAlign w:val="center"/>
          </w:tcPr>
          <w:p w14:paraId="7D649B01" w14:textId="646A093B" w:rsidR="00940F02" w:rsidRPr="00061BB5" w:rsidRDefault="005C08DA" w:rsidP="00237722">
            <w:pPr>
              <w:spacing w:after="0" w:line="240" w:lineRule="auto"/>
              <w:jc w:val="right"/>
              <w:rPr>
                <w:rFonts w:ascii="Times New Roman" w:hAnsi="Times New Roman"/>
                <w:bCs/>
                <w:i/>
                <w:sz w:val="24"/>
                <w:szCs w:val="24"/>
                <w:lang w:eastAsia="sk-SK"/>
              </w:rPr>
            </w:pPr>
            <w:r w:rsidRPr="00061BB5">
              <w:rPr>
                <w:rFonts w:ascii="Times New Roman" w:hAnsi="Times New Roman"/>
                <w:bCs/>
                <w:i/>
                <w:sz w:val="24"/>
                <w:szCs w:val="24"/>
                <w:lang w:eastAsia="sk-SK"/>
              </w:rPr>
              <w:t>131 766</w:t>
            </w:r>
          </w:p>
        </w:tc>
        <w:tc>
          <w:tcPr>
            <w:tcW w:w="1267" w:type="dxa"/>
            <w:noWrap/>
            <w:vAlign w:val="center"/>
          </w:tcPr>
          <w:p w14:paraId="179B6A2E" w14:textId="77777777" w:rsidR="00940F02" w:rsidRPr="00E853D3" w:rsidRDefault="00940F02" w:rsidP="00237722">
            <w:pPr>
              <w:spacing w:after="0" w:line="240" w:lineRule="auto"/>
              <w:jc w:val="right"/>
              <w:rPr>
                <w:rFonts w:ascii="Times New Roman" w:hAnsi="Times New Roman"/>
                <w:bCs/>
                <w:i/>
                <w:sz w:val="24"/>
                <w:szCs w:val="24"/>
                <w:lang w:eastAsia="sk-SK"/>
              </w:rPr>
            </w:pPr>
            <w:r w:rsidRPr="00E853D3">
              <w:rPr>
                <w:rFonts w:ascii="Times New Roman" w:hAnsi="Times New Roman"/>
                <w:bCs/>
                <w:i/>
                <w:sz w:val="24"/>
                <w:szCs w:val="24"/>
                <w:lang w:eastAsia="sk-SK"/>
              </w:rPr>
              <w:t>0</w:t>
            </w:r>
          </w:p>
        </w:tc>
        <w:tc>
          <w:tcPr>
            <w:tcW w:w="1267" w:type="dxa"/>
            <w:noWrap/>
            <w:vAlign w:val="center"/>
          </w:tcPr>
          <w:p w14:paraId="40452115" w14:textId="77777777" w:rsidR="00940F02" w:rsidRPr="00E853D3" w:rsidRDefault="00940F02" w:rsidP="00237722">
            <w:pPr>
              <w:spacing w:after="0" w:line="240" w:lineRule="auto"/>
              <w:jc w:val="right"/>
              <w:rPr>
                <w:rFonts w:ascii="Times New Roman" w:hAnsi="Times New Roman"/>
                <w:bCs/>
                <w:i/>
                <w:sz w:val="24"/>
                <w:szCs w:val="24"/>
                <w:lang w:eastAsia="sk-SK"/>
              </w:rPr>
            </w:pPr>
            <w:r w:rsidRPr="00E853D3">
              <w:rPr>
                <w:rFonts w:ascii="Times New Roman" w:hAnsi="Times New Roman"/>
                <w:bCs/>
                <w:i/>
                <w:sz w:val="24"/>
                <w:szCs w:val="24"/>
                <w:lang w:eastAsia="sk-SK"/>
              </w:rPr>
              <w:t>0</w:t>
            </w:r>
          </w:p>
        </w:tc>
      </w:tr>
      <w:tr w:rsidR="00940F02" w:rsidRPr="007D5748" w14:paraId="34524845" w14:textId="77777777" w:rsidTr="00237722">
        <w:trPr>
          <w:trHeight w:val="70"/>
          <w:jc w:val="center"/>
        </w:trPr>
        <w:tc>
          <w:tcPr>
            <w:tcW w:w="4661" w:type="dxa"/>
            <w:noWrap/>
            <w:vAlign w:val="center"/>
          </w:tcPr>
          <w:p w14:paraId="6B899A80" w14:textId="77777777" w:rsidR="00940F02" w:rsidRPr="006B04A1" w:rsidRDefault="00940F02" w:rsidP="00237722">
            <w:pPr>
              <w:spacing w:after="0" w:line="240" w:lineRule="auto"/>
              <w:rPr>
                <w:rFonts w:ascii="Times New Roman" w:hAnsi="Times New Roman"/>
                <w:bCs/>
                <w:i/>
                <w:iCs/>
                <w:sz w:val="24"/>
                <w:szCs w:val="24"/>
                <w:lang w:eastAsia="sk-SK"/>
              </w:rPr>
            </w:pPr>
            <w:r w:rsidRPr="006B04A1">
              <w:rPr>
                <w:rFonts w:ascii="Times New Roman" w:hAnsi="Times New Roman"/>
                <w:bCs/>
                <w:i/>
                <w:iCs/>
                <w:sz w:val="24"/>
                <w:szCs w:val="24"/>
                <w:lang w:eastAsia="sk-SK"/>
              </w:rPr>
              <w:t xml:space="preserve">    EÚ zdroje</w:t>
            </w:r>
          </w:p>
        </w:tc>
        <w:tc>
          <w:tcPr>
            <w:tcW w:w="1267" w:type="dxa"/>
            <w:noWrap/>
            <w:vAlign w:val="center"/>
          </w:tcPr>
          <w:p w14:paraId="18F91132" w14:textId="77777777" w:rsidR="00940F02" w:rsidRPr="00E853D3" w:rsidRDefault="00940F02" w:rsidP="00237722">
            <w:pPr>
              <w:spacing w:after="0" w:line="240" w:lineRule="auto"/>
              <w:jc w:val="right"/>
              <w:rPr>
                <w:rFonts w:ascii="Times New Roman" w:hAnsi="Times New Roman"/>
                <w:i/>
                <w:sz w:val="24"/>
                <w:szCs w:val="24"/>
                <w:lang w:eastAsia="sk-SK"/>
              </w:rPr>
            </w:pPr>
            <w:r w:rsidRPr="00E853D3">
              <w:rPr>
                <w:rFonts w:ascii="Times New Roman" w:hAnsi="Times New Roman"/>
                <w:i/>
                <w:sz w:val="24"/>
                <w:szCs w:val="24"/>
                <w:lang w:eastAsia="sk-SK"/>
              </w:rPr>
              <w:t>0</w:t>
            </w:r>
          </w:p>
        </w:tc>
        <w:tc>
          <w:tcPr>
            <w:tcW w:w="1267" w:type="dxa"/>
            <w:noWrap/>
            <w:vAlign w:val="center"/>
          </w:tcPr>
          <w:p w14:paraId="261565D6" w14:textId="77777777" w:rsidR="00940F02" w:rsidRPr="00061BB5" w:rsidRDefault="00940F02" w:rsidP="00237722">
            <w:pPr>
              <w:spacing w:after="0" w:line="240" w:lineRule="auto"/>
              <w:jc w:val="right"/>
              <w:rPr>
                <w:rFonts w:ascii="Times New Roman" w:hAnsi="Times New Roman"/>
                <w:i/>
                <w:sz w:val="24"/>
                <w:szCs w:val="24"/>
                <w:lang w:eastAsia="sk-SK"/>
              </w:rPr>
            </w:pPr>
            <w:r w:rsidRPr="00061BB5">
              <w:rPr>
                <w:rFonts w:ascii="Times New Roman" w:hAnsi="Times New Roman"/>
                <w:i/>
                <w:sz w:val="24"/>
                <w:szCs w:val="24"/>
                <w:lang w:eastAsia="sk-SK"/>
              </w:rPr>
              <w:t>0</w:t>
            </w:r>
          </w:p>
        </w:tc>
        <w:tc>
          <w:tcPr>
            <w:tcW w:w="1267" w:type="dxa"/>
            <w:noWrap/>
            <w:vAlign w:val="center"/>
          </w:tcPr>
          <w:p w14:paraId="1DF07ED6" w14:textId="77777777" w:rsidR="00940F02" w:rsidRPr="00E853D3" w:rsidRDefault="00940F02" w:rsidP="00237722">
            <w:pPr>
              <w:spacing w:after="0" w:line="240" w:lineRule="auto"/>
              <w:jc w:val="right"/>
              <w:rPr>
                <w:rFonts w:ascii="Times New Roman" w:hAnsi="Times New Roman"/>
                <w:i/>
                <w:sz w:val="24"/>
                <w:szCs w:val="24"/>
                <w:lang w:eastAsia="sk-SK"/>
              </w:rPr>
            </w:pPr>
            <w:r w:rsidRPr="00E853D3">
              <w:rPr>
                <w:rFonts w:ascii="Times New Roman" w:hAnsi="Times New Roman"/>
                <w:i/>
                <w:sz w:val="24"/>
                <w:szCs w:val="24"/>
                <w:lang w:eastAsia="sk-SK"/>
              </w:rPr>
              <w:t>0</w:t>
            </w:r>
          </w:p>
        </w:tc>
        <w:tc>
          <w:tcPr>
            <w:tcW w:w="1267" w:type="dxa"/>
            <w:noWrap/>
            <w:vAlign w:val="center"/>
          </w:tcPr>
          <w:p w14:paraId="2E3EA525" w14:textId="77777777" w:rsidR="00940F02" w:rsidRPr="00E853D3" w:rsidRDefault="00940F02" w:rsidP="00237722">
            <w:pPr>
              <w:spacing w:after="0" w:line="240" w:lineRule="auto"/>
              <w:jc w:val="right"/>
              <w:rPr>
                <w:rFonts w:ascii="Times New Roman" w:hAnsi="Times New Roman"/>
                <w:i/>
                <w:sz w:val="24"/>
                <w:szCs w:val="24"/>
                <w:lang w:eastAsia="sk-SK"/>
              </w:rPr>
            </w:pPr>
            <w:r w:rsidRPr="00E853D3">
              <w:rPr>
                <w:rFonts w:ascii="Times New Roman" w:hAnsi="Times New Roman"/>
                <w:i/>
                <w:sz w:val="24"/>
                <w:szCs w:val="24"/>
                <w:lang w:eastAsia="sk-SK"/>
              </w:rPr>
              <w:t>0</w:t>
            </w:r>
          </w:p>
        </w:tc>
      </w:tr>
      <w:tr w:rsidR="00940F02" w:rsidRPr="007D5748" w14:paraId="677E0248" w14:textId="77777777" w:rsidTr="00237722">
        <w:trPr>
          <w:trHeight w:val="70"/>
          <w:jc w:val="center"/>
        </w:trPr>
        <w:tc>
          <w:tcPr>
            <w:tcW w:w="4661" w:type="dxa"/>
            <w:noWrap/>
            <w:vAlign w:val="center"/>
          </w:tcPr>
          <w:p w14:paraId="53AB5203" w14:textId="77777777" w:rsidR="00940F02" w:rsidRPr="006B04A1" w:rsidRDefault="00940F02" w:rsidP="00237722">
            <w:pPr>
              <w:spacing w:after="0" w:line="240" w:lineRule="auto"/>
              <w:rPr>
                <w:rFonts w:ascii="Times New Roman" w:hAnsi="Times New Roman"/>
                <w:bCs/>
                <w:i/>
                <w:iCs/>
                <w:sz w:val="24"/>
                <w:szCs w:val="24"/>
                <w:lang w:eastAsia="sk-SK"/>
              </w:rPr>
            </w:pPr>
            <w:r w:rsidRPr="006B04A1">
              <w:rPr>
                <w:rFonts w:ascii="Times New Roman" w:hAnsi="Times New Roman"/>
                <w:bCs/>
                <w:i/>
                <w:iCs/>
                <w:sz w:val="24"/>
                <w:szCs w:val="24"/>
                <w:lang w:eastAsia="sk-SK"/>
              </w:rPr>
              <w:t xml:space="preserve">    spolufinancovanie</w:t>
            </w:r>
          </w:p>
        </w:tc>
        <w:tc>
          <w:tcPr>
            <w:tcW w:w="1267" w:type="dxa"/>
            <w:noWrap/>
            <w:vAlign w:val="center"/>
          </w:tcPr>
          <w:p w14:paraId="6E7619D9" w14:textId="77777777" w:rsidR="00940F02" w:rsidRPr="00E853D3" w:rsidRDefault="00940F02" w:rsidP="00237722">
            <w:pPr>
              <w:spacing w:after="0" w:line="240" w:lineRule="auto"/>
              <w:jc w:val="right"/>
              <w:rPr>
                <w:rFonts w:ascii="Times New Roman" w:hAnsi="Times New Roman"/>
                <w:i/>
                <w:sz w:val="24"/>
                <w:szCs w:val="24"/>
                <w:lang w:eastAsia="sk-SK"/>
              </w:rPr>
            </w:pPr>
            <w:r w:rsidRPr="00E853D3">
              <w:rPr>
                <w:rFonts w:ascii="Times New Roman" w:hAnsi="Times New Roman"/>
                <w:i/>
                <w:sz w:val="24"/>
                <w:szCs w:val="24"/>
                <w:lang w:eastAsia="sk-SK"/>
              </w:rPr>
              <w:t>0</w:t>
            </w:r>
          </w:p>
        </w:tc>
        <w:tc>
          <w:tcPr>
            <w:tcW w:w="1267" w:type="dxa"/>
            <w:noWrap/>
            <w:vAlign w:val="center"/>
          </w:tcPr>
          <w:p w14:paraId="43CA9517" w14:textId="77777777" w:rsidR="00940F02" w:rsidRPr="00061BB5" w:rsidRDefault="00940F02" w:rsidP="00237722">
            <w:pPr>
              <w:spacing w:after="0" w:line="240" w:lineRule="auto"/>
              <w:jc w:val="right"/>
              <w:rPr>
                <w:rFonts w:ascii="Times New Roman" w:hAnsi="Times New Roman"/>
                <w:i/>
                <w:sz w:val="24"/>
                <w:szCs w:val="24"/>
                <w:lang w:eastAsia="sk-SK"/>
              </w:rPr>
            </w:pPr>
            <w:r w:rsidRPr="00061BB5">
              <w:rPr>
                <w:rFonts w:ascii="Times New Roman" w:hAnsi="Times New Roman"/>
                <w:i/>
                <w:sz w:val="24"/>
                <w:szCs w:val="24"/>
                <w:lang w:eastAsia="sk-SK"/>
              </w:rPr>
              <w:t>0</w:t>
            </w:r>
          </w:p>
        </w:tc>
        <w:tc>
          <w:tcPr>
            <w:tcW w:w="1267" w:type="dxa"/>
            <w:noWrap/>
            <w:vAlign w:val="center"/>
          </w:tcPr>
          <w:p w14:paraId="4DC6658D" w14:textId="77777777" w:rsidR="00940F02" w:rsidRPr="00E853D3" w:rsidRDefault="00940F02" w:rsidP="00237722">
            <w:pPr>
              <w:spacing w:after="0" w:line="240" w:lineRule="auto"/>
              <w:jc w:val="right"/>
              <w:rPr>
                <w:rFonts w:ascii="Times New Roman" w:hAnsi="Times New Roman"/>
                <w:i/>
                <w:sz w:val="24"/>
                <w:szCs w:val="24"/>
                <w:lang w:eastAsia="sk-SK"/>
              </w:rPr>
            </w:pPr>
            <w:r w:rsidRPr="00E853D3">
              <w:rPr>
                <w:rFonts w:ascii="Times New Roman" w:hAnsi="Times New Roman"/>
                <w:i/>
                <w:sz w:val="24"/>
                <w:szCs w:val="24"/>
                <w:lang w:eastAsia="sk-SK"/>
              </w:rPr>
              <w:t>0</w:t>
            </w:r>
          </w:p>
        </w:tc>
        <w:tc>
          <w:tcPr>
            <w:tcW w:w="1267" w:type="dxa"/>
            <w:noWrap/>
            <w:vAlign w:val="center"/>
          </w:tcPr>
          <w:p w14:paraId="4F32B607" w14:textId="77777777" w:rsidR="00940F02" w:rsidRPr="00E853D3" w:rsidRDefault="00940F02" w:rsidP="00237722">
            <w:pPr>
              <w:spacing w:after="0" w:line="240" w:lineRule="auto"/>
              <w:jc w:val="right"/>
              <w:rPr>
                <w:rFonts w:ascii="Times New Roman" w:hAnsi="Times New Roman"/>
                <w:i/>
                <w:sz w:val="24"/>
                <w:szCs w:val="24"/>
                <w:lang w:eastAsia="sk-SK"/>
              </w:rPr>
            </w:pPr>
            <w:r w:rsidRPr="00E853D3">
              <w:rPr>
                <w:rFonts w:ascii="Times New Roman" w:hAnsi="Times New Roman"/>
                <w:i/>
                <w:sz w:val="24"/>
                <w:szCs w:val="24"/>
                <w:lang w:eastAsia="sk-SK"/>
              </w:rPr>
              <w:t>0</w:t>
            </w:r>
          </w:p>
        </w:tc>
      </w:tr>
      <w:tr w:rsidR="00940F02" w:rsidRPr="007D5748" w14:paraId="1356117E" w14:textId="77777777" w:rsidTr="00237722">
        <w:trPr>
          <w:trHeight w:val="125"/>
          <w:jc w:val="center"/>
        </w:trPr>
        <w:tc>
          <w:tcPr>
            <w:tcW w:w="4661" w:type="dxa"/>
            <w:noWrap/>
            <w:vAlign w:val="center"/>
          </w:tcPr>
          <w:p w14:paraId="682A78E4"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obce</w:t>
            </w:r>
          </w:p>
        </w:tc>
        <w:tc>
          <w:tcPr>
            <w:tcW w:w="1267" w:type="dxa"/>
            <w:noWrap/>
            <w:vAlign w:val="center"/>
          </w:tcPr>
          <w:p w14:paraId="406CC2E2"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277D1BD7" w14:textId="77777777" w:rsidR="00940F02" w:rsidRPr="00061BB5" w:rsidRDefault="00940F02" w:rsidP="00237722">
            <w:pPr>
              <w:spacing w:after="0" w:line="240" w:lineRule="auto"/>
              <w:jc w:val="right"/>
              <w:rPr>
                <w:rFonts w:ascii="Times New Roman" w:hAnsi="Times New Roman"/>
                <w:b/>
                <w:bCs/>
                <w:i/>
                <w:iCs/>
                <w:sz w:val="24"/>
                <w:szCs w:val="24"/>
                <w:lang w:eastAsia="sk-SK"/>
              </w:rPr>
            </w:pPr>
            <w:r w:rsidRPr="00061BB5">
              <w:rPr>
                <w:rFonts w:ascii="Times New Roman" w:hAnsi="Times New Roman"/>
                <w:b/>
                <w:bCs/>
                <w:i/>
                <w:iCs/>
                <w:sz w:val="24"/>
                <w:szCs w:val="24"/>
                <w:lang w:eastAsia="sk-SK"/>
              </w:rPr>
              <w:t>0</w:t>
            </w:r>
          </w:p>
        </w:tc>
        <w:tc>
          <w:tcPr>
            <w:tcW w:w="1267" w:type="dxa"/>
            <w:noWrap/>
            <w:vAlign w:val="center"/>
          </w:tcPr>
          <w:p w14:paraId="05A1C261"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29AAAA5A"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r>
      <w:tr w:rsidR="00940F02" w:rsidRPr="007D5748" w14:paraId="3CB92F1B" w14:textId="77777777" w:rsidTr="00237722">
        <w:trPr>
          <w:trHeight w:val="125"/>
          <w:jc w:val="center"/>
        </w:trPr>
        <w:tc>
          <w:tcPr>
            <w:tcW w:w="4661" w:type="dxa"/>
            <w:noWrap/>
            <w:vAlign w:val="center"/>
          </w:tcPr>
          <w:p w14:paraId="67E9DD99"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vyššie územné celky</w:t>
            </w:r>
          </w:p>
        </w:tc>
        <w:tc>
          <w:tcPr>
            <w:tcW w:w="1267" w:type="dxa"/>
            <w:noWrap/>
            <w:vAlign w:val="center"/>
          </w:tcPr>
          <w:p w14:paraId="11E713B9"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68EC4B37" w14:textId="77777777" w:rsidR="00940F02" w:rsidRPr="00061BB5" w:rsidRDefault="00940F02" w:rsidP="00237722">
            <w:pPr>
              <w:spacing w:after="0" w:line="240" w:lineRule="auto"/>
              <w:jc w:val="right"/>
              <w:rPr>
                <w:rFonts w:ascii="Times New Roman" w:hAnsi="Times New Roman"/>
                <w:b/>
                <w:bCs/>
                <w:i/>
                <w:iCs/>
                <w:sz w:val="24"/>
                <w:szCs w:val="24"/>
                <w:lang w:eastAsia="sk-SK"/>
              </w:rPr>
            </w:pPr>
            <w:r w:rsidRPr="00061BB5">
              <w:rPr>
                <w:rFonts w:ascii="Times New Roman" w:hAnsi="Times New Roman"/>
                <w:b/>
                <w:bCs/>
                <w:i/>
                <w:iCs/>
                <w:sz w:val="24"/>
                <w:szCs w:val="24"/>
                <w:lang w:eastAsia="sk-SK"/>
              </w:rPr>
              <w:t>0</w:t>
            </w:r>
          </w:p>
        </w:tc>
        <w:tc>
          <w:tcPr>
            <w:tcW w:w="1267" w:type="dxa"/>
            <w:noWrap/>
            <w:vAlign w:val="center"/>
          </w:tcPr>
          <w:p w14:paraId="4C0E60DC"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5EA6B6A1"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r>
      <w:tr w:rsidR="00940F02" w:rsidRPr="007D5748" w14:paraId="39F2D768" w14:textId="77777777" w:rsidTr="00237722">
        <w:trPr>
          <w:trHeight w:val="70"/>
          <w:jc w:val="center"/>
        </w:trPr>
        <w:tc>
          <w:tcPr>
            <w:tcW w:w="4661" w:type="dxa"/>
            <w:noWrap/>
            <w:vAlign w:val="center"/>
          </w:tcPr>
          <w:p w14:paraId="2750F8E0" w14:textId="77777777" w:rsidR="00940F02" w:rsidRPr="006B04A1" w:rsidRDefault="00940F02" w:rsidP="00237722">
            <w:pPr>
              <w:spacing w:after="0" w:line="240" w:lineRule="auto"/>
              <w:rPr>
                <w:rFonts w:ascii="Times New Roman" w:hAnsi="Times New Roman"/>
                <w:b/>
                <w:bCs/>
                <w:sz w:val="24"/>
                <w:szCs w:val="24"/>
                <w:lang w:eastAsia="sk-SK"/>
              </w:rPr>
            </w:pPr>
            <w:r w:rsidRPr="006B04A1">
              <w:rPr>
                <w:rFonts w:ascii="Times New Roman" w:hAnsi="Times New Roman"/>
                <w:b/>
                <w:bCs/>
                <w:i/>
                <w:iCs/>
                <w:sz w:val="24"/>
                <w:szCs w:val="24"/>
                <w:lang w:eastAsia="sk-SK"/>
              </w:rPr>
              <w:t>- vplyv na ostatné subjekty verejnej správy</w:t>
            </w:r>
          </w:p>
        </w:tc>
        <w:tc>
          <w:tcPr>
            <w:tcW w:w="1267" w:type="dxa"/>
            <w:noWrap/>
            <w:vAlign w:val="center"/>
          </w:tcPr>
          <w:p w14:paraId="68686996"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08A792E3" w14:textId="77777777" w:rsidR="00940F02" w:rsidRPr="00061BB5" w:rsidRDefault="00940F02" w:rsidP="00237722">
            <w:pPr>
              <w:spacing w:after="0" w:line="240" w:lineRule="auto"/>
              <w:jc w:val="right"/>
              <w:rPr>
                <w:rFonts w:ascii="Times New Roman" w:hAnsi="Times New Roman"/>
                <w:b/>
                <w:bCs/>
                <w:i/>
                <w:iCs/>
                <w:sz w:val="24"/>
                <w:szCs w:val="24"/>
                <w:lang w:eastAsia="sk-SK"/>
              </w:rPr>
            </w:pPr>
            <w:r w:rsidRPr="00061BB5">
              <w:rPr>
                <w:rFonts w:ascii="Times New Roman" w:hAnsi="Times New Roman"/>
                <w:b/>
                <w:bCs/>
                <w:i/>
                <w:iCs/>
                <w:sz w:val="24"/>
                <w:szCs w:val="24"/>
                <w:lang w:eastAsia="sk-SK"/>
              </w:rPr>
              <w:t>0</w:t>
            </w:r>
          </w:p>
        </w:tc>
        <w:tc>
          <w:tcPr>
            <w:tcW w:w="1267" w:type="dxa"/>
            <w:noWrap/>
            <w:vAlign w:val="center"/>
          </w:tcPr>
          <w:p w14:paraId="1FBAB774"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c>
          <w:tcPr>
            <w:tcW w:w="1267" w:type="dxa"/>
            <w:noWrap/>
            <w:vAlign w:val="center"/>
          </w:tcPr>
          <w:p w14:paraId="591C9E54" w14:textId="77777777" w:rsidR="00940F02" w:rsidRPr="00E853D3" w:rsidRDefault="00940F02" w:rsidP="00237722">
            <w:pPr>
              <w:spacing w:after="0" w:line="240" w:lineRule="auto"/>
              <w:jc w:val="right"/>
              <w:rPr>
                <w:rFonts w:ascii="Times New Roman" w:hAnsi="Times New Roman"/>
                <w:b/>
                <w:bCs/>
                <w:i/>
                <w:iCs/>
                <w:sz w:val="24"/>
                <w:szCs w:val="24"/>
                <w:lang w:eastAsia="sk-SK"/>
              </w:rPr>
            </w:pPr>
            <w:r w:rsidRPr="00E853D3">
              <w:rPr>
                <w:rFonts w:ascii="Times New Roman" w:hAnsi="Times New Roman"/>
                <w:b/>
                <w:bCs/>
                <w:i/>
                <w:iCs/>
                <w:sz w:val="24"/>
                <w:szCs w:val="24"/>
                <w:lang w:eastAsia="sk-SK"/>
              </w:rPr>
              <w:t>0</w:t>
            </w:r>
          </w:p>
        </w:tc>
      </w:tr>
      <w:tr w:rsidR="00940F02" w:rsidRPr="007D5748" w14:paraId="3F1D694C" w14:textId="77777777" w:rsidTr="00237722">
        <w:trPr>
          <w:trHeight w:val="70"/>
          <w:jc w:val="center"/>
        </w:trPr>
        <w:tc>
          <w:tcPr>
            <w:tcW w:w="4661" w:type="dxa"/>
            <w:shd w:val="clear" w:color="auto" w:fill="BFBFBF" w:themeFill="background1" w:themeFillShade="BF"/>
            <w:noWrap/>
            <w:vAlign w:val="center"/>
          </w:tcPr>
          <w:p w14:paraId="343E70EC" w14:textId="77777777" w:rsidR="00940F02" w:rsidRPr="006B04A1" w:rsidRDefault="00940F02" w:rsidP="00237722">
            <w:pPr>
              <w:spacing w:after="0" w:line="240" w:lineRule="auto"/>
              <w:rPr>
                <w:rFonts w:ascii="Times New Roman" w:hAnsi="Times New Roman"/>
                <w:b/>
                <w:bCs/>
                <w:sz w:val="24"/>
                <w:szCs w:val="24"/>
                <w:lang w:eastAsia="sk-SK"/>
              </w:rPr>
            </w:pPr>
            <w:r w:rsidRPr="006B04A1">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5A7ED3CB" w14:textId="77777777" w:rsidR="00940F02" w:rsidRPr="006B04A1" w:rsidRDefault="00940F02" w:rsidP="0023772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themeFill="background1" w:themeFillShade="BF"/>
            <w:noWrap/>
            <w:vAlign w:val="center"/>
          </w:tcPr>
          <w:p w14:paraId="4E8FE637" w14:textId="77777777" w:rsidR="00940F02" w:rsidRPr="00061BB5" w:rsidRDefault="00940F02" w:rsidP="00237722">
            <w:pPr>
              <w:spacing w:after="0" w:line="240" w:lineRule="auto"/>
              <w:jc w:val="right"/>
              <w:rPr>
                <w:rFonts w:ascii="Times New Roman" w:hAnsi="Times New Roman"/>
                <w:b/>
                <w:bCs/>
                <w:sz w:val="24"/>
                <w:szCs w:val="24"/>
                <w:lang w:eastAsia="sk-SK"/>
              </w:rPr>
            </w:pPr>
            <w:r w:rsidRPr="00061BB5">
              <w:rPr>
                <w:rFonts w:ascii="Times New Roman" w:hAnsi="Times New Roman"/>
                <w:b/>
                <w:bCs/>
                <w:sz w:val="24"/>
                <w:szCs w:val="24"/>
                <w:lang w:eastAsia="sk-SK"/>
              </w:rPr>
              <w:t>0</w:t>
            </w:r>
          </w:p>
        </w:tc>
        <w:tc>
          <w:tcPr>
            <w:tcW w:w="1267" w:type="dxa"/>
            <w:shd w:val="clear" w:color="auto" w:fill="BFBFBF" w:themeFill="background1" w:themeFillShade="BF"/>
            <w:noWrap/>
            <w:vAlign w:val="center"/>
          </w:tcPr>
          <w:p w14:paraId="017FB329" w14:textId="77777777" w:rsidR="00940F02" w:rsidRPr="006B04A1" w:rsidRDefault="00940F02" w:rsidP="0023772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themeFill="background1" w:themeFillShade="BF"/>
            <w:noWrap/>
            <w:vAlign w:val="center"/>
          </w:tcPr>
          <w:p w14:paraId="1B08E3F2" w14:textId="77777777" w:rsidR="00940F02" w:rsidRPr="006B04A1" w:rsidRDefault="00940F02" w:rsidP="0023772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940F02" w:rsidRPr="007D5748" w14:paraId="7DDB77B3" w14:textId="77777777" w:rsidTr="00237722">
        <w:trPr>
          <w:trHeight w:val="70"/>
          <w:jc w:val="center"/>
        </w:trPr>
        <w:tc>
          <w:tcPr>
            <w:tcW w:w="4661" w:type="dxa"/>
            <w:noWrap/>
            <w:vAlign w:val="center"/>
          </w:tcPr>
          <w:p w14:paraId="665D584B"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ŠR</w:t>
            </w:r>
          </w:p>
        </w:tc>
        <w:tc>
          <w:tcPr>
            <w:tcW w:w="1267" w:type="dxa"/>
            <w:noWrap/>
            <w:vAlign w:val="center"/>
          </w:tcPr>
          <w:p w14:paraId="261128F0"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7B5C440B" w14:textId="77777777" w:rsidR="00940F02" w:rsidRPr="00061BB5" w:rsidRDefault="00940F02" w:rsidP="00237722">
            <w:pPr>
              <w:spacing w:after="0" w:line="240" w:lineRule="auto"/>
              <w:jc w:val="right"/>
              <w:rPr>
                <w:rFonts w:ascii="Times New Roman" w:hAnsi="Times New Roman"/>
                <w:b/>
                <w:bCs/>
                <w:i/>
                <w:iCs/>
                <w:sz w:val="24"/>
                <w:szCs w:val="24"/>
                <w:lang w:eastAsia="sk-SK"/>
              </w:rPr>
            </w:pPr>
            <w:r w:rsidRPr="00061BB5">
              <w:rPr>
                <w:rFonts w:ascii="Times New Roman" w:hAnsi="Times New Roman"/>
                <w:b/>
                <w:bCs/>
                <w:i/>
                <w:iCs/>
                <w:sz w:val="24"/>
                <w:szCs w:val="24"/>
                <w:lang w:eastAsia="sk-SK"/>
              </w:rPr>
              <w:t>0</w:t>
            </w:r>
          </w:p>
        </w:tc>
        <w:tc>
          <w:tcPr>
            <w:tcW w:w="1267" w:type="dxa"/>
            <w:noWrap/>
            <w:vAlign w:val="center"/>
          </w:tcPr>
          <w:p w14:paraId="1DAB576E"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5145CD22"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940F02" w:rsidRPr="007D5748" w14:paraId="4AF78132" w14:textId="77777777" w:rsidTr="00237722">
        <w:trPr>
          <w:trHeight w:val="70"/>
          <w:jc w:val="center"/>
        </w:trPr>
        <w:tc>
          <w:tcPr>
            <w:tcW w:w="4661" w:type="dxa"/>
            <w:noWrap/>
            <w:vAlign w:val="center"/>
          </w:tcPr>
          <w:p w14:paraId="678C12E0"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obce</w:t>
            </w:r>
          </w:p>
        </w:tc>
        <w:tc>
          <w:tcPr>
            <w:tcW w:w="1267" w:type="dxa"/>
            <w:noWrap/>
            <w:vAlign w:val="center"/>
          </w:tcPr>
          <w:p w14:paraId="03BCF72B"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0362CD4B" w14:textId="77777777" w:rsidR="00940F02" w:rsidRPr="00061BB5" w:rsidRDefault="00940F02" w:rsidP="00237722">
            <w:pPr>
              <w:spacing w:after="0" w:line="240" w:lineRule="auto"/>
              <w:jc w:val="right"/>
              <w:rPr>
                <w:rFonts w:ascii="Times New Roman" w:hAnsi="Times New Roman"/>
                <w:b/>
                <w:bCs/>
                <w:i/>
                <w:iCs/>
                <w:sz w:val="24"/>
                <w:szCs w:val="24"/>
                <w:lang w:eastAsia="sk-SK"/>
              </w:rPr>
            </w:pPr>
            <w:r w:rsidRPr="00061BB5">
              <w:rPr>
                <w:rFonts w:ascii="Times New Roman" w:hAnsi="Times New Roman"/>
                <w:b/>
                <w:bCs/>
                <w:i/>
                <w:iCs/>
                <w:sz w:val="24"/>
                <w:szCs w:val="24"/>
                <w:lang w:eastAsia="sk-SK"/>
              </w:rPr>
              <w:t>0</w:t>
            </w:r>
          </w:p>
        </w:tc>
        <w:tc>
          <w:tcPr>
            <w:tcW w:w="1267" w:type="dxa"/>
            <w:noWrap/>
            <w:vAlign w:val="center"/>
          </w:tcPr>
          <w:p w14:paraId="006A7138"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0E8622F3"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940F02" w:rsidRPr="007D5748" w14:paraId="0CC6D003" w14:textId="77777777" w:rsidTr="00237722">
        <w:trPr>
          <w:trHeight w:val="70"/>
          <w:jc w:val="center"/>
        </w:trPr>
        <w:tc>
          <w:tcPr>
            <w:tcW w:w="4661" w:type="dxa"/>
            <w:noWrap/>
            <w:vAlign w:val="center"/>
          </w:tcPr>
          <w:p w14:paraId="142433FF"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vyššie územné celky</w:t>
            </w:r>
          </w:p>
        </w:tc>
        <w:tc>
          <w:tcPr>
            <w:tcW w:w="1267" w:type="dxa"/>
            <w:noWrap/>
            <w:vAlign w:val="center"/>
          </w:tcPr>
          <w:p w14:paraId="4BEB6ABE"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216AE234" w14:textId="77777777" w:rsidR="00940F02" w:rsidRPr="00061BB5" w:rsidRDefault="00940F02" w:rsidP="00237722">
            <w:pPr>
              <w:spacing w:after="0" w:line="240" w:lineRule="auto"/>
              <w:jc w:val="right"/>
              <w:rPr>
                <w:rFonts w:ascii="Times New Roman" w:hAnsi="Times New Roman"/>
                <w:b/>
                <w:bCs/>
                <w:i/>
                <w:iCs/>
                <w:sz w:val="24"/>
                <w:szCs w:val="24"/>
                <w:lang w:eastAsia="sk-SK"/>
              </w:rPr>
            </w:pPr>
            <w:r w:rsidRPr="00061BB5">
              <w:rPr>
                <w:rFonts w:ascii="Times New Roman" w:hAnsi="Times New Roman"/>
                <w:b/>
                <w:bCs/>
                <w:i/>
                <w:iCs/>
                <w:sz w:val="24"/>
                <w:szCs w:val="24"/>
                <w:lang w:eastAsia="sk-SK"/>
              </w:rPr>
              <w:t>0</w:t>
            </w:r>
          </w:p>
        </w:tc>
        <w:tc>
          <w:tcPr>
            <w:tcW w:w="1267" w:type="dxa"/>
            <w:noWrap/>
            <w:vAlign w:val="center"/>
          </w:tcPr>
          <w:p w14:paraId="1C749CF1"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40B577EF"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940F02" w:rsidRPr="007D5748" w14:paraId="5CBEA935" w14:textId="77777777" w:rsidTr="00237722">
        <w:trPr>
          <w:trHeight w:val="70"/>
          <w:jc w:val="center"/>
        </w:trPr>
        <w:tc>
          <w:tcPr>
            <w:tcW w:w="4661" w:type="dxa"/>
            <w:noWrap/>
            <w:vAlign w:val="center"/>
          </w:tcPr>
          <w:p w14:paraId="4226C1CE"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ostatné subjekty verejnej správy</w:t>
            </w:r>
          </w:p>
        </w:tc>
        <w:tc>
          <w:tcPr>
            <w:tcW w:w="1267" w:type="dxa"/>
            <w:noWrap/>
            <w:vAlign w:val="center"/>
          </w:tcPr>
          <w:p w14:paraId="63E5D6F2"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0373FD53" w14:textId="77777777" w:rsidR="00940F02" w:rsidRPr="00061BB5" w:rsidRDefault="00940F02" w:rsidP="00237722">
            <w:pPr>
              <w:spacing w:after="0" w:line="240" w:lineRule="auto"/>
              <w:jc w:val="right"/>
              <w:rPr>
                <w:rFonts w:ascii="Times New Roman" w:hAnsi="Times New Roman"/>
                <w:b/>
                <w:bCs/>
                <w:i/>
                <w:iCs/>
                <w:sz w:val="24"/>
                <w:szCs w:val="24"/>
                <w:lang w:eastAsia="sk-SK"/>
              </w:rPr>
            </w:pPr>
            <w:r w:rsidRPr="00061BB5">
              <w:rPr>
                <w:rFonts w:ascii="Times New Roman" w:hAnsi="Times New Roman"/>
                <w:b/>
                <w:bCs/>
                <w:i/>
                <w:iCs/>
                <w:sz w:val="24"/>
                <w:szCs w:val="24"/>
                <w:lang w:eastAsia="sk-SK"/>
              </w:rPr>
              <w:t>0</w:t>
            </w:r>
          </w:p>
        </w:tc>
        <w:tc>
          <w:tcPr>
            <w:tcW w:w="1267" w:type="dxa"/>
            <w:noWrap/>
            <w:vAlign w:val="center"/>
          </w:tcPr>
          <w:p w14:paraId="13CA12DA"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4A41E36D"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940F02" w:rsidRPr="007D5748" w14:paraId="23DC1D47" w14:textId="77777777" w:rsidTr="00237722">
        <w:trPr>
          <w:trHeight w:val="70"/>
          <w:jc w:val="center"/>
        </w:trPr>
        <w:tc>
          <w:tcPr>
            <w:tcW w:w="4661" w:type="dxa"/>
            <w:shd w:val="clear" w:color="auto" w:fill="BFBFBF" w:themeFill="background1" w:themeFillShade="BF"/>
            <w:noWrap/>
            <w:vAlign w:val="center"/>
          </w:tcPr>
          <w:p w14:paraId="196E4394" w14:textId="77777777" w:rsidR="00940F02" w:rsidRPr="006B04A1" w:rsidRDefault="00940F02" w:rsidP="00237722">
            <w:pPr>
              <w:spacing w:after="0" w:line="240" w:lineRule="auto"/>
              <w:rPr>
                <w:rFonts w:ascii="Times New Roman" w:hAnsi="Times New Roman"/>
                <w:b/>
                <w:sz w:val="24"/>
                <w:szCs w:val="24"/>
                <w:lang w:eastAsia="sk-SK"/>
              </w:rPr>
            </w:pPr>
            <w:r w:rsidRPr="006B04A1">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tcPr>
          <w:p w14:paraId="362338C4" w14:textId="77777777" w:rsidR="00940F02" w:rsidRPr="006B04A1" w:rsidRDefault="00940F02" w:rsidP="00237722">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0</w:t>
            </w:r>
          </w:p>
        </w:tc>
        <w:tc>
          <w:tcPr>
            <w:tcW w:w="1267" w:type="dxa"/>
            <w:shd w:val="clear" w:color="auto" w:fill="BFBFBF" w:themeFill="background1" w:themeFillShade="BF"/>
            <w:noWrap/>
            <w:vAlign w:val="center"/>
          </w:tcPr>
          <w:p w14:paraId="0045934B" w14:textId="77777777" w:rsidR="00940F02" w:rsidRPr="00061BB5" w:rsidRDefault="00940F02" w:rsidP="00237722">
            <w:pPr>
              <w:spacing w:after="0" w:line="240" w:lineRule="auto"/>
              <w:jc w:val="right"/>
              <w:rPr>
                <w:rFonts w:ascii="Times New Roman" w:hAnsi="Times New Roman"/>
                <w:b/>
                <w:sz w:val="24"/>
                <w:szCs w:val="24"/>
                <w:lang w:eastAsia="sk-SK"/>
              </w:rPr>
            </w:pPr>
            <w:r w:rsidRPr="00061BB5">
              <w:rPr>
                <w:rFonts w:ascii="Times New Roman" w:hAnsi="Times New Roman"/>
                <w:b/>
                <w:sz w:val="24"/>
                <w:szCs w:val="24"/>
                <w:lang w:eastAsia="sk-SK"/>
              </w:rPr>
              <w:t>0</w:t>
            </w:r>
          </w:p>
        </w:tc>
        <w:tc>
          <w:tcPr>
            <w:tcW w:w="1267" w:type="dxa"/>
            <w:shd w:val="clear" w:color="auto" w:fill="BFBFBF" w:themeFill="background1" w:themeFillShade="BF"/>
            <w:noWrap/>
            <w:vAlign w:val="center"/>
          </w:tcPr>
          <w:p w14:paraId="083060CB" w14:textId="77777777" w:rsidR="00940F02" w:rsidRPr="006B04A1" w:rsidRDefault="00940F02" w:rsidP="00237722">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0</w:t>
            </w:r>
          </w:p>
        </w:tc>
        <w:tc>
          <w:tcPr>
            <w:tcW w:w="1267" w:type="dxa"/>
            <w:shd w:val="clear" w:color="auto" w:fill="BFBFBF" w:themeFill="background1" w:themeFillShade="BF"/>
            <w:noWrap/>
            <w:vAlign w:val="center"/>
          </w:tcPr>
          <w:p w14:paraId="42FDF63B" w14:textId="77777777" w:rsidR="00940F02" w:rsidRPr="006B04A1" w:rsidRDefault="00940F02" w:rsidP="00237722">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0</w:t>
            </w:r>
          </w:p>
        </w:tc>
      </w:tr>
      <w:tr w:rsidR="00940F02" w:rsidRPr="007D5748" w14:paraId="4DB6D1DB" w14:textId="77777777" w:rsidTr="00237722">
        <w:trPr>
          <w:trHeight w:val="70"/>
          <w:jc w:val="center"/>
        </w:trPr>
        <w:tc>
          <w:tcPr>
            <w:tcW w:w="4661" w:type="dxa"/>
            <w:noWrap/>
            <w:vAlign w:val="center"/>
          </w:tcPr>
          <w:p w14:paraId="4E5BEDE8"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ŠR</w:t>
            </w:r>
          </w:p>
        </w:tc>
        <w:tc>
          <w:tcPr>
            <w:tcW w:w="1267" w:type="dxa"/>
            <w:noWrap/>
            <w:vAlign w:val="center"/>
          </w:tcPr>
          <w:p w14:paraId="37C2B134"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4314DC27" w14:textId="77777777" w:rsidR="00940F02" w:rsidRPr="00061BB5" w:rsidRDefault="00940F02" w:rsidP="00237722">
            <w:pPr>
              <w:spacing w:after="0" w:line="240" w:lineRule="auto"/>
              <w:jc w:val="right"/>
              <w:rPr>
                <w:rFonts w:ascii="Times New Roman" w:hAnsi="Times New Roman"/>
                <w:b/>
                <w:bCs/>
                <w:i/>
                <w:iCs/>
                <w:sz w:val="24"/>
                <w:szCs w:val="24"/>
                <w:lang w:eastAsia="sk-SK"/>
              </w:rPr>
            </w:pPr>
            <w:r w:rsidRPr="00061BB5">
              <w:rPr>
                <w:rFonts w:ascii="Times New Roman" w:hAnsi="Times New Roman"/>
                <w:b/>
                <w:bCs/>
                <w:i/>
                <w:iCs/>
                <w:sz w:val="24"/>
                <w:szCs w:val="24"/>
                <w:lang w:eastAsia="sk-SK"/>
              </w:rPr>
              <w:t>0</w:t>
            </w:r>
          </w:p>
        </w:tc>
        <w:tc>
          <w:tcPr>
            <w:tcW w:w="1267" w:type="dxa"/>
            <w:noWrap/>
            <w:vAlign w:val="center"/>
          </w:tcPr>
          <w:p w14:paraId="124E89DB"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6A0B472F"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940F02" w:rsidRPr="007D5748" w14:paraId="607AFC78" w14:textId="77777777" w:rsidTr="00237722">
        <w:trPr>
          <w:trHeight w:val="70"/>
          <w:jc w:val="center"/>
        </w:trPr>
        <w:tc>
          <w:tcPr>
            <w:tcW w:w="4661" w:type="dxa"/>
            <w:noWrap/>
            <w:vAlign w:val="center"/>
          </w:tcPr>
          <w:p w14:paraId="799D9B18"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obce</w:t>
            </w:r>
          </w:p>
        </w:tc>
        <w:tc>
          <w:tcPr>
            <w:tcW w:w="1267" w:type="dxa"/>
            <w:noWrap/>
            <w:vAlign w:val="center"/>
          </w:tcPr>
          <w:p w14:paraId="2E53CE12"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6015672C" w14:textId="77777777" w:rsidR="00940F02" w:rsidRPr="00061BB5" w:rsidRDefault="00940F02" w:rsidP="00237722">
            <w:pPr>
              <w:spacing w:after="0" w:line="240" w:lineRule="auto"/>
              <w:jc w:val="right"/>
              <w:rPr>
                <w:rFonts w:ascii="Times New Roman" w:hAnsi="Times New Roman"/>
                <w:b/>
                <w:bCs/>
                <w:i/>
                <w:iCs/>
                <w:sz w:val="24"/>
                <w:szCs w:val="24"/>
                <w:lang w:eastAsia="sk-SK"/>
              </w:rPr>
            </w:pPr>
            <w:r w:rsidRPr="00061BB5">
              <w:rPr>
                <w:rFonts w:ascii="Times New Roman" w:hAnsi="Times New Roman"/>
                <w:b/>
                <w:bCs/>
                <w:i/>
                <w:iCs/>
                <w:sz w:val="24"/>
                <w:szCs w:val="24"/>
                <w:lang w:eastAsia="sk-SK"/>
              </w:rPr>
              <w:t>0</w:t>
            </w:r>
          </w:p>
        </w:tc>
        <w:tc>
          <w:tcPr>
            <w:tcW w:w="1267" w:type="dxa"/>
            <w:noWrap/>
            <w:vAlign w:val="center"/>
          </w:tcPr>
          <w:p w14:paraId="3023ECA2"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6D39E109"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940F02" w:rsidRPr="007D5748" w14:paraId="5DD71477" w14:textId="77777777" w:rsidTr="00237722">
        <w:trPr>
          <w:trHeight w:val="70"/>
          <w:jc w:val="center"/>
        </w:trPr>
        <w:tc>
          <w:tcPr>
            <w:tcW w:w="4661" w:type="dxa"/>
            <w:noWrap/>
            <w:vAlign w:val="center"/>
          </w:tcPr>
          <w:p w14:paraId="69347E81" w14:textId="77777777" w:rsidR="00940F02" w:rsidRPr="006B04A1" w:rsidRDefault="00940F02" w:rsidP="00237722">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vyššie územné celky</w:t>
            </w:r>
          </w:p>
        </w:tc>
        <w:tc>
          <w:tcPr>
            <w:tcW w:w="1267" w:type="dxa"/>
            <w:noWrap/>
            <w:vAlign w:val="center"/>
          </w:tcPr>
          <w:p w14:paraId="1DE5FED2"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1B6D7D9B" w14:textId="77777777" w:rsidR="00940F02" w:rsidRPr="00061BB5" w:rsidRDefault="00940F02" w:rsidP="00237722">
            <w:pPr>
              <w:spacing w:after="0" w:line="240" w:lineRule="auto"/>
              <w:jc w:val="right"/>
              <w:rPr>
                <w:rFonts w:ascii="Times New Roman" w:hAnsi="Times New Roman"/>
                <w:b/>
                <w:bCs/>
                <w:i/>
                <w:iCs/>
                <w:sz w:val="24"/>
                <w:szCs w:val="24"/>
                <w:lang w:eastAsia="sk-SK"/>
              </w:rPr>
            </w:pPr>
            <w:r w:rsidRPr="00061BB5">
              <w:rPr>
                <w:rFonts w:ascii="Times New Roman" w:hAnsi="Times New Roman"/>
                <w:b/>
                <w:bCs/>
                <w:i/>
                <w:iCs/>
                <w:sz w:val="24"/>
                <w:szCs w:val="24"/>
                <w:lang w:eastAsia="sk-SK"/>
              </w:rPr>
              <w:t>0</w:t>
            </w:r>
          </w:p>
        </w:tc>
        <w:tc>
          <w:tcPr>
            <w:tcW w:w="1267" w:type="dxa"/>
            <w:noWrap/>
            <w:vAlign w:val="center"/>
          </w:tcPr>
          <w:p w14:paraId="52786971"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7071EE7D"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940F02" w:rsidRPr="007D5748" w14:paraId="1AFBFA50" w14:textId="77777777" w:rsidTr="00237722">
        <w:trPr>
          <w:trHeight w:val="70"/>
          <w:jc w:val="center"/>
        </w:trPr>
        <w:tc>
          <w:tcPr>
            <w:tcW w:w="4661" w:type="dxa"/>
            <w:noWrap/>
            <w:vAlign w:val="center"/>
          </w:tcPr>
          <w:p w14:paraId="1F38F82B" w14:textId="77777777" w:rsidR="00940F02" w:rsidRPr="006B04A1" w:rsidRDefault="00940F02" w:rsidP="00237722">
            <w:pPr>
              <w:spacing w:after="0" w:line="240" w:lineRule="auto"/>
              <w:rPr>
                <w:rFonts w:ascii="Times New Roman" w:hAnsi="Times New Roman"/>
                <w:b/>
                <w:bCs/>
                <w:sz w:val="24"/>
                <w:szCs w:val="24"/>
                <w:lang w:eastAsia="sk-SK"/>
              </w:rPr>
            </w:pPr>
            <w:r w:rsidRPr="006B04A1">
              <w:rPr>
                <w:rFonts w:ascii="Times New Roman" w:hAnsi="Times New Roman"/>
                <w:b/>
                <w:bCs/>
                <w:i/>
                <w:iCs/>
                <w:sz w:val="24"/>
                <w:szCs w:val="24"/>
                <w:lang w:eastAsia="sk-SK"/>
              </w:rPr>
              <w:t>- vplyv na ostatné subjekty verejnej správy</w:t>
            </w:r>
          </w:p>
        </w:tc>
        <w:tc>
          <w:tcPr>
            <w:tcW w:w="1267" w:type="dxa"/>
            <w:noWrap/>
            <w:vAlign w:val="center"/>
          </w:tcPr>
          <w:p w14:paraId="6795426A"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6421D092" w14:textId="77777777" w:rsidR="00940F02" w:rsidRPr="00061BB5" w:rsidRDefault="00940F02" w:rsidP="00237722">
            <w:pPr>
              <w:spacing w:after="0" w:line="240" w:lineRule="auto"/>
              <w:jc w:val="right"/>
              <w:rPr>
                <w:rFonts w:ascii="Times New Roman" w:hAnsi="Times New Roman"/>
                <w:b/>
                <w:bCs/>
                <w:i/>
                <w:iCs/>
                <w:sz w:val="24"/>
                <w:szCs w:val="24"/>
                <w:lang w:eastAsia="sk-SK"/>
              </w:rPr>
            </w:pPr>
            <w:r w:rsidRPr="00061BB5">
              <w:rPr>
                <w:rFonts w:ascii="Times New Roman" w:hAnsi="Times New Roman"/>
                <w:b/>
                <w:bCs/>
                <w:i/>
                <w:iCs/>
                <w:sz w:val="24"/>
                <w:szCs w:val="24"/>
                <w:lang w:eastAsia="sk-SK"/>
              </w:rPr>
              <w:t>0</w:t>
            </w:r>
          </w:p>
        </w:tc>
        <w:tc>
          <w:tcPr>
            <w:tcW w:w="1267" w:type="dxa"/>
            <w:noWrap/>
            <w:vAlign w:val="center"/>
          </w:tcPr>
          <w:p w14:paraId="004B58BE"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14:paraId="6598337C" w14:textId="77777777" w:rsidR="00940F02" w:rsidRPr="00F80876" w:rsidRDefault="00940F02" w:rsidP="00237722">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940F02" w:rsidRPr="007D5748" w14:paraId="53A5B261" w14:textId="77777777" w:rsidTr="00237722">
        <w:trPr>
          <w:trHeight w:val="70"/>
          <w:jc w:val="center"/>
        </w:trPr>
        <w:tc>
          <w:tcPr>
            <w:tcW w:w="4661" w:type="dxa"/>
            <w:shd w:val="clear" w:color="auto" w:fill="C0C0C0"/>
            <w:noWrap/>
            <w:vAlign w:val="center"/>
          </w:tcPr>
          <w:p w14:paraId="4FBE7DE4" w14:textId="77777777" w:rsidR="00940F02" w:rsidRPr="006B04A1" w:rsidRDefault="00940F02" w:rsidP="00237722">
            <w:pPr>
              <w:spacing w:after="0" w:line="240" w:lineRule="auto"/>
              <w:rPr>
                <w:rFonts w:ascii="Times New Roman" w:hAnsi="Times New Roman"/>
                <w:b/>
                <w:bCs/>
                <w:sz w:val="24"/>
                <w:szCs w:val="24"/>
                <w:lang w:eastAsia="sk-SK"/>
              </w:rPr>
            </w:pPr>
            <w:r w:rsidRPr="006B04A1">
              <w:rPr>
                <w:rFonts w:ascii="Times New Roman" w:hAnsi="Times New Roman"/>
                <w:b/>
                <w:bCs/>
                <w:sz w:val="24"/>
                <w:szCs w:val="24"/>
                <w:lang w:eastAsia="sk-SK"/>
              </w:rPr>
              <w:t>Financovanie zabezpečené v rozpočte</w:t>
            </w:r>
          </w:p>
        </w:tc>
        <w:tc>
          <w:tcPr>
            <w:tcW w:w="1267" w:type="dxa"/>
            <w:shd w:val="clear" w:color="auto" w:fill="C0C0C0"/>
            <w:noWrap/>
            <w:vAlign w:val="center"/>
          </w:tcPr>
          <w:p w14:paraId="59F081D2" w14:textId="77777777" w:rsidR="00940F02" w:rsidRPr="006B04A1" w:rsidRDefault="00940F02" w:rsidP="0023772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noWrap/>
            <w:vAlign w:val="center"/>
          </w:tcPr>
          <w:p w14:paraId="7AB14800" w14:textId="0DAEA307" w:rsidR="00940F02" w:rsidRPr="00061BB5" w:rsidRDefault="00A41246" w:rsidP="00237722">
            <w:pPr>
              <w:spacing w:after="0" w:line="240" w:lineRule="auto"/>
              <w:jc w:val="right"/>
              <w:rPr>
                <w:rFonts w:ascii="Times New Roman" w:hAnsi="Times New Roman"/>
                <w:b/>
                <w:bCs/>
                <w:sz w:val="24"/>
                <w:szCs w:val="24"/>
                <w:lang w:eastAsia="sk-SK"/>
              </w:rPr>
            </w:pPr>
            <w:r w:rsidRPr="00061BB5">
              <w:rPr>
                <w:rFonts w:ascii="Times New Roman" w:hAnsi="Times New Roman"/>
                <w:b/>
                <w:bCs/>
                <w:sz w:val="24"/>
                <w:szCs w:val="24"/>
                <w:lang w:eastAsia="sk-SK"/>
              </w:rPr>
              <w:t>131 766</w:t>
            </w:r>
          </w:p>
        </w:tc>
        <w:tc>
          <w:tcPr>
            <w:tcW w:w="1267" w:type="dxa"/>
            <w:shd w:val="clear" w:color="auto" w:fill="C0C0C0"/>
            <w:noWrap/>
            <w:vAlign w:val="center"/>
          </w:tcPr>
          <w:p w14:paraId="7E242BB8" w14:textId="77777777" w:rsidR="00940F02" w:rsidRPr="006B04A1" w:rsidRDefault="00940F02" w:rsidP="0023772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noWrap/>
            <w:vAlign w:val="center"/>
          </w:tcPr>
          <w:p w14:paraId="4CAE3EA2" w14:textId="77777777" w:rsidR="00940F02" w:rsidRPr="006B04A1" w:rsidRDefault="00940F02" w:rsidP="0023772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282D16" w:rsidRPr="007D5748" w14:paraId="150A37A1" w14:textId="77777777" w:rsidTr="00237722">
        <w:trPr>
          <w:trHeight w:val="70"/>
          <w:jc w:val="center"/>
        </w:trPr>
        <w:tc>
          <w:tcPr>
            <w:tcW w:w="4661" w:type="dxa"/>
            <w:noWrap/>
            <w:vAlign w:val="center"/>
          </w:tcPr>
          <w:p w14:paraId="207DF2A8" w14:textId="77777777" w:rsidR="00282D16" w:rsidRPr="00282D16" w:rsidRDefault="00282D16" w:rsidP="00282D16">
            <w:pPr>
              <w:spacing w:after="0" w:line="240" w:lineRule="auto"/>
              <w:rPr>
                <w:rFonts w:ascii="Times New Roman" w:hAnsi="Times New Roman"/>
                <w:lang w:eastAsia="sk-SK"/>
              </w:rPr>
            </w:pPr>
            <w:r w:rsidRPr="00282D16">
              <w:rPr>
                <w:rFonts w:ascii="Times New Roman" w:hAnsi="Times New Roman"/>
                <w:lang w:eastAsia="sk-SK"/>
              </w:rPr>
              <w:t xml:space="preserve">v tom: </w:t>
            </w:r>
          </w:p>
          <w:p w14:paraId="16B911CD" w14:textId="1AD2D766" w:rsidR="00282D16" w:rsidRPr="006B04A1" w:rsidRDefault="00282D16" w:rsidP="00282D16">
            <w:pPr>
              <w:spacing w:after="0" w:line="240" w:lineRule="auto"/>
              <w:rPr>
                <w:rFonts w:ascii="Times New Roman" w:hAnsi="Times New Roman"/>
                <w:sz w:val="24"/>
                <w:szCs w:val="24"/>
                <w:lang w:eastAsia="sk-SK"/>
              </w:rPr>
            </w:pPr>
            <w:r w:rsidRPr="00282D16">
              <w:rPr>
                <w:rFonts w:ascii="Times New Roman" w:hAnsi="Times New Roman"/>
                <w:lang w:eastAsia="sk-SK"/>
              </w:rPr>
              <w:t>MS SR/0EK0C - IT financované zo ŠR – MS SR</w:t>
            </w:r>
          </w:p>
        </w:tc>
        <w:tc>
          <w:tcPr>
            <w:tcW w:w="1267" w:type="dxa"/>
            <w:noWrap/>
            <w:vAlign w:val="center"/>
          </w:tcPr>
          <w:p w14:paraId="54ECA1CA" w14:textId="77777777" w:rsidR="00282D16" w:rsidRPr="006B04A1" w:rsidRDefault="00282D16" w:rsidP="00282D16">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14:paraId="1507A4B1" w14:textId="0F792F65" w:rsidR="00282D16" w:rsidRPr="00061BB5" w:rsidRDefault="00282D16" w:rsidP="00282D16">
            <w:pPr>
              <w:spacing w:after="0" w:line="240" w:lineRule="auto"/>
              <w:jc w:val="right"/>
              <w:rPr>
                <w:rFonts w:ascii="Times New Roman" w:hAnsi="Times New Roman"/>
                <w:sz w:val="24"/>
                <w:szCs w:val="24"/>
                <w:lang w:eastAsia="sk-SK"/>
              </w:rPr>
            </w:pPr>
            <w:r w:rsidRPr="00061BB5">
              <w:rPr>
                <w:rFonts w:ascii="Times New Roman" w:hAnsi="Times New Roman"/>
                <w:sz w:val="24"/>
                <w:szCs w:val="24"/>
                <w:lang w:eastAsia="sk-SK"/>
              </w:rPr>
              <w:t>79 340</w:t>
            </w:r>
          </w:p>
        </w:tc>
        <w:tc>
          <w:tcPr>
            <w:tcW w:w="1267" w:type="dxa"/>
            <w:noWrap/>
            <w:vAlign w:val="center"/>
          </w:tcPr>
          <w:p w14:paraId="6145D9C3" w14:textId="77777777" w:rsidR="00282D16" w:rsidRPr="006B04A1" w:rsidRDefault="00282D16" w:rsidP="00282D16">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14:paraId="4FC00846" w14:textId="77777777" w:rsidR="00282D16" w:rsidRPr="006B04A1" w:rsidRDefault="00282D16" w:rsidP="00282D16">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282D16" w:rsidRPr="007D5748" w14:paraId="757D2772" w14:textId="77777777" w:rsidTr="00237722">
        <w:trPr>
          <w:trHeight w:val="70"/>
          <w:jc w:val="center"/>
        </w:trPr>
        <w:tc>
          <w:tcPr>
            <w:tcW w:w="4661" w:type="dxa"/>
            <w:noWrap/>
            <w:vAlign w:val="center"/>
          </w:tcPr>
          <w:p w14:paraId="05CCD1E7" w14:textId="3D24AC24" w:rsidR="00282D16" w:rsidRPr="006B04A1" w:rsidRDefault="00282D16" w:rsidP="00282D16">
            <w:pPr>
              <w:spacing w:after="0" w:line="240" w:lineRule="auto"/>
              <w:rPr>
                <w:rFonts w:ascii="Times New Roman" w:hAnsi="Times New Roman"/>
                <w:sz w:val="24"/>
                <w:szCs w:val="24"/>
                <w:lang w:eastAsia="sk-SK"/>
              </w:rPr>
            </w:pPr>
            <w:r w:rsidRPr="00282D16">
              <w:rPr>
                <w:rFonts w:ascii="Times New Roman" w:hAnsi="Times New Roman"/>
                <w:lang w:eastAsia="sk-SK"/>
              </w:rPr>
              <w:t>MF SR/0EK0D - IT financované zo ŠR – MF SR</w:t>
            </w:r>
          </w:p>
        </w:tc>
        <w:tc>
          <w:tcPr>
            <w:tcW w:w="1267" w:type="dxa"/>
            <w:noWrap/>
            <w:vAlign w:val="center"/>
          </w:tcPr>
          <w:p w14:paraId="1D9D4284" w14:textId="0748E7D0" w:rsidR="00282D16" w:rsidRDefault="00282D16" w:rsidP="00282D16">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14:paraId="350D9340" w14:textId="75FCB7F7" w:rsidR="00282D16" w:rsidRPr="00061BB5" w:rsidRDefault="00282D16" w:rsidP="00282D16">
            <w:pPr>
              <w:spacing w:after="0" w:line="240" w:lineRule="auto"/>
              <w:jc w:val="right"/>
              <w:rPr>
                <w:rFonts w:ascii="Times New Roman" w:hAnsi="Times New Roman"/>
                <w:sz w:val="24"/>
                <w:szCs w:val="24"/>
                <w:lang w:eastAsia="sk-SK"/>
              </w:rPr>
            </w:pPr>
            <w:r w:rsidRPr="00061BB5">
              <w:rPr>
                <w:rFonts w:ascii="Times New Roman" w:hAnsi="Times New Roman"/>
                <w:sz w:val="24"/>
                <w:szCs w:val="24"/>
                <w:lang w:eastAsia="sk-SK"/>
              </w:rPr>
              <w:t>52 426</w:t>
            </w:r>
          </w:p>
        </w:tc>
        <w:tc>
          <w:tcPr>
            <w:tcW w:w="1267" w:type="dxa"/>
            <w:noWrap/>
            <w:vAlign w:val="center"/>
          </w:tcPr>
          <w:p w14:paraId="64D6DB29" w14:textId="12F1CE89" w:rsidR="00282D16" w:rsidRDefault="00282D16" w:rsidP="00282D16">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14:paraId="21A296BA" w14:textId="618D2B8B" w:rsidR="00282D16" w:rsidRDefault="00282D16" w:rsidP="00282D16">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940F02" w:rsidRPr="007D5748" w14:paraId="5DCFB63A" w14:textId="77777777" w:rsidTr="00237722">
        <w:trPr>
          <w:trHeight w:val="70"/>
          <w:jc w:val="center"/>
        </w:trPr>
        <w:tc>
          <w:tcPr>
            <w:tcW w:w="4661" w:type="dxa"/>
            <w:shd w:val="clear" w:color="auto" w:fill="BFBFBF" w:themeFill="background1" w:themeFillShade="BF"/>
            <w:noWrap/>
            <w:vAlign w:val="center"/>
          </w:tcPr>
          <w:p w14:paraId="4404D8EE" w14:textId="77777777" w:rsidR="00940F02" w:rsidRPr="006B04A1" w:rsidRDefault="00940F02" w:rsidP="00237722">
            <w:pPr>
              <w:spacing w:after="0" w:line="240" w:lineRule="auto"/>
              <w:rPr>
                <w:rFonts w:ascii="Times New Roman" w:hAnsi="Times New Roman"/>
                <w:b/>
                <w:sz w:val="24"/>
                <w:szCs w:val="24"/>
                <w:lang w:eastAsia="sk-SK"/>
              </w:rPr>
            </w:pPr>
            <w:r w:rsidRPr="006B04A1">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tcPr>
          <w:p w14:paraId="0902FA35" w14:textId="77777777" w:rsidR="00940F02" w:rsidRPr="006B04A1" w:rsidRDefault="00940F02" w:rsidP="00237722">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c>
          <w:tcPr>
            <w:tcW w:w="1267" w:type="dxa"/>
            <w:shd w:val="clear" w:color="auto" w:fill="BFBFBF" w:themeFill="background1" w:themeFillShade="BF"/>
            <w:noWrap/>
            <w:vAlign w:val="center"/>
          </w:tcPr>
          <w:p w14:paraId="52456B44" w14:textId="77777777" w:rsidR="00940F02" w:rsidRPr="00061BB5" w:rsidRDefault="00940F02" w:rsidP="00237722">
            <w:pPr>
              <w:spacing w:after="0" w:line="240" w:lineRule="auto"/>
              <w:jc w:val="right"/>
              <w:rPr>
                <w:rFonts w:ascii="Times New Roman" w:hAnsi="Times New Roman"/>
                <w:b/>
                <w:bCs/>
                <w:sz w:val="24"/>
                <w:szCs w:val="24"/>
                <w:lang w:eastAsia="sk-SK"/>
              </w:rPr>
            </w:pPr>
            <w:r w:rsidRPr="00061BB5">
              <w:rPr>
                <w:rFonts w:ascii="Times New Roman" w:hAnsi="Times New Roman"/>
                <w:b/>
                <w:bCs/>
                <w:sz w:val="24"/>
                <w:szCs w:val="24"/>
                <w:lang w:eastAsia="sk-SK"/>
              </w:rPr>
              <w:t>0</w:t>
            </w:r>
          </w:p>
        </w:tc>
        <w:tc>
          <w:tcPr>
            <w:tcW w:w="1267" w:type="dxa"/>
            <w:shd w:val="clear" w:color="auto" w:fill="BFBFBF" w:themeFill="background1" w:themeFillShade="BF"/>
            <w:noWrap/>
            <w:vAlign w:val="center"/>
          </w:tcPr>
          <w:p w14:paraId="4C30E964" w14:textId="77777777" w:rsidR="00940F02" w:rsidRPr="006B04A1" w:rsidRDefault="00940F02" w:rsidP="00237722">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c>
          <w:tcPr>
            <w:tcW w:w="1267" w:type="dxa"/>
            <w:shd w:val="clear" w:color="auto" w:fill="BFBFBF" w:themeFill="background1" w:themeFillShade="BF"/>
            <w:noWrap/>
            <w:vAlign w:val="center"/>
          </w:tcPr>
          <w:p w14:paraId="0B768B6E" w14:textId="77777777" w:rsidR="00940F02" w:rsidRPr="006B04A1" w:rsidRDefault="00940F02" w:rsidP="00237722">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r>
      <w:tr w:rsidR="00940F02" w:rsidRPr="007D5748" w14:paraId="73742165" w14:textId="77777777" w:rsidTr="00237722">
        <w:trPr>
          <w:trHeight w:val="70"/>
          <w:jc w:val="center"/>
        </w:trPr>
        <w:tc>
          <w:tcPr>
            <w:tcW w:w="4661" w:type="dxa"/>
            <w:shd w:val="clear" w:color="auto" w:fill="A6A6A6" w:themeFill="background1" w:themeFillShade="A6"/>
            <w:noWrap/>
            <w:vAlign w:val="center"/>
          </w:tcPr>
          <w:p w14:paraId="048EC2EA" w14:textId="77777777" w:rsidR="00940F02" w:rsidRPr="006B04A1" w:rsidRDefault="00940F02" w:rsidP="00237722">
            <w:pPr>
              <w:spacing w:after="0" w:line="240" w:lineRule="auto"/>
              <w:rPr>
                <w:rFonts w:ascii="Times New Roman" w:hAnsi="Times New Roman"/>
                <w:b/>
                <w:bCs/>
                <w:sz w:val="24"/>
                <w:szCs w:val="24"/>
                <w:lang w:eastAsia="sk-SK"/>
              </w:rPr>
            </w:pPr>
            <w:r w:rsidRPr="006B04A1">
              <w:rPr>
                <w:rFonts w:ascii="Times New Roman" w:hAnsi="Times New Roman"/>
                <w:b/>
                <w:bCs/>
                <w:sz w:val="24"/>
                <w:szCs w:val="24"/>
                <w:lang w:eastAsia="sk-SK"/>
              </w:rPr>
              <w:t>Rozpočtovo nekrytý vplyv / úspora</w:t>
            </w:r>
          </w:p>
        </w:tc>
        <w:tc>
          <w:tcPr>
            <w:tcW w:w="1267" w:type="dxa"/>
            <w:shd w:val="clear" w:color="auto" w:fill="A6A6A6" w:themeFill="background1" w:themeFillShade="A6"/>
            <w:noWrap/>
            <w:vAlign w:val="center"/>
          </w:tcPr>
          <w:p w14:paraId="73D83770" w14:textId="77777777" w:rsidR="00940F02" w:rsidRPr="006B04A1" w:rsidRDefault="00940F02" w:rsidP="0023772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A6A6A6" w:themeFill="background1" w:themeFillShade="A6"/>
            <w:noWrap/>
            <w:vAlign w:val="center"/>
          </w:tcPr>
          <w:p w14:paraId="48D3B8E0" w14:textId="371BE5CC" w:rsidR="00940F02" w:rsidRPr="006B04A1" w:rsidRDefault="00FD2AF2" w:rsidP="0023772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A6A6A6" w:themeFill="background1" w:themeFillShade="A6"/>
            <w:noWrap/>
            <w:vAlign w:val="center"/>
          </w:tcPr>
          <w:p w14:paraId="7D684682" w14:textId="77777777" w:rsidR="00940F02" w:rsidRPr="006B04A1" w:rsidRDefault="00940F02" w:rsidP="0023772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A6A6A6" w:themeFill="background1" w:themeFillShade="A6"/>
            <w:noWrap/>
            <w:vAlign w:val="center"/>
          </w:tcPr>
          <w:p w14:paraId="2465E0F7" w14:textId="77777777" w:rsidR="00940F02" w:rsidRPr="006B04A1" w:rsidRDefault="00940F02" w:rsidP="00237722">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bookmarkEnd w:id="0"/>
    </w:tbl>
    <w:p w14:paraId="49320C56" w14:textId="77777777" w:rsidR="00940F02" w:rsidRDefault="00940F02" w:rsidP="00940F02">
      <w:pPr>
        <w:spacing w:after="0" w:line="240" w:lineRule="auto"/>
        <w:jc w:val="both"/>
        <w:rPr>
          <w:rFonts w:ascii="Times New Roman" w:hAnsi="Times New Roman"/>
          <w:b/>
          <w:bCs/>
          <w:sz w:val="24"/>
          <w:szCs w:val="24"/>
          <w:lang w:eastAsia="sk-SK"/>
        </w:rPr>
      </w:pPr>
    </w:p>
    <w:p w14:paraId="201027C5" w14:textId="77777777" w:rsidR="00940F02" w:rsidRPr="007D5748" w:rsidRDefault="00940F02" w:rsidP="00940F02">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26D272F4" w14:textId="77777777" w:rsidR="00940F02" w:rsidRPr="007D5748" w:rsidRDefault="00940F02" w:rsidP="00940F02">
      <w:pPr>
        <w:spacing w:after="0" w:line="240" w:lineRule="auto"/>
        <w:jc w:val="both"/>
        <w:rPr>
          <w:rFonts w:ascii="Times New Roman" w:hAnsi="Times New Roman"/>
          <w:b/>
          <w:bCs/>
          <w:sz w:val="12"/>
          <w:szCs w:val="24"/>
          <w:lang w:eastAsia="sk-SK"/>
        </w:rPr>
      </w:pPr>
    </w:p>
    <w:p w14:paraId="682C68E9" w14:textId="2FF94B7B" w:rsidR="00BD7B79" w:rsidRPr="00061BB5" w:rsidRDefault="00BD7B79" w:rsidP="00BD7B7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sidRPr="00061BB5">
        <w:rPr>
          <w:rFonts w:ascii="Times New Roman" w:hAnsi="Times New Roman"/>
          <w:bCs/>
          <w:sz w:val="24"/>
          <w:szCs w:val="24"/>
          <w:lang w:eastAsia="sk-SK"/>
        </w:rPr>
        <w:t>Finančné prostriedky v súvislosti so zabezpečením zmien vyplývajúcich z návrhu zákona a vytvorením nových formulárov budú zabezpečené v rámci schvále</w:t>
      </w:r>
      <w:r w:rsidR="00E01BE5" w:rsidRPr="00061BB5">
        <w:rPr>
          <w:rFonts w:ascii="Times New Roman" w:hAnsi="Times New Roman"/>
          <w:bCs/>
          <w:sz w:val="24"/>
          <w:szCs w:val="24"/>
          <w:lang w:eastAsia="sk-SK"/>
        </w:rPr>
        <w:t>ného limitu výdavkov kapitoly MS</w:t>
      </w:r>
      <w:r w:rsidRPr="00061BB5">
        <w:rPr>
          <w:rFonts w:ascii="Times New Roman" w:hAnsi="Times New Roman"/>
          <w:bCs/>
          <w:sz w:val="24"/>
          <w:szCs w:val="24"/>
          <w:lang w:eastAsia="sk-SK"/>
        </w:rPr>
        <w:t xml:space="preserve"> SR.</w:t>
      </w:r>
    </w:p>
    <w:p w14:paraId="2B9A46AF" w14:textId="1585BC12" w:rsidR="005C08DA" w:rsidRPr="00061BB5" w:rsidRDefault="005C08DA" w:rsidP="00940F0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p>
    <w:p w14:paraId="58966743" w14:textId="4A20AA4A" w:rsidR="005C08DA" w:rsidRDefault="005C08DA" w:rsidP="00940F0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sidRPr="00061BB5">
        <w:rPr>
          <w:rFonts w:ascii="Times New Roman" w:hAnsi="Times New Roman"/>
          <w:bCs/>
          <w:sz w:val="24"/>
          <w:szCs w:val="24"/>
          <w:lang w:eastAsia="sk-SK"/>
        </w:rPr>
        <w:t xml:space="preserve">Finančné prostriedky na úpravu informačného systému Integrovaný systém Finančnej správy – správa daní (kapitola MF SR – organizácia FR SR) budú zabezpečené v rámci </w:t>
      </w:r>
      <w:r w:rsidR="00A41246" w:rsidRPr="00061BB5">
        <w:rPr>
          <w:rFonts w:ascii="Times New Roman" w:hAnsi="Times New Roman"/>
          <w:bCs/>
          <w:sz w:val="24"/>
          <w:szCs w:val="24"/>
          <w:lang w:eastAsia="sk-SK"/>
        </w:rPr>
        <w:t xml:space="preserve">schváleného </w:t>
      </w:r>
      <w:r w:rsidRPr="00061BB5">
        <w:rPr>
          <w:rFonts w:ascii="Times New Roman" w:hAnsi="Times New Roman"/>
          <w:bCs/>
          <w:sz w:val="24"/>
          <w:szCs w:val="24"/>
          <w:lang w:eastAsia="sk-SK"/>
        </w:rPr>
        <w:t>limitu výdavkov kapitoly MF SR.</w:t>
      </w:r>
    </w:p>
    <w:p w14:paraId="6231B5CB" w14:textId="031F33E2" w:rsidR="003F489D" w:rsidRDefault="003F489D" w:rsidP="00940F0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p>
    <w:p w14:paraId="4708E06C" w14:textId="39F59F4E" w:rsidR="003F489D" w:rsidRPr="00061BB5" w:rsidRDefault="003F489D" w:rsidP="00940F0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Pr>
          <w:rFonts w:ascii="Times New Roman" w:hAnsi="Times New Roman"/>
          <w:bCs/>
          <w:sz w:val="24"/>
          <w:szCs w:val="24"/>
          <w:lang w:eastAsia="sk-SK"/>
        </w:rPr>
        <w:t>Všetky negatívne vplyvy na rozpočet verejnej správy vyplývajúce z návrhu zákona žiada Stála pracovná komisia Legislatívnej rady vlády Slovenskej republiky na posudzovanie vybraných vplyvov zabezpečiť v jednotlivých rokoch v rámci schválených limitov dotknutých subjektov verejnej správy bez dodatočných požiadaviek na štátny rozpočet.</w:t>
      </w:r>
      <w:bookmarkStart w:id="1" w:name="_GoBack"/>
      <w:bookmarkEnd w:id="1"/>
      <w:r>
        <w:rPr>
          <w:rStyle w:val="Siln"/>
          <w:rFonts w:ascii="Arial" w:hAnsi="Arial" w:cs="Arial"/>
          <w:color w:val="333333"/>
          <w:sz w:val="27"/>
          <w:szCs w:val="27"/>
          <w:shd w:val="clear" w:color="auto" w:fill="FFFFFF"/>
        </w:rPr>
        <w:t> </w:t>
      </w:r>
    </w:p>
    <w:p w14:paraId="0E6C90C2" w14:textId="77777777" w:rsidR="00061BB5" w:rsidRDefault="00061BB5" w:rsidP="00940F02">
      <w:pPr>
        <w:spacing w:after="0" w:line="240" w:lineRule="auto"/>
        <w:rPr>
          <w:rFonts w:ascii="Times New Roman" w:hAnsi="Times New Roman"/>
          <w:b/>
          <w:bCs/>
          <w:sz w:val="24"/>
          <w:szCs w:val="24"/>
          <w:lang w:eastAsia="sk-SK"/>
        </w:rPr>
      </w:pPr>
    </w:p>
    <w:p w14:paraId="7FD52029" w14:textId="3C89D2E6" w:rsidR="00940F02" w:rsidRPr="007D5748" w:rsidRDefault="00940F02" w:rsidP="00940F0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14:paraId="2E3FD31C" w14:textId="77777777" w:rsidR="00940F02" w:rsidRPr="007D5748" w:rsidRDefault="00940F02" w:rsidP="00940F02">
      <w:pPr>
        <w:spacing w:after="0" w:line="240" w:lineRule="auto"/>
        <w:rPr>
          <w:rFonts w:ascii="Times New Roman" w:hAnsi="Times New Roman"/>
          <w:sz w:val="24"/>
          <w:szCs w:val="24"/>
          <w:lang w:eastAsia="sk-SK"/>
        </w:rPr>
      </w:pPr>
    </w:p>
    <w:p w14:paraId="6192A9B8" w14:textId="77777777" w:rsidR="00940F02" w:rsidRPr="007D5748" w:rsidRDefault="00940F02" w:rsidP="00940F02">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14:paraId="5285DBCC" w14:textId="77777777" w:rsidR="00940F02" w:rsidRPr="007D5748" w:rsidRDefault="00940F02" w:rsidP="00940F02">
      <w:pPr>
        <w:spacing w:after="0" w:line="240" w:lineRule="auto"/>
        <w:jc w:val="both"/>
        <w:rPr>
          <w:rFonts w:ascii="Times New Roman" w:hAnsi="Times New Roman"/>
          <w:b/>
          <w:bCs/>
          <w:sz w:val="24"/>
          <w:szCs w:val="24"/>
          <w:lang w:eastAsia="sk-SK"/>
        </w:rPr>
      </w:pPr>
    </w:p>
    <w:p w14:paraId="744E06C9" w14:textId="77777777" w:rsidR="00940F02" w:rsidRPr="00F43B0F" w:rsidRDefault="00940F02" w:rsidP="003B1239">
      <w:pPr>
        <w:spacing w:after="0" w:line="240" w:lineRule="auto"/>
        <w:jc w:val="both"/>
        <w:rPr>
          <w:rFonts w:ascii="Times New Roman" w:hAnsi="Times New Roman"/>
          <w:lang w:eastAsia="sk-SK"/>
        </w:rPr>
      </w:pPr>
      <w:r w:rsidRPr="00F43B0F">
        <w:rPr>
          <w:rFonts w:ascii="Times New Roman" w:hAnsi="Times New Roman"/>
        </w:rPr>
        <w:t>Návrh zákona o</w:t>
      </w:r>
      <w:r w:rsidR="008B667A" w:rsidRPr="00F43B0F">
        <w:rPr>
          <w:rFonts w:ascii="Times New Roman" w:hAnsi="Times New Roman"/>
        </w:rPr>
        <w:t> riešení hroziaceho úpadku a o zmene a doplnení niektorých zákonov</w:t>
      </w:r>
      <w:r w:rsidRPr="00F43B0F">
        <w:rPr>
          <w:rFonts w:ascii="Times New Roman" w:hAnsi="Times New Roman"/>
        </w:rPr>
        <w:t>.</w:t>
      </w:r>
    </w:p>
    <w:p w14:paraId="70673983" w14:textId="77777777" w:rsidR="00940F02" w:rsidRPr="00F43B0F" w:rsidRDefault="00940F02" w:rsidP="003B1239">
      <w:pPr>
        <w:spacing w:after="0" w:line="240" w:lineRule="auto"/>
        <w:jc w:val="both"/>
        <w:rPr>
          <w:rFonts w:ascii="Times New Roman" w:hAnsi="Times New Roman"/>
          <w:lang w:eastAsia="sk-SK"/>
        </w:rPr>
      </w:pPr>
    </w:p>
    <w:p w14:paraId="43165764" w14:textId="0D2C302C" w:rsidR="00261B95" w:rsidRDefault="00940F02" w:rsidP="003B1239">
      <w:pPr>
        <w:spacing w:after="0" w:line="240" w:lineRule="auto"/>
        <w:jc w:val="both"/>
        <w:rPr>
          <w:rStyle w:val="Zstupntext"/>
          <w:rFonts w:ascii="Times New Roman" w:hAnsi="Times New Roman"/>
          <w:iCs/>
          <w:color w:val="000000"/>
        </w:rPr>
      </w:pPr>
      <w:r w:rsidRPr="00F43B0F">
        <w:rPr>
          <w:rFonts w:ascii="Times New Roman" w:hAnsi="Times New Roman"/>
        </w:rPr>
        <w:t>Návrh zákona zavádza</w:t>
      </w:r>
      <w:r w:rsidR="00F43B0F" w:rsidRPr="00F43B0F">
        <w:rPr>
          <w:rStyle w:val="Zstupntext"/>
          <w:rFonts w:ascii="Times New Roman" w:hAnsi="Times New Roman"/>
          <w:iCs/>
          <w:color w:val="000000"/>
        </w:rPr>
        <w:t xml:space="preserve"> nov</w:t>
      </w:r>
      <w:r w:rsidR="00F43B0F">
        <w:rPr>
          <w:rStyle w:val="Zstupntext"/>
          <w:rFonts w:ascii="Times New Roman" w:hAnsi="Times New Roman"/>
          <w:iCs/>
          <w:color w:val="000000"/>
        </w:rPr>
        <w:t>ú</w:t>
      </w:r>
      <w:r w:rsidR="00F43B0F" w:rsidRPr="00F43B0F">
        <w:rPr>
          <w:rStyle w:val="Zstupntext"/>
          <w:rFonts w:ascii="Times New Roman" w:hAnsi="Times New Roman"/>
          <w:iCs/>
          <w:color w:val="000000"/>
        </w:rPr>
        <w:t xml:space="preserve"> právn</w:t>
      </w:r>
      <w:r w:rsidR="00F43B0F">
        <w:rPr>
          <w:rStyle w:val="Zstupntext"/>
          <w:rFonts w:ascii="Times New Roman" w:hAnsi="Times New Roman"/>
          <w:iCs/>
          <w:color w:val="000000"/>
        </w:rPr>
        <w:t>u</w:t>
      </w:r>
      <w:r w:rsidR="00F43B0F" w:rsidRPr="00F43B0F">
        <w:rPr>
          <w:rStyle w:val="Zstupntext"/>
          <w:rFonts w:ascii="Times New Roman" w:hAnsi="Times New Roman"/>
          <w:iCs/>
          <w:color w:val="000000"/>
        </w:rPr>
        <w:t xml:space="preserve"> úprav</w:t>
      </w:r>
      <w:r w:rsidR="00F43B0F">
        <w:rPr>
          <w:rStyle w:val="Zstupntext"/>
          <w:rFonts w:ascii="Times New Roman" w:hAnsi="Times New Roman"/>
          <w:iCs/>
          <w:color w:val="000000"/>
        </w:rPr>
        <w:t>u</w:t>
      </w:r>
      <w:r w:rsidR="00F43B0F" w:rsidRPr="00F43B0F">
        <w:rPr>
          <w:rStyle w:val="Zstupntext"/>
          <w:rFonts w:ascii="Times New Roman" w:hAnsi="Times New Roman"/>
          <w:iCs/>
          <w:color w:val="000000"/>
        </w:rPr>
        <w:t xml:space="preserve"> riešenia situácie podnikateľa, ktorému hrozí úpadok, v preventívnom konaní, ktorým sa rozumie verejná preventívna reštrukturalizácia alebo neverejná preventívna reštrukturalizácia. Základným cieľom návrhu zákona je preto poskytnúť dlžníkom dostatočný priestor na účinnú, efektívnu, rýchlu a transparentnú preventívnu reštrukturalizáciu v počiatočnom štádiu, kedy úpadok „hrozí“, a zabrániť tak úpadku dlžníka a riešeniu jeho situácie niektorým z insolvenčných konaní, čím by sa súčasne malo zabrániť strate pracovných miest a strate know-how, mala by sa maximalizovať celková hodnota pre veriteľov v porovnaní s tým, čo by získali v prípadnom konkurze, ako aj zabrániť zvyšovaniu nesplácaných úverov. Na dosiahnutie tohto účelu sa navrhuje upraviť aj inštitút tzv. dočasnej ochrany, ktorý reálne poskytuje časový priestor pre účinnú reštrukturalizáciu a dosiahnutie cieľa, ktorý je verejnou preventívnou reštrukturalizáciou sledovaný</w:t>
      </w:r>
      <w:r w:rsidR="00261B95">
        <w:rPr>
          <w:rStyle w:val="Zstupntext"/>
          <w:rFonts w:ascii="Times New Roman" w:hAnsi="Times New Roman"/>
          <w:iCs/>
          <w:color w:val="000000"/>
        </w:rPr>
        <w:t>.</w:t>
      </w:r>
      <w:r w:rsidR="00F43B0F">
        <w:rPr>
          <w:rStyle w:val="Zstupntext"/>
          <w:rFonts w:ascii="Times New Roman" w:hAnsi="Times New Roman"/>
          <w:iCs/>
          <w:color w:val="000000"/>
        </w:rPr>
        <w:t xml:space="preserve"> </w:t>
      </w:r>
      <w:r w:rsidR="00261B95">
        <w:rPr>
          <w:rStyle w:val="Zstupntext"/>
          <w:rFonts w:ascii="Times New Roman" w:hAnsi="Times New Roman"/>
          <w:iCs/>
          <w:color w:val="000000"/>
        </w:rPr>
        <w:t xml:space="preserve">Návrhom zákona </w:t>
      </w:r>
      <w:r w:rsidR="00F43B0F">
        <w:rPr>
          <w:rStyle w:val="Zstupntext"/>
          <w:rFonts w:ascii="Times New Roman" w:hAnsi="Times New Roman"/>
          <w:iCs/>
          <w:color w:val="000000"/>
        </w:rPr>
        <w:t>súčasne doch</w:t>
      </w:r>
      <w:r w:rsidR="00F43B0F" w:rsidRPr="00F43B0F">
        <w:rPr>
          <w:rStyle w:val="Zstupntext"/>
          <w:rFonts w:ascii="Times New Roman" w:hAnsi="Times New Roman"/>
          <w:iCs/>
          <w:color w:val="000000"/>
        </w:rPr>
        <w:t>ádza k zrušeniu dočasnej ochrany upravenej zákonom č. 421/2020 Z. z. o dočasnej ochrane podnikateľov vo finančných ťažkostiach a o zmene a doplnení niektorých zákonov. Riešenie hroziaceho úpadku prostredníctvom preventívneho konania sa umožňuje len v prípade dlžníka, ktorý je právnickou osobou</w:t>
      </w:r>
      <w:r w:rsidR="00261B95">
        <w:rPr>
          <w:rStyle w:val="Zstupntext"/>
          <w:rFonts w:ascii="Times New Roman" w:hAnsi="Times New Roman"/>
          <w:iCs/>
          <w:color w:val="000000"/>
        </w:rPr>
        <w:t>.</w:t>
      </w:r>
      <w:r w:rsidR="00F43B0F" w:rsidRPr="00F43B0F">
        <w:rPr>
          <w:rStyle w:val="Zstupntext"/>
          <w:rFonts w:ascii="Times New Roman" w:hAnsi="Times New Roman"/>
          <w:iCs/>
          <w:color w:val="000000"/>
        </w:rPr>
        <w:t xml:space="preserve"> </w:t>
      </w:r>
      <w:r w:rsidR="00261B95">
        <w:rPr>
          <w:rStyle w:val="Zstupntext"/>
          <w:rFonts w:ascii="Times New Roman" w:hAnsi="Times New Roman"/>
          <w:iCs/>
          <w:color w:val="000000"/>
        </w:rPr>
        <w:t xml:space="preserve">Z </w:t>
      </w:r>
      <w:r w:rsidR="00F43B0F" w:rsidRPr="00F43B0F">
        <w:rPr>
          <w:rStyle w:val="Zstupntext"/>
          <w:rFonts w:ascii="Times New Roman" w:hAnsi="Times New Roman"/>
          <w:iCs/>
          <w:color w:val="000000"/>
        </w:rPr>
        <w:t xml:space="preserve">preventívnej reštrukturalizácie sú vylúčené subjekty, ktorých riešenie úpadku nie je možné konaniami podľa zákona č. 7/2005 Z. z. </w:t>
      </w:r>
      <w:r w:rsidR="00261B95" w:rsidRPr="003B1239">
        <w:rPr>
          <w:rStyle w:val="Zstupntext"/>
          <w:rFonts w:ascii="Times New Roman" w:hAnsi="Times New Roman"/>
          <w:iCs/>
          <w:color w:val="000000"/>
        </w:rPr>
        <w:t>o konkurze a reštrukturalizácii a o zmene a doplnení niektorých zákonov v znení neskorších predpisov (ďalej len „zákon č. 7/2005 Z. z.“)</w:t>
      </w:r>
      <w:r w:rsidR="00261B95">
        <w:rPr>
          <w:rStyle w:val="Zstupntext"/>
          <w:rFonts w:ascii="Times New Roman" w:hAnsi="Times New Roman"/>
          <w:iCs/>
          <w:color w:val="000000"/>
        </w:rPr>
        <w:t>.</w:t>
      </w:r>
    </w:p>
    <w:p w14:paraId="574774EC" w14:textId="77777777" w:rsidR="00A9546F" w:rsidRDefault="00F43B0F" w:rsidP="003B1239">
      <w:pPr>
        <w:spacing w:after="0" w:line="240" w:lineRule="auto"/>
        <w:jc w:val="both"/>
        <w:rPr>
          <w:rStyle w:val="Zstupntext"/>
          <w:rFonts w:ascii="Times New Roman" w:hAnsi="Times New Roman"/>
          <w:iCs/>
          <w:color w:val="000000"/>
        </w:rPr>
      </w:pPr>
      <w:r w:rsidRPr="00F43B0F">
        <w:rPr>
          <w:rStyle w:val="Zstupntext"/>
          <w:rFonts w:ascii="Times New Roman" w:hAnsi="Times New Roman"/>
          <w:iCs/>
          <w:color w:val="000000"/>
        </w:rPr>
        <w:t>Okrem uvedeného</w:t>
      </w:r>
      <w:r w:rsidR="00261B95">
        <w:rPr>
          <w:rStyle w:val="Zstupntext"/>
          <w:rFonts w:ascii="Times New Roman" w:hAnsi="Times New Roman"/>
          <w:iCs/>
          <w:color w:val="000000"/>
        </w:rPr>
        <w:t>,</w:t>
      </w:r>
      <w:r w:rsidRPr="00F43B0F">
        <w:rPr>
          <w:rStyle w:val="Zstupntext"/>
          <w:rFonts w:ascii="Times New Roman" w:hAnsi="Times New Roman"/>
          <w:iCs/>
          <w:color w:val="000000"/>
        </w:rPr>
        <w:t xml:space="preserve"> návrh zákona upravuje aj tzv. nástroje včasného varovania, ktoré majú slúžiť k včasnému upozorneniu podnikateľa, že je nutné prijatie potrebných a vhodných opatrení smerujúcich k odvráteniu hroziaceho úpadku alebo úpadku.</w:t>
      </w:r>
      <w:r>
        <w:rPr>
          <w:rStyle w:val="Zstupntext"/>
          <w:rFonts w:ascii="Times New Roman" w:hAnsi="Times New Roman"/>
          <w:iCs/>
          <w:color w:val="000000"/>
        </w:rPr>
        <w:t xml:space="preserve"> </w:t>
      </w:r>
    </w:p>
    <w:p w14:paraId="4B237A75" w14:textId="049048C0" w:rsidR="00F43B0F" w:rsidRDefault="00F43B0F" w:rsidP="003B1239">
      <w:pPr>
        <w:spacing w:after="0" w:line="240" w:lineRule="auto"/>
        <w:jc w:val="both"/>
        <w:rPr>
          <w:rStyle w:val="Zstupntext"/>
          <w:rFonts w:ascii="Times New Roman" w:hAnsi="Times New Roman"/>
          <w:iCs/>
          <w:color w:val="000000"/>
        </w:rPr>
      </w:pPr>
      <w:r>
        <w:rPr>
          <w:rStyle w:val="Zstupntext"/>
          <w:rFonts w:ascii="Times New Roman" w:hAnsi="Times New Roman"/>
          <w:iCs/>
          <w:color w:val="000000"/>
        </w:rPr>
        <w:t>Väčšinu úkonov v rámci verejnej preventívnej reštrukturalizácie a neverejnej preventívnej reštrukturalizácie bude realizovať dlžník elektronickou formou. Podanie návrhu na povolenie verejnej preventívnej reštrukturalizácie, podanie žiadosti o predĺženie dočasnej ochrany alebo žiadosti o jej ukončenie, podanie návrh</w:t>
      </w:r>
      <w:r w:rsidR="00A7701E">
        <w:rPr>
          <w:rStyle w:val="Zstupntext"/>
          <w:rFonts w:ascii="Times New Roman" w:hAnsi="Times New Roman"/>
          <w:iCs/>
          <w:color w:val="000000"/>
        </w:rPr>
        <w:t>u</w:t>
      </w:r>
      <w:r>
        <w:rPr>
          <w:rStyle w:val="Zstupntext"/>
          <w:rFonts w:ascii="Times New Roman" w:hAnsi="Times New Roman"/>
          <w:iCs/>
          <w:color w:val="000000"/>
        </w:rPr>
        <w:t xml:space="preserve"> na potvrdenie verejného plánu (prípadne aj podanie návrhu na potvrdenie verejného plánu spolu s návrhom na nahradenie súhlasu skupiny rozhodnutím súdu) bude možné podať prostredníctvom na to určeného elektronického formulára. V prípade tzv. kvalifikovaného podnetu sa neupravuje jeho forma. Podľa návrhu zákona sa údaje o dlžníkovi a informácia o povolení verejnej preventívnej reštrukturalizácii a o jej skončení, o poskytnutí alebo predĺžení dočasnej ochrany, ako aj o jej </w:t>
      </w:r>
      <w:r w:rsidR="003B1239">
        <w:rPr>
          <w:rStyle w:val="Zstupntext"/>
          <w:rFonts w:ascii="Times New Roman" w:hAnsi="Times New Roman"/>
          <w:iCs/>
          <w:color w:val="000000"/>
        </w:rPr>
        <w:t>zániku, vrátane zákonom ustanovených dokumentov, ako je zoznam veriteľov, súhlas veriteľov s poskytnutím dočasnej ochrany</w:t>
      </w:r>
      <w:r w:rsidR="00261B95">
        <w:rPr>
          <w:rStyle w:val="Zstupntext"/>
          <w:rFonts w:ascii="Times New Roman" w:hAnsi="Times New Roman"/>
          <w:iCs/>
          <w:color w:val="000000"/>
        </w:rPr>
        <w:t>,</w:t>
      </w:r>
      <w:r w:rsidR="003B1239">
        <w:rPr>
          <w:rStyle w:val="Zstupntext"/>
          <w:rFonts w:ascii="Times New Roman" w:hAnsi="Times New Roman"/>
          <w:iCs/>
          <w:color w:val="000000"/>
        </w:rPr>
        <w:t xml:space="preserve"> budú zverej</w:t>
      </w:r>
      <w:r w:rsidR="00261B95">
        <w:rPr>
          <w:rStyle w:val="Zstupntext"/>
          <w:rFonts w:ascii="Times New Roman" w:hAnsi="Times New Roman"/>
          <w:iCs/>
          <w:color w:val="000000"/>
        </w:rPr>
        <w:t>ňovať</w:t>
      </w:r>
      <w:r w:rsidR="003B1239">
        <w:rPr>
          <w:rStyle w:val="Zstupntext"/>
          <w:rFonts w:ascii="Times New Roman" w:hAnsi="Times New Roman"/>
          <w:iCs/>
          <w:color w:val="000000"/>
        </w:rPr>
        <w:t xml:space="preserve"> v Obchodnom vestníku.</w:t>
      </w:r>
    </w:p>
    <w:p w14:paraId="2B1DC042" w14:textId="77777777" w:rsidR="003B1239" w:rsidRPr="00F43B0F" w:rsidRDefault="003B1239" w:rsidP="003B1239">
      <w:pPr>
        <w:spacing w:after="0" w:line="240" w:lineRule="auto"/>
        <w:jc w:val="both"/>
        <w:rPr>
          <w:rStyle w:val="Zstupntext"/>
          <w:rFonts w:ascii="Times New Roman" w:hAnsi="Times New Roman"/>
          <w:iCs/>
          <w:color w:val="000000"/>
        </w:rPr>
      </w:pPr>
    </w:p>
    <w:p w14:paraId="2F657114" w14:textId="2FBE0F12" w:rsidR="00F43B0F" w:rsidRDefault="00F43B0F" w:rsidP="003B1239">
      <w:pPr>
        <w:spacing w:after="0" w:line="240" w:lineRule="auto"/>
        <w:jc w:val="both"/>
        <w:rPr>
          <w:rFonts w:ascii="Times New Roman" w:hAnsi="Times New Roman"/>
        </w:rPr>
      </w:pPr>
      <w:r w:rsidRPr="003B1239">
        <w:rPr>
          <w:rStyle w:val="Zstupntext"/>
          <w:rFonts w:ascii="Times New Roman" w:hAnsi="Times New Roman"/>
          <w:iCs/>
          <w:color w:val="000000"/>
        </w:rPr>
        <w:lastRenderedPageBreak/>
        <w:t xml:space="preserve">V súlade so základnými cieľmi smernice a v súvislosti s navrhovanou právnou úpravou riešenia hroziaceho úpadku jedným z preventívnych konaní dochádza aj k úprave zákona č. 7/2005 Z. z., Obchodného zákonníka a zákona Slovenskej národnej rady č. 71/1992 Zb. o súdnych poplatkoch a o poplatku za výpis z registra trestov v znení neskorších predpisov. V tejto súvislosti dochádza </w:t>
      </w:r>
      <w:r w:rsidR="00261B95">
        <w:rPr>
          <w:rStyle w:val="Zstupntext"/>
          <w:rFonts w:ascii="Times New Roman" w:hAnsi="Times New Roman"/>
          <w:iCs/>
          <w:color w:val="000000"/>
        </w:rPr>
        <w:t xml:space="preserve">aj </w:t>
      </w:r>
      <w:r w:rsidRPr="003B1239">
        <w:rPr>
          <w:rStyle w:val="Zstupntext"/>
          <w:rFonts w:ascii="Times New Roman" w:hAnsi="Times New Roman"/>
          <w:iCs/>
          <w:color w:val="000000"/>
        </w:rPr>
        <w:t xml:space="preserve">k zmene </w:t>
      </w:r>
      <w:r w:rsidRPr="003B1239">
        <w:rPr>
          <w:rFonts w:ascii="Times New Roman" w:hAnsi="Times New Roman"/>
        </w:rPr>
        <w:t xml:space="preserve">reštrukturalizácie podľa ustanovení zákona č. 7/2005 Z. z. v tom zmysle, že táto bude určená len na riešenie úpadku dlžníka a vyníma sa z procesov riešenia hroziaceho úpadku. Opätovne sa do konkurznej legislatívy vracia povinnosť pre dlžníka podať návrh na vyhlásenie konkurzu pre platobnú neschopnosť a zjednodušujú sa pravidlá pre možnosť veriteľa iniciovať konkurzné konanie v prípadoch, kedy možno predpokladať úpadok dlžníka, vo vzťahu k veriteľom sa upravuje povinnosť uhrádzať ich nároky pomerne (nemôže dochádzať k zvýhodňovaniu akéhokoľvek veriteľa), virtualizuje sa zoznam veriteľov a zjednodušujú sa procesy súvisiace s prihlasovaním pohľadávok. V súlade s požiadavkami smernice s cieľom odstrániť prekážky na ďalšie podnikanie sa výslovne zavádza možnosť dlžníka, ktorý bol oddlžený, pokračovať vo výkone podnikateľskej činnosti alebo získať živnosť. Súčasne dochádza k potrebným zmenám pri úprave </w:t>
      </w:r>
      <w:r w:rsidR="00A9546F">
        <w:rPr>
          <w:rFonts w:ascii="Times New Roman" w:hAnsi="Times New Roman"/>
        </w:rPr>
        <w:t>súdnych poplatkov</w:t>
      </w:r>
      <w:r w:rsidRPr="003B1239">
        <w:rPr>
          <w:rFonts w:ascii="Times New Roman" w:hAnsi="Times New Roman"/>
        </w:rPr>
        <w:t>. Je potrebné uviesť, že akékoľvek iné návrhy, oznámenia alebo žiadosti adresované súdu v preventívnom konaní sú oslobodené od úhrady súdneho poplatku, pokiaľ nie sú spoplatnené v súvislosti s iným konaním.</w:t>
      </w:r>
    </w:p>
    <w:p w14:paraId="61AFE295" w14:textId="77777777" w:rsidR="00261B95" w:rsidRPr="003B1239" w:rsidRDefault="00261B95" w:rsidP="003B1239">
      <w:pPr>
        <w:spacing w:after="0" w:line="240" w:lineRule="auto"/>
        <w:jc w:val="both"/>
        <w:rPr>
          <w:rStyle w:val="Zstupntext"/>
          <w:rFonts w:ascii="Times New Roman" w:hAnsi="Times New Roman"/>
          <w:iCs/>
          <w:color w:val="000000"/>
        </w:rPr>
      </w:pPr>
    </w:p>
    <w:p w14:paraId="3394518F" w14:textId="32FE87FA" w:rsidR="00F43B0F" w:rsidRPr="00A9546F" w:rsidRDefault="00F43B0F" w:rsidP="003B1239">
      <w:pPr>
        <w:tabs>
          <w:tab w:val="num" w:pos="360"/>
        </w:tabs>
        <w:spacing w:after="0" w:line="240" w:lineRule="auto"/>
        <w:jc w:val="both"/>
        <w:rPr>
          <w:rStyle w:val="Zstupntext"/>
          <w:rFonts w:ascii="Times New Roman" w:hAnsi="Times New Roman"/>
          <w:iCs/>
          <w:color w:val="000000"/>
        </w:rPr>
      </w:pPr>
      <w:r w:rsidRPr="003B1239">
        <w:rPr>
          <w:rFonts w:ascii="Times New Roman" w:hAnsi="Times New Roman"/>
        </w:rPr>
        <w:t>Nová právna úprava</w:t>
      </w:r>
      <w:r w:rsidRPr="003B1239">
        <w:rPr>
          <w:rStyle w:val="Zstupntext"/>
          <w:rFonts w:ascii="Times New Roman" w:hAnsi="Times New Roman"/>
          <w:iCs/>
          <w:color w:val="000000"/>
        </w:rPr>
        <w:t xml:space="preserve"> v zákone č. 8/2005 Z. z. o správcoch a o zmene a doplnení niektorých zákonov v znení neskorších predpisov</w:t>
      </w:r>
      <w:r w:rsidRPr="003B1239">
        <w:rPr>
          <w:rFonts w:ascii="Times New Roman" w:hAnsi="Times New Roman"/>
        </w:rPr>
        <w:t xml:space="preserve"> </w:t>
      </w:r>
      <w:r w:rsidR="00261B95">
        <w:rPr>
          <w:rFonts w:ascii="Times New Roman" w:hAnsi="Times New Roman"/>
        </w:rPr>
        <w:t>(ďalej len „zákon č. 8/2005 Z. z.“)</w:t>
      </w:r>
      <w:r w:rsidR="00CF2F00">
        <w:rPr>
          <w:rFonts w:ascii="Times New Roman" w:hAnsi="Times New Roman"/>
        </w:rPr>
        <w:t xml:space="preserve"> </w:t>
      </w:r>
      <w:r w:rsidRPr="003B1239">
        <w:rPr>
          <w:rFonts w:ascii="Times New Roman" w:hAnsi="Times New Roman"/>
        </w:rPr>
        <w:t xml:space="preserve">rieši zvýšené požiadavky na odbornosť a nezávislosti správcov tým, že zavádza špeciálnu správcovskú skúšku pre správcov, ktorí budú môcť byť ustanovení do obzvlášť náročných konkurzných či reštrukturalizačných konaní, pričom títo správcovia budú vykonávať funkciu aj v tzv. preventívnych konaniach. Transparentný a nezávislý výber odborníkov pre vykonávanie tejto špecifickej správcovskej činnosti má byť zabezpečený prostredníctvom špeciálnej komisie, ktorej členov z radov odborníkov má menovať minister spravodlivosti. K transparentnosti výberu tzv. špeciálnych správcov má prispieť aj zverejnenie zvukového záznamu z tejto špeciálnej správcovskej skúšky. Práve v súvislosti s navrhovanou právnou úpravou týkajúcou sa výkonu správcovskej činnosti tzv. špeciálnym správcom dochádza k potrebným </w:t>
      </w:r>
      <w:r w:rsidRPr="003B1239">
        <w:rPr>
          <w:rStyle w:val="Zstupntext"/>
          <w:rFonts w:ascii="Times New Roman" w:hAnsi="Times New Roman"/>
          <w:iCs/>
          <w:color w:val="000000"/>
        </w:rPr>
        <w:t>zmenám v zákone č. 8/2005 Z. z. a rovnako k zmenám v zákone Národnej rady Slovenskej republiky č. 145/1995 Z. z. o správnych poplatkoch v znení neskorších predpisov (zmena spôsobu výpočtu a úhrady ročného poplatku správcu, vrátane jeho zvýšenia</w:t>
      </w:r>
      <w:r w:rsidR="00A7701E">
        <w:rPr>
          <w:rStyle w:val="Zstupntext"/>
          <w:rFonts w:ascii="Times New Roman" w:hAnsi="Times New Roman"/>
          <w:iCs/>
          <w:color w:val="000000"/>
        </w:rPr>
        <w:t>, zavedenie poplatku za vykonanie špeciálnej správcovskej skúšky</w:t>
      </w:r>
      <w:r w:rsidRPr="003B1239">
        <w:rPr>
          <w:rStyle w:val="Zstupntext"/>
          <w:rFonts w:ascii="Times New Roman" w:hAnsi="Times New Roman"/>
          <w:iCs/>
          <w:color w:val="000000"/>
        </w:rPr>
        <w:t xml:space="preserve">), pričom </w:t>
      </w:r>
      <w:r w:rsidR="00A7701E">
        <w:rPr>
          <w:rStyle w:val="Zstupntext"/>
          <w:rFonts w:ascii="Times New Roman" w:hAnsi="Times New Roman"/>
          <w:iCs/>
          <w:color w:val="000000"/>
        </w:rPr>
        <w:t xml:space="preserve">vo väčšine dotknutých predpisov </w:t>
      </w:r>
      <w:r w:rsidRPr="003B1239">
        <w:rPr>
          <w:rStyle w:val="Zstupntext"/>
          <w:rFonts w:ascii="Times New Roman" w:hAnsi="Times New Roman"/>
          <w:iCs/>
          <w:color w:val="000000"/>
        </w:rPr>
        <w:t>súčasne dochádza aj k zmenám, ktorých potreba zavedenia vyplynula z aplikačnej praxe</w:t>
      </w:r>
      <w:r w:rsidRPr="00A9546F">
        <w:rPr>
          <w:rStyle w:val="Zstupntext"/>
          <w:rFonts w:ascii="Times New Roman" w:hAnsi="Times New Roman"/>
          <w:iCs/>
          <w:color w:val="000000"/>
        </w:rPr>
        <w:t>.</w:t>
      </w:r>
    </w:p>
    <w:p w14:paraId="233D30F4" w14:textId="77777777" w:rsidR="00A9546F" w:rsidRDefault="00A9546F" w:rsidP="003B1239">
      <w:pPr>
        <w:tabs>
          <w:tab w:val="num" w:pos="360"/>
        </w:tabs>
        <w:spacing w:after="0" w:line="240" w:lineRule="auto"/>
        <w:jc w:val="both"/>
        <w:rPr>
          <w:rFonts w:ascii="Times New Roman" w:hAnsi="Times New Roman"/>
        </w:rPr>
      </w:pPr>
    </w:p>
    <w:p w14:paraId="62056111" w14:textId="228A0060" w:rsidR="00A9546F" w:rsidRPr="00A9546F" w:rsidRDefault="00A9546F" w:rsidP="003B1239">
      <w:pPr>
        <w:tabs>
          <w:tab w:val="num" w:pos="360"/>
        </w:tabs>
        <w:spacing w:after="0" w:line="240" w:lineRule="auto"/>
        <w:jc w:val="both"/>
        <w:rPr>
          <w:rStyle w:val="Zstupntext"/>
          <w:rFonts w:ascii="Times New Roman" w:hAnsi="Times New Roman"/>
          <w:iCs/>
          <w:color w:val="000000"/>
        </w:rPr>
      </w:pPr>
      <w:r w:rsidRPr="00A9546F">
        <w:rPr>
          <w:rFonts w:ascii="Times New Roman" w:hAnsi="Times New Roman"/>
        </w:rPr>
        <w:t>V súlade s odporúčaniami a znením smernice sa taktiež zavádza kauzálna príslušnosť súdov, ktoré majú riešiť obzvlášť náročné prípady konkurzných a reštrukturalizačných konaní, v Civilnom sporovom poriadku, pričom určenie kauzálnej príslušnosti súdov v prípade preventívnych konaní je obsiahnuté v čl. I návrhu zákona.</w:t>
      </w:r>
    </w:p>
    <w:p w14:paraId="20067682" w14:textId="4272FB98" w:rsidR="00590EA3" w:rsidRPr="00A9546F" w:rsidRDefault="00590EA3" w:rsidP="003B1239">
      <w:pPr>
        <w:tabs>
          <w:tab w:val="num" w:pos="360"/>
        </w:tabs>
        <w:spacing w:after="0" w:line="240" w:lineRule="auto"/>
        <w:jc w:val="both"/>
        <w:rPr>
          <w:rStyle w:val="Zstupntext"/>
          <w:rFonts w:ascii="Times New Roman" w:hAnsi="Times New Roman"/>
          <w:iCs/>
          <w:color w:val="000000"/>
        </w:rPr>
      </w:pPr>
    </w:p>
    <w:p w14:paraId="502AD30E" w14:textId="7DCEE5E9" w:rsidR="00590EA3" w:rsidRPr="00A8311D" w:rsidRDefault="00590EA3" w:rsidP="003B1239">
      <w:pPr>
        <w:tabs>
          <w:tab w:val="num" w:pos="360"/>
        </w:tabs>
        <w:spacing w:after="0" w:line="240" w:lineRule="auto"/>
        <w:jc w:val="both"/>
        <w:rPr>
          <w:rFonts w:ascii="Times New Roman" w:hAnsi="Times New Roman"/>
        </w:rPr>
      </w:pPr>
      <w:r w:rsidRPr="00A8311D">
        <w:rPr>
          <w:rStyle w:val="Zstupntext"/>
          <w:rFonts w:ascii="Times New Roman" w:hAnsi="Times New Roman"/>
          <w:iCs/>
          <w:color w:val="auto"/>
        </w:rPr>
        <w:t>Návrh bude implementovať Ministerstvo spravodlivosti S</w:t>
      </w:r>
      <w:r w:rsidR="002A35F4" w:rsidRPr="00A8311D">
        <w:rPr>
          <w:rStyle w:val="Zstupntext"/>
          <w:rFonts w:ascii="Times New Roman" w:hAnsi="Times New Roman"/>
          <w:iCs/>
          <w:color w:val="auto"/>
        </w:rPr>
        <w:t>lovenskej republiky</w:t>
      </w:r>
      <w:r w:rsidRPr="00A8311D">
        <w:rPr>
          <w:rStyle w:val="Zstupntext"/>
          <w:rFonts w:ascii="Times New Roman" w:hAnsi="Times New Roman"/>
          <w:iCs/>
          <w:color w:val="auto"/>
        </w:rPr>
        <w:t>.</w:t>
      </w:r>
    </w:p>
    <w:p w14:paraId="5C09B636" w14:textId="77777777" w:rsidR="00F43B0F" w:rsidRPr="003B1239" w:rsidRDefault="00F43B0F" w:rsidP="003B1239">
      <w:pPr>
        <w:tabs>
          <w:tab w:val="num" w:pos="360"/>
        </w:tabs>
        <w:spacing w:after="0" w:line="240" w:lineRule="auto"/>
        <w:jc w:val="both"/>
        <w:rPr>
          <w:rFonts w:ascii="Times New Roman" w:hAnsi="Times New Roman"/>
        </w:rPr>
      </w:pPr>
    </w:p>
    <w:p w14:paraId="47DC7D66" w14:textId="77777777" w:rsidR="00940F02" w:rsidRPr="007D5748" w:rsidRDefault="00940F02" w:rsidP="00940F0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14:paraId="70C38765" w14:textId="77777777" w:rsidR="00940F02" w:rsidRPr="007D5748" w:rsidRDefault="00940F02" w:rsidP="00940F02">
      <w:pPr>
        <w:spacing w:after="0" w:line="240" w:lineRule="auto"/>
        <w:rPr>
          <w:rFonts w:ascii="Times New Roman" w:hAnsi="Times New Roman"/>
          <w:sz w:val="24"/>
          <w:szCs w:val="24"/>
          <w:lang w:eastAsia="sk-SK"/>
        </w:rPr>
      </w:pPr>
    </w:p>
    <w:p w14:paraId="182E29A0" w14:textId="77777777" w:rsidR="00940F02" w:rsidRPr="007D5748" w:rsidRDefault="00940F02" w:rsidP="00940F02">
      <w:pPr>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14:paraId="3DFFA363" w14:textId="77777777" w:rsidR="00940F02" w:rsidRPr="007D5748" w:rsidRDefault="00940F02" w:rsidP="00940F02">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14:paraId="132BD2A7" w14:textId="77777777" w:rsidR="00940F02" w:rsidRPr="007D5748" w:rsidRDefault="00940F02" w:rsidP="00940F02">
      <w:pPr>
        <w:spacing w:after="0" w:line="240" w:lineRule="auto"/>
        <w:rPr>
          <w:rFonts w:ascii="Times New Roman" w:hAnsi="Times New Roman"/>
          <w:sz w:val="24"/>
          <w:szCs w:val="24"/>
          <w:lang w:eastAsia="sk-SK"/>
        </w:rPr>
      </w:pPr>
      <w:r>
        <w:rPr>
          <w:rFonts w:ascii="Times New Roman" w:hAnsi="Times New Roman"/>
          <w:sz w:val="24"/>
          <w:szCs w:val="24"/>
          <w:bdr w:val="single" w:sz="4" w:space="0" w:color="auto"/>
          <w:lang w:eastAsia="sk-SK"/>
        </w:rPr>
        <w:t xml:space="preserve">    </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14:paraId="133D014D" w14:textId="77777777" w:rsidR="00940F02" w:rsidRPr="007D5748" w:rsidRDefault="00940F02" w:rsidP="00940F02">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Pr>
          <w:rFonts w:ascii="Times New Roman" w:hAnsi="Times New Roman"/>
          <w:sz w:val="24"/>
          <w:szCs w:val="24"/>
          <w:bdr w:val="single" w:sz="4" w:space="0" w:color="auto"/>
          <w:lang w:eastAsia="sk-SK"/>
        </w:rPr>
        <w:t>x</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14:paraId="26679608" w14:textId="77777777" w:rsidR="00940F02" w:rsidRPr="007D5748" w:rsidRDefault="00940F02" w:rsidP="00940F02">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Pr>
          <w:rFonts w:ascii="Times New Roman" w:hAnsi="Times New Roman"/>
          <w:sz w:val="24"/>
          <w:szCs w:val="24"/>
          <w:bdr w:val="single" w:sz="4" w:space="0" w:color="auto"/>
          <w:lang w:eastAsia="sk-SK"/>
        </w:rPr>
        <w:t xml:space="preserve">  </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14:paraId="6EF36714" w14:textId="77777777" w:rsidR="00940F02" w:rsidRPr="007D5748" w:rsidRDefault="00940F02" w:rsidP="00940F02">
      <w:pPr>
        <w:spacing w:after="0" w:line="240" w:lineRule="auto"/>
        <w:rPr>
          <w:rFonts w:ascii="Times New Roman" w:hAnsi="Times New Roman"/>
          <w:sz w:val="24"/>
          <w:szCs w:val="24"/>
          <w:lang w:eastAsia="sk-SK"/>
        </w:rPr>
      </w:pPr>
    </w:p>
    <w:p w14:paraId="0AC6509F" w14:textId="77777777" w:rsidR="00940F02" w:rsidRPr="007D5748" w:rsidRDefault="00940F02" w:rsidP="00940F02">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14:paraId="750F9C08" w14:textId="77777777" w:rsidR="00940F02" w:rsidRPr="007D5748" w:rsidRDefault="00940F02" w:rsidP="00940F02">
      <w:pPr>
        <w:spacing w:after="0" w:line="240" w:lineRule="auto"/>
        <w:rPr>
          <w:rFonts w:ascii="Times New Roman" w:hAnsi="Times New Roman"/>
          <w:sz w:val="24"/>
          <w:szCs w:val="24"/>
          <w:lang w:eastAsia="sk-SK"/>
        </w:rPr>
      </w:pPr>
    </w:p>
    <w:p w14:paraId="72E1C88D" w14:textId="77777777" w:rsidR="00940F02" w:rsidRPr="007D5748" w:rsidRDefault="00940F02" w:rsidP="00940F02">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14:paraId="5AD7CDEB" w14:textId="77777777" w:rsidR="00940F02" w:rsidRPr="007D5748" w:rsidRDefault="00940F02" w:rsidP="00940F02">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940F02" w:rsidRPr="007D5748" w14:paraId="06C188CA" w14:textId="77777777" w:rsidTr="00E67267">
        <w:trPr>
          <w:cantSplit/>
          <w:trHeight w:val="70"/>
        </w:trPr>
        <w:tc>
          <w:tcPr>
            <w:tcW w:w="4530" w:type="dxa"/>
            <w:vMerge w:val="restart"/>
            <w:shd w:val="clear" w:color="auto" w:fill="BFBFBF" w:themeFill="background1" w:themeFillShade="BF"/>
            <w:vAlign w:val="center"/>
          </w:tcPr>
          <w:p w14:paraId="2403A496" w14:textId="77777777" w:rsidR="00940F02" w:rsidRPr="007D5748" w:rsidRDefault="00940F02" w:rsidP="00237722">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4536" w:type="dxa"/>
            <w:gridSpan w:val="4"/>
            <w:shd w:val="clear" w:color="auto" w:fill="BFBFBF" w:themeFill="background1" w:themeFillShade="BF"/>
            <w:vAlign w:val="center"/>
          </w:tcPr>
          <w:p w14:paraId="3ACDDDC4" w14:textId="77777777" w:rsidR="00940F02" w:rsidRPr="007D5748" w:rsidRDefault="00940F02" w:rsidP="00237722">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rsidR="00E67267" w:rsidRPr="007D5748" w14:paraId="2AD67803" w14:textId="77777777" w:rsidTr="00E67267">
        <w:trPr>
          <w:cantSplit/>
          <w:trHeight w:val="70"/>
        </w:trPr>
        <w:tc>
          <w:tcPr>
            <w:tcW w:w="4530" w:type="dxa"/>
            <w:vMerge/>
            <w:shd w:val="clear" w:color="auto" w:fill="BFBFBF" w:themeFill="background1" w:themeFillShade="BF"/>
          </w:tcPr>
          <w:p w14:paraId="49A96607" w14:textId="77777777" w:rsidR="00E67267" w:rsidRPr="007D5748" w:rsidRDefault="00E67267" w:rsidP="00E67267">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14:paraId="02BC00AD" w14:textId="288A76DB" w:rsidR="00E67267" w:rsidRPr="007D5748" w:rsidRDefault="00E67267" w:rsidP="00E67267">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134" w:type="dxa"/>
            <w:shd w:val="clear" w:color="auto" w:fill="BFBFBF" w:themeFill="background1" w:themeFillShade="BF"/>
            <w:vAlign w:val="center"/>
          </w:tcPr>
          <w:p w14:paraId="01729011" w14:textId="52CBE3C8" w:rsidR="00E67267" w:rsidRPr="007D5748" w:rsidRDefault="00E67267" w:rsidP="00E67267">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134" w:type="dxa"/>
            <w:shd w:val="clear" w:color="auto" w:fill="BFBFBF" w:themeFill="background1" w:themeFillShade="BF"/>
            <w:vAlign w:val="center"/>
          </w:tcPr>
          <w:p w14:paraId="230D9DE4" w14:textId="3AE81A6A" w:rsidR="00E67267" w:rsidRPr="007D5748" w:rsidRDefault="00E67267" w:rsidP="00E67267">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134" w:type="dxa"/>
            <w:shd w:val="clear" w:color="auto" w:fill="BFBFBF" w:themeFill="background1" w:themeFillShade="BF"/>
            <w:vAlign w:val="center"/>
          </w:tcPr>
          <w:p w14:paraId="5C6F09C3" w14:textId="360F89FA" w:rsidR="00E67267" w:rsidRPr="007D5748" w:rsidRDefault="00E67267" w:rsidP="00E67267">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r>
      <w:tr w:rsidR="00940F02" w:rsidRPr="007D5748" w14:paraId="3927459D" w14:textId="77777777" w:rsidTr="00E67267">
        <w:trPr>
          <w:trHeight w:val="70"/>
        </w:trPr>
        <w:tc>
          <w:tcPr>
            <w:tcW w:w="4530" w:type="dxa"/>
          </w:tcPr>
          <w:p w14:paraId="00C6D81F" w14:textId="77777777" w:rsidR="00940F02" w:rsidRPr="007D5748" w:rsidRDefault="00F1610C" w:rsidP="00237722">
            <w:pPr>
              <w:autoSpaceDE w:val="0"/>
              <w:autoSpaceDN w:val="0"/>
              <w:adjustRightInd w:val="0"/>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Indikátor ABC</w:t>
            </w:r>
          </w:p>
        </w:tc>
        <w:tc>
          <w:tcPr>
            <w:tcW w:w="1134" w:type="dxa"/>
          </w:tcPr>
          <w:p w14:paraId="675DC63F" w14:textId="77777777" w:rsidR="00940F02" w:rsidRPr="007D5748" w:rsidRDefault="00940F02" w:rsidP="00237722">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138B4671" w14:textId="77777777" w:rsidR="00940F02" w:rsidRPr="007D5748" w:rsidRDefault="00940F02" w:rsidP="00237722">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611A1D0A" w14:textId="77777777" w:rsidR="00940F02" w:rsidRPr="007D5748" w:rsidRDefault="00940F02" w:rsidP="00237722">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41D8E71E" w14:textId="77777777" w:rsidR="00940F02" w:rsidRPr="007D5748" w:rsidRDefault="00940F02" w:rsidP="00237722">
            <w:pPr>
              <w:autoSpaceDE w:val="0"/>
              <w:autoSpaceDN w:val="0"/>
              <w:adjustRightInd w:val="0"/>
              <w:spacing w:after="0" w:line="240" w:lineRule="auto"/>
              <w:jc w:val="right"/>
              <w:rPr>
                <w:rFonts w:ascii="Times New Roman" w:hAnsi="Times New Roman"/>
                <w:color w:val="000000"/>
                <w:sz w:val="24"/>
                <w:szCs w:val="24"/>
                <w:lang w:eastAsia="sk-SK"/>
              </w:rPr>
            </w:pPr>
          </w:p>
        </w:tc>
      </w:tr>
      <w:tr w:rsidR="00940F02" w:rsidRPr="007D5748" w14:paraId="79E9F990" w14:textId="77777777" w:rsidTr="00E67267">
        <w:trPr>
          <w:trHeight w:val="70"/>
        </w:trPr>
        <w:tc>
          <w:tcPr>
            <w:tcW w:w="4530" w:type="dxa"/>
          </w:tcPr>
          <w:p w14:paraId="32A6581A" w14:textId="77777777" w:rsidR="00940F02" w:rsidRPr="007D5748" w:rsidRDefault="00940F02" w:rsidP="00237722">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KLM</w:t>
            </w:r>
          </w:p>
        </w:tc>
        <w:tc>
          <w:tcPr>
            <w:tcW w:w="1134" w:type="dxa"/>
          </w:tcPr>
          <w:p w14:paraId="328E9C89" w14:textId="77777777" w:rsidR="00940F02" w:rsidRPr="007D5748" w:rsidRDefault="00940F02" w:rsidP="00237722">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24180B5D" w14:textId="77777777" w:rsidR="00940F02" w:rsidRPr="007D5748" w:rsidRDefault="00940F02" w:rsidP="00237722">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4978AF39" w14:textId="77777777" w:rsidR="00940F02" w:rsidRPr="007D5748" w:rsidRDefault="00940F02" w:rsidP="00237722">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35E6FFA4" w14:textId="77777777" w:rsidR="00940F02" w:rsidRPr="007D5748" w:rsidRDefault="00940F02" w:rsidP="00237722">
            <w:pPr>
              <w:autoSpaceDE w:val="0"/>
              <w:autoSpaceDN w:val="0"/>
              <w:adjustRightInd w:val="0"/>
              <w:spacing w:after="0" w:line="240" w:lineRule="auto"/>
              <w:jc w:val="right"/>
              <w:rPr>
                <w:rFonts w:ascii="Times New Roman" w:hAnsi="Times New Roman"/>
                <w:color w:val="000000"/>
                <w:sz w:val="24"/>
                <w:szCs w:val="24"/>
                <w:lang w:eastAsia="sk-SK"/>
              </w:rPr>
            </w:pPr>
          </w:p>
        </w:tc>
      </w:tr>
      <w:tr w:rsidR="00940F02" w:rsidRPr="007D5748" w14:paraId="6F847AF4" w14:textId="77777777" w:rsidTr="00E67267">
        <w:trPr>
          <w:trHeight w:val="70"/>
        </w:trPr>
        <w:tc>
          <w:tcPr>
            <w:tcW w:w="4530" w:type="dxa"/>
          </w:tcPr>
          <w:p w14:paraId="2017F1FD" w14:textId="77777777" w:rsidR="00940F02" w:rsidRPr="007D5748" w:rsidRDefault="00940F02" w:rsidP="00237722">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XYZ</w:t>
            </w:r>
          </w:p>
        </w:tc>
        <w:tc>
          <w:tcPr>
            <w:tcW w:w="1134" w:type="dxa"/>
          </w:tcPr>
          <w:p w14:paraId="51AB474F" w14:textId="77777777" w:rsidR="00940F02" w:rsidRPr="007D5748" w:rsidRDefault="00940F02" w:rsidP="00237722">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32DB77B8" w14:textId="77777777" w:rsidR="00940F02" w:rsidRPr="007D5748" w:rsidRDefault="00940F02" w:rsidP="00237722">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288C9567" w14:textId="77777777" w:rsidR="00940F02" w:rsidRPr="007D5748" w:rsidRDefault="00940F02" w:rsidP="00237722">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344C55CD" w14:textId="77777777" w:rsidR="00940F02" w:rsidRPr="007D5748" w:rsidRDefault="00940F02" w:rsidP="00237722">
            <w:pPr>
              <w:autoSpaceDE w:val="0"/>
              <w:autoSpaceDN w:val="0"/>
              <w:adjustRightInd w:val="0"/>
              <w:spacing w:after="0" w:line="240" w:lineRule="auto"/>
              <w:jc w:val="right"/>
              <w:rPr>
                <w:rFonts w:ascii="Times New Roman" w:hAnsi="Times New Roman"/>
                <w:color w:val="000000"/>
                <w:sz w:val="24"/>
                <w:szCs w:val="24"/>
                <w:lang w:eastAsia="sk-SK"/>
              </w:rPr>
            </w:pPr>
          </w:p>
        </w:tc>
      </w:tr>
    </w:tbl>
    <w:p w14:paraId="486DC88B" w14:textId="77777777" w:rsidR="00940F02" w:rsidRPr="007D5748" w:rsidRDefault="00940F02" w:rsidP="00940F02">
      <w:pPr>
        <w:spacing w:after="0" w:line="240" w:lineRule="auto"/>
        <w:rPr>
          <w:rFonts w:ascii="Times New Roman" w:hAnsi="Times New Roman"/>
          <w:sz w:val="24"/>
          <w:szCs w:val="24"/>
          <w:lang w:eastAsia="sk-SK"/>
        </w:rPr>
      </w:pPr>
    </w:p>
    <w:p w14:paraId="16CE8173" w14:textId="77777777" w:rsidR="00061BB5" w:rsidRDefault="00061BB5" w:rsidP="00940F02">
      <w:pPr>
        <w:spacing w:after="0" w:line="240" w:lineRule="auto"/>
        <w:rPr>
          <w:rFonts w:ascii="Times New Roman" w:hAnsi="Times New Roman"/>
          <w:b/>
          <w:bCs/>
          <w:sz w:val="24"/>
          <w:szCs w:val="24"/>
          <w:lang w:eastAsia="sk-SK"/>
        </w:rPr>
      </w:pPr>
    </w:p>
    <w:p w14:paraId="61CE973B" w14:textId="77777777" w:rsidR="00061BB5" w:rsidRDefault="00061BB5" w:rsidP="00940F02">
      <w:pPr>
        <w:spacing w:after="0" w:line="240" w:lineRule="auto"/>
        <w:rPr>
          <w:rFonts w:ascii="Times New Roman" w:hAnsi="Times New Roman"/>
          <w:b/>
          <w:bCs/>
          <w:sz w:val="24"/>
          <w:szCs w:val="24"/>
          <w:lang w:eastAsia="sk-SK"/>
        </w:rPr>
      </w:pPr>
    </w:p>
    <w:p w14:paraId="7667E641" w14:textId="77777777" w:rsidR="00061BB5" w:rsidRDefault="00061BB5" w:rsidP="00940F02">
      <w:pPr>
        <w:spacing w:after="0" w:line="240" w:lineRule="auto"/>
        <w:rPr>
          <w:rFonts w:ascii="Times New Roman" w:hAnsi="Times New Roman"/>
          <w:b/>
          <w:bCs/>
          <w:sz w:val="24"/>
          <w:szCs w:val="24"/>
          <w:lang w:eastAsia="sk-SK"/>
        </w:rPr>
      </w:pPr>
    </w:p>
    <w:p w14:paraId="36B35789" w14:textId="41E7D875" w:rsidR="00940F02" w:rsidRPr="007D5748" w:rsidRDefault="00940F02" w:rsidP="00940F0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14:paraId="1931F0D9" w14:textId="77777777" w:rsidR="00940F02" w:rsidRDefault="00940F02" w:rsidP="00940F02">
      <w:pPr>
        <w:tabs>
          <w:tab w:val="num" w:pos="1080"/>
        </w:tabs>
        <w:spacing w:after="0" w:line="240" w:lineRule="auto"/>
        <w:jc w:val="both"/>
        <w:rPr>
          <w:rFonts w:ascii="Times New Roman" w:hAnsi="Times New Roman"/>
          <w:sz w:val="24"/>
          <w:szCs w:val="24"/>
          <w:lang w:eastAsia="sk-SK"/>
        </w:rPr>
      </w:pPr>
    </w:p>
    <w:p w14:paraId="2BF172A6" w14:textId="791C0014" w:rsidR="006E4B06" w:rsidRPr="00376C49" w:rsidRDefault="00940F02" w:rsidP="00940F02">
      <w:pPr>
        <w:tabs>
          <w:tab w:val="num" w:pos="1080"/>
        </w:tabs>
        <w:spacing w:after="0" w:line="240" w:lineRule="auto"/>
        <w:jc w:val="both"/>
        <w:rPr>
          <w:rFonts w:ascii="Times New Roman" w:hAnsi="Times New Roman"/>
          <w:bCs/>
          <w:sz w:val="24"/>
          <w:szCs w:val="24"/>
        </w:rPr>
      </w:pPr>
      <w:r w:rsidRPr="00376C49">
        <w:rPr>
          <w:rFonts w:ascii="Times New Roman" w:hAnsi="Times New Roman"/>
          <w:sz w:val="24"/>
          <w:szCs w:val="24"/>
          <w:lang w:eastAsia="sk-SK"/>
        </w:rPr>
        <w:t>Predmetný návrh zákona má negatívny vplyv na rozpočet kapitoly Ministerstvo spravodlivosti Slovenskej republiky</w:t>
      </w:r>
      <w:r w:rsidRPr="00376C49">
        <w:rPr>
          <w:rFonts w:ascii="Times New Roman" w:hAnsi="Times New Roman"/>
          <w:bCs/>
          <w:sz w:val="24"/>
          <w:szCs w:val="24"/>
        </w:rPr>
        <w:t xml:space="preserve"> v súvislosti </w:t>
      </w:r>
      <w:r w:rsidR="006E4B06" w:rsidRPr="00376C49">
        <w:rPr>
          <w:rFonts w:ascii="Times New Roman" w:hAnsi="Times New Roman"/>
          <w:bCs/>
          <w:sz w:val="24"/>
          <w:szCs w:val="24"/>
        </w:rPr>
        <w:t>so zabezpečením zmien a vytvorením nových formulárov, ktoré majú byť používané v konaní o verejnej preventívnej reštrukturalizácii a </w:t>
      </w:r>
      <w:r w:rsidR="00261B95" w:rsidRPr="00376C49">
        <w:rPr>
          <w:rFonts w:ascii="Times New Roman" w:hAnsi="Times New Roman"/>
          <w:bCs/>
          <w:sz w:val="24"/>
          <w:szCs w:val="24"/>
        </w:rPr>
        <w:t xml:space="preserve">v konaní </w:t>
      </w:r>
      <w:r w:rsidR="006E4B06" w:rsidRPr="00376C49">
        <w:rPr>
          <w:rFonts w:ascii="Times New Roman" w:hAnsi="Times New Roman"/>
          <w:bCs/>
          <w:sz w:val="24"/>
          <w:szCs w:val="24"/>
        </w:rPr>
        <w:t>neverejnej preventívnej reštrukturalizácii, ako aj v konaniach podľa zákona č. 7/2005 Z. z. (konkurz, malý konkurz, reštrukturalizácia oddlženie).</w:t>
      </w:r>
    </w:p>
    <w:p w14:paraId="68C81E86" w14:textId="2B163569" w:rsidR="002D005B" w:rsidRPr="00376C49" w:rsidRDefault="00940F02" w:rsidP="00940F02">
      <w:pPr>
        <w:tabs>
          <w:tab w:val="num" w:pos="1080"/>
        </w:tabs>
        <w:spacing w:after="0" w:line="240" w:lineRule="auto"/>
        <w:jc w:val="both"/>
        <w:rPr>
          <w:rFonts w:ascii="Times New Roman" w:hAnsi="Times New Roman"/>
          <w:bCs/>
          <w:sz w:val="24"/>
          <w:szCs w:val="24"/>
        </w:rPr>
      </w:pPr>
      <w:r w:rsidRPr="00376C49">
        <w:rPr>
          <w:rFonts w:ascii="Times New Roman" w:hAnsi="Times New Roman"/>
          <w:sz w:val="24"/>
          <w:szCs w:val="24"/>
        </w:rPr>
        <w:t xml:space="preserve">Za týmto účelom sa vytvárajú </w:t>
      </w:r>
      <w:r w:rsidR="00162F4C" w:rsidRPr="00376C49">
        <w:rPr>
          <w:rFonts w:ascii="Times New Roman" w:hAnsi="Times New Roman"/>
          <w:sz w:val="24"/>
          <w:szCs w:val="24"/>
        </w:rPr>
        <w:t xml:space="preserve">nové </w:t>
      </w:r>
      <w:r w:rsidR="00237722" w:rsidRPr="00376C49">
        <w:rPr>
          <w:rFonts w:ascii="Times New Roman" w:hAnsi="Times New Roman"/>
          <w:sz w:val="24"/>
          <w:szCs w:val="24"/>
        </w:rPr>
        <w:t xml:space="preserve">interaktívne elektronické formuláre návrhu na povolenie verejnej preventívnej reštrukturalizácie, návrhu na potvrdenie plánu súdom, návrhu na potvrdenie plánu súdom s návrhom na nahradenie súhlasu skupiny rozhodnutím súdu a návrhu na potvrdenie plánu súdom </w:t>
      </w:r>
      <w:r w:rsidR="00162F4C" w:rsidRPr="00376C49">
        <w:rPr>
          <w:rFonts w:ascii="Times New Roman" w:hAnsi="Times New Roman"/>
          <w:sz w:val="24"/>
          <w:szCs w:val="24"/>
        </w:rPr>
        <w:t xml:space="preserve">alebo sa menia už existujúce </w:t>
      </w:r>
      <w:r w:rsidRPr="00376C49">
        <w:rPr>
          <w:rFonts w:ascii="Times New Roman" w:hAnsi="Times New Roman"/>
          <w:sz w:val="24"/>
          <w:szCs w:val="24"/>
        </w:rPr>
        <w:t>interaktívne elektronické formuláre, ktoré štruktúrou vychádzajú z existujúcich formulárov pre dočasnú ochranu</w:t>
      </w:r>
      <w:r w:rsidR="00237722" w:rsidRPr="00376C49">
        <w:rPr>
          <w:rFonts w:ascii="Times New Roman" w:hAnsi="Times New Roman"/>
          <w:sz w:val="24"/>
          <w:szCs w:val="24"/>
        </w:rPr>
        <w:t xml:space="preserve">, prípadne ide o zmeny v návrhoch na vyhlásenie konkurzu, vyhlásenie malého konkurzu alebo </w:t>
      </w:r>
      <w:r w:rsidR="00261B95" w:rsidRPr="00376C49">
        <w:rPr>
          <w:rFonts w:ascii="Times New Roman" w:hAnsi="Times New Roman"/>
          <w:sz w:val="24"/>
          <w:szCs w:val="24"/>
        </w:rPr>
        <w:t>povolenie</w:t>
      </w:r>
      <w:r w:rsidR="001226DA" w:rsidRPr="00376C49">
        <w:rPr>
          <w:rFonts w:ascii="Times New Roman" w:hAnsi="Times New Roman"/>
          <w:sz w:val="24"/>
          <w:szCs w:val="24"/>
        </w:rPr>
        <w:t xml:space="preserve"> </w:t>
      </w:r>
      <w:r w:rsidR="00237722" w:rsidRPr="00376C49">
        <w:rPr>
          <w:rFonts w:ascii="Times New Roman" w:hAnsi="Times New Roman"/>
          <w:sz w:val="24"/>
          <w:szCs w:val="24"/>
        </w:rPr>
        <w:t>reštrukturalizácie</w:t>
      </w:r>
      <w:r w:rsidR="004E6F3B" w:rsidRPr="00376C49">
        <w:rPr>
          <w:rFonts w:ascii="Times New Roman" w:hAnsi="Times New Roman"/>
          <w:sz w:val="24"/>
          <w:szCs w:val="24"/>
        </w:rPr>
        <w:t xml:space="preserve">. V súvislosti </w:t>
      </w:r>
      <w:r w:rsidR="00237722" w:rsidRPr="00376C49">
        <w:rPr>
          <w:rFonts w:ascii="Times New Roman" w:hAnsi="Times New Roman"/>
          <w:sz w:val="24"/>
          <w:szCs w:val="24"/>
        </w:rPr>
        <w:t xml:space="preserve">so zavedením novej právnej úpravy dochádza však aj k viacerým </w:t>
      </w:r>
      <w:r w:rsidR="00261B95" w:rsidRPr="00376C49">
        <w:rPr>
          <w:rFonts w:ascii="Times New Roman" w:hAnsi="Times New Roman"/>
          <w:sz w:val="24"/>
          <w:szCs w:val="24"/>
        </w:rPr>
        <w:t>dopadom</w:t>
      </w:r>
      <w:r w:rsidR="00DD5E1B" w:rsidRPr="00376C49">
        <w:rPr>
          <w:rFonts w:ascii="Times New Roman" w:hAnsi="Times New Roman"/>
          <w:sz w:val="24"/>
          <w:szCs w:val="24"/>
        </w:rPr>
        <w:t xml:space="preserve"> </w:t>
      </w:r>
      <w:r w:rsidR="00261B95" w:rsidRPr="00376C49">
        <w:rPr>
          <w:rFonts w:ascii="Times New Roman" w:hAnsi="Times New Roman"/>
          <w:sz w:val="24"/>
          <w:szCs w:val="24"/>
        </w:rPr>
        <w:t>na</w:t>
      </w:r>
      <w:r w:rsidR="00237722" w:rsidRPr="00376C49">
        <w:rPr>
          <w:rFonts w:ascii="Times New Roman" w:hAnsi="Times New Roman"/>
          <w:sz w:val="24"/>
          <w:szCs w:val="24"/>
        </w:rPr>
        <w:t xml:space="preserve"> informačn</w:t>
      </w:r>
      <w:r w:rsidR="00261B95" w:rsidRPr="00376C49">
        <w:rPr>
          <w:rFonts w:ascii="Times New Roman" w:hAnsi="Times New Roman"/>
          <w:sz w:val="24"/>
          <w:szCs w:val="24"/>
        </w:rPr>
        <w:t>é</w:t>
      </w:r>
      <w:r w:rsidR="00237722" w:rsidRPr="00376C49">
        <w:rPr>
          <w:rFonts w:ascii="Times New Roman" w:hAnsi="Times New Roman"/>
          <w:sz w:val="24"/>
          <w:szCs w:val="24"/>
        </w:rPr>
        <w:t xml:space="preserve"> systém</w:t>
      </w:r>
      <w:r w:rsidR="00261B95" w:rsidRPr="00376C49">
        <w:rPr>
          <w:rFonts w:ascii="Times New Roman" w:hAnsi="Times New Roman"/>
          <w:sz w:val="24"/>
          <w:szCs w:val="24"/>
        </w:rPr>
        <w:t xml:space="preserve">y v správe Ministerstva spravodlivosti SR, najmä </w:t>
      </w:r>
      <w:r w:rsidR="00237722" w:rsidRPr="00376C49">
        <w:rPr>
          <w:rFonts w:ascii="Times New Roman" w:hAnsi="Times New Roman"/>
          <w:sz w:val="24"/>
          <w:szCs w:val="24"/>
        </w:rPr>
        <w:t>z dôvodu zabezpečenia zverejňovania potrebných informácií, zberu nevyhnutných údajov v súlade s ustanoveniami smernice, vytvorením nového oddielu v zozname správcov, z dôvodu spracovania podaní a preberania údajov z nich v</w:t>
      </w:r>
      <w:r w:rsidR="00261B95" w:rsidRPr="00376C49">
        <w:rPr>
          <w:rFonts w:ascii="Times New Roman" w:hAnsi="Times New Roman"/>
          <w:sz w:val="24"/>
          <w:szCs w:val="24"/>
        </w:rPr>
        <w:t> informačnom systéme súdov (</w:t>
      </w:r>
      <w:r w:rsidR="00237722" w:rsidRPr="00376C49">
        <w:rPr>
          <w:rFonts w:ascii="Times New Roman" w:hAnsi="Times New Roman"/>
          <w:sz w:val="24"/>
          <w:szCs w:val="24"/>
        </w:rPr>
        <w:t>Súdnom manažmente</w:t>
      </w:r>
      <w:r w:rsidR="00261B95" w:rsidRPr="00376C49">
        <w:rPr>
          <w:rFonts w:ascii="Times New Roman" w:hAnsi="Times New Roman"/>
          <w:sz w:val="24"/>
          <w:szCs w:val="24"/>
        </w:rPr>
        <w:t>)</w:t>
      </w:r>
      <w:r w:rsidR="00237722" w:rsidRPr="00376C49">
        <w:rPr>
          <w:rFonts w:ascii="Times New Roman" w:hAnsi="Times New Roman"/>
          <w:sz w:val="24"/>
          <w:szCs w:val="24"/>
        </w:rPr>
        <w:t>, ako aj z dôvodu potrebného nasadenia jednotlivých zmien v jednotlivých informačných systémoch</w:t>
      </w:r>
      <w:r w:rsidR="00A02261" w:rsidRPr="00376C49">
        <w:rPr>
          <w:rFonts w:ascii="Times New Roman" w:hAnsi="Times New Roman"/>
          <w:sz w:val="24"/>
          <w:szCs w:val="24"/>
        </w:rPr>
        <w:t xml:space="preserve"> v správe Ministerstva spravodlivosti SR</w:t>
      </w:r>
      <w:r w:rsidRPr="00376C49">
        <w:rPr>
          <w:rFonts w:ascii="Times New Roman" w:hAnsi="Times New Roman"/>
          <w:sz w:val="24"/>
          <w:szCs w:val="24"/>
        </w:rPr>
        <w:t xml:space="preserve">, čo má vplyv na </w:t>
      </w:r>
      <w:r w:rsidRPr="00376C49">
        <w:rPr>
          <w:rFonts w:ascii="Times New Roman" w:hAnsi="Times New Roman"/>
          <w:bCs/>
          <w:sz w:val="24"/>
          <w:szCs w:val="24"/>
        </w:rPr>
        <w:t>Informačný systém súdov – Súdny manažment (isvs_255), Informačný systém registra úpadcov (isvs_5840)</w:t>
      </w:r>
      <w:r w:rsidR="00162F4C" w:rsidRPr="00376C49">
        <w:rPr>
          <w:rFonts w:ascii="Times New Roman" w:hAnsi="Times New Roman"/>
          <w:bCs/>
          <w:sz w:val="24"/>
          <w:szCs w:val="24"/>
        </w:rPr>
        <w:t>,</w:t>
      </w:r>
      <w:r w:rsidR="00282D16">
        <w:rPr>
          <w:rFonts w:ascii="Times New Roman" w:hAnsi="Times New Roman"/>
          <w:bCs/>
          <w:sz w:val="24"/>
          <w:szCs w:val="24"/>
        </w:rPr>
        <w:t xml:space="preserve"> </w:t>
      </w:r>
      <w:r w:rsidRPr="00376C49">
        <w:rPr>
          <w:rFonts w:ascii="Times New Roman" w:hAnsi="Times New Roman"/>
          <w:bCs/>
          <w:sz w:val="24"/>
          <w:szCs w:val="24"/>
        </w:rPr>
        <w:t>na Internetové služby rezortu spravodlivosti (IS RS) – isvs_239</w:t>
      </w:r>
      <w:r w:rsidR="00162F4C" w:rsidRPr="00376C49">
        <w:rPr>
          <w:rFonts w:ascii="Times New Roman" w:hAnsi="Times New Roman"/>
          <w:bCs/>
          <w:sz w:val="24"/>
          <w:szCs w:val="24"/>
        </w:rPr>
        <w:t>, na register správcov (isvs_8257) a na Informačný systém Obchodného vestníka (</w:t>
      </w:r>
      <w:proofErr w:type="spellStart"/>
      <w:r w:rsidR="00162F4C" w:rsidRPr="00376C49">
        <w:rPr>
          <w:rFonts w:ascii="Times New Roman" w:hAnsi="Times New Roman"/>
          <w:bCs/>
          <w:sz w:val="24"/>
          <w:szCs w:val="24"/>
        </w:rPr>
        <w:t>isvs</w:t>
      </w:r>
      <w:proofErr w:type="spellEnd"/>
      <w:r w:rsidR="00162F4C" w:rsidRPr="00376C49">
        <w:rPr>
          <w:rFonts w:ascii="Times New Roman" w:hAnsi="Times New Roman"/>
          <w:bCs/>
          <w:sz w:val="24"/>
          <w:szCs w:val="24"/>
        </w:rPr>
        <w:t xml:space="preserve"> 9771)</w:t>
      </w:r>
      <w:r w:rsidRPr="00376C49">
        <w:rPr>
          <w:rFonts w:ascii="Times New Roman" w:hAnsi="Times New Roman"/>
          <w:bCs/>
          <w:sz w:val="24"/>
          <w:szCs w:val="24"/>
        </w:rPr>
        <w:t xml:space="preserve">. </w:t>
      </w:r>
    </w:p>
    <w:p w14:paraId="6047DAD0" w14:textId="77777777" w:rsidR="00A02261" w:rsidRPr="00A8311D" w:rsidRDefault="00A02261" w:rsidP="00940F02">
      <w:pPr>
        <w:tabs>
          <w:tab w:val="num" w:pos="1080"/>
        </w:tabs>
        <w:spacing w:after="0" w:line="240" w:lineRule="auto"/>
        <w:jc w:val="both"/>
        <w:rPr>
          <w:rFonts w:ascii="Times New Roman" w:hAnsi="Times New Roman"/>
          <w:bCs/>
          <w:sz w:val="24"/>
          <w:szCs w:val="24"/>
        </w:rPr>
      </w:pPr>
    </w:p>
    <w:p w14:paraId="3FA23920" w14:textId="4A9B4121" w:rsidR="00237722" w:rsidRDefault="00940F02" w:rsidP="00940F02">
      <w:pPr>
        <w:tabs>
          <w:tab w:val="num" w:pos="1080"/>
        </w:tabs>
        <w:spacing w:after="0" w:line="240" w:lineRule="auto"/>
        <w:jc w:val="both"/>
        <w:rPr>
          <w:rFonts w:ascii="Times New Roman" w:hAnsi="Times New Roman"/>
          <w:bCs/>
          <w:sz w:val="24"/>
          <w:szCs w:val="24"/>
        </w:rPr>
      </w:pPr>
      <w:r w:rsidRPr="00A8311D">
        <w:rPr>
          <w:rFonts w:ascii="Times New Roman" w:hAnsi="Times New Roman"/>
          <w:bCs/>
          <w:sz w:val="24"/>
          <w:szCs w:val="24"/>
        </w:rPr>
        <w:t xml:space="preserve">Celkový </w:t>
      </w:r>
      <w:r w:rsidR="00245540" w:rsidRPr="00A8311D">
        <w:rPr>
          <w:rFonts w:ascii="Times New Roman" w:hAnsi="Times New Roman"/>
          <w:bCs/>
          <w:sz w:val="24"/>
          <w:szCs w:val="24"/>
        </w:rPr>
        <w:t xml:space="preserve">negatívny </w:t>
      </w:r>
      <w:r w:rsidRPr="00A8311D">
        <w:rPr>
          <w:rFonts w:ascii="Times New Roman" w:hAnsi="Times New Roman"/>
          <w:bCs/>
          <w:sz w:val="24"/>
          <w:szCs w:val="24"/>
        </w:rPr>
        <w:t>dopad na rozpočet</w:t>
      </w:r>
      <w:r w:rsidR="00A02261" w:rsidRPr="00A8311D">
        <w:rPr>
          <w:rFonts w:ascii="Times New Roman" w:hAnsi="Times New Roman"/>
          <w:bCs/>
          <w:sz w:val="24"/>
          <w:szCs w:val="24"/>
        </w:rPr>
        <w:t xml:space="preserve"> verejnej správy </w:t>
      </w:r>
      <w:r w:rsidRPr="00A8311D">
        <w:rPr>
          <w:rFonts w:ascii="Times New Roman" w:hAnsi="Times New Roman"/>
          <w:bCs/>
          <w:sz w:val="24"/>
          <w:szCs w:val="24"/>
        </w:rPr>
        <w:t xml:space="preserve">je podľa analýzy dodávateľov vo výške </w:t>
      </w:r>
      <w:r w:rsidR="008C2CD8" w:rsidRPr="00A8311D">
        <w:rPr>
          <w:rFonts w:ascii="Times New Roman" w:hAnsi="Times New Roman"/>
          <w:bCs/>
          <w:sz w:val="24"/>
          <w:szCs w:val="24"/>
        </w:rPr>
        <w:t>66 116</w:t>
      </w:r>
      <w:r w:rsidRPr="00A8311D">
        <w:rPr>
          <w:rFonts w:ascii="Times New Roman" w:hAnsi="Times New Roman"/>
          <w:bCs/>
          <w:sz w:val="24"/>
          <w:szCs w:val="24"/>
        </w:rPr>
        <w:t xml:space="preserve"> eur bez DPH, to je </w:t>
      </w:r>
      <w:r w:rsidR="008C2CD8" w:rsidRPr="00A8311D">
        <w:rPr>
          <w:rFonts w:ascii="Times New Roman" w:hAnsi="Times New Roman"/>
          <w:bCs/>
          <w:sz w:val="24"/>
          <w:szCs w:val="24"/>
        </w:rPr>
        <w:t>79 340</w:t>
      </w:r>
      <w:r w:rsidRPr="00A8311D">
        <w:rPr>
          <w:rFonts w:ascii="Times New Roman" w:hAnsi="Times New Roman"/>
          <w:bCs/>
          <w:sz w:val="24"/>
          <w:szCs w:val="24"/>
        </w:rPr>
        <w:t xml:space="preserve"> eur s</w:t>
      </w:r>
      <w:r w:rsidR="00237722" w:rsidRPr="00A8311D">
        <w:rPr>
          <w:rFonts w:ascii="Times New Roman" w:hAnsi="Times New Roman"/>
          <w:bCs/>
          <w:sz w:val="24"/>
          <w:szCs w:val="24"/>
        </w:rPr>
        <w:t> </w:t>
      </w:r>
      <w:r w:rsidRPr="00A8311D">
        <w:rPr>
          <w:rFonts w:ascii="Times New Roman" w:hAnsi="Times New Roman"/>
          <w:bCs/>
          <w:sz w:val="24"/>
          <w:szCs w:val="24"/>
        </w:rPr>
        <w:t>DPH</w:t>
      </w:r>
      <w:r w:rsidR="00237722" w:rsidRPr="00A8311D">
        <w:rPr>
          <w:rFonts w:ascii="Times New Roman" w:hAnsi="Times New Roman"/>
          <w:bCs/>
          <w:sz w:val="24"/>
          <w:szCs w:val="24"/>
        </w:rPr>
        <w:t>.</w:t>
      </w:r>
      <w:r w:rsidR="00207130" w:rsidRPr="00A8311D">
        <w:rPr>
          <w:rFonts w:ascii="Times New Roman" w:hAnsi="Times New Roman"/>
          <w:bCs/>
          <w:sz w:val="24"/>
          <w:szCs w:val="24"/>
        </w:rPr>
        <w:t xml:space="preserve"> Počet </w:t>
      </w:r>
      <w:r w:rsidR="008F10AC" w:rsidRPr="00A8311D">
        <w:rPr>
          <w:rFonts w:ascii="Times New Roman" w:hAnsi="Times New Roman"/>
          <w:bCs/>
          <w:sz w:val="24"/>
          <w:szCs w:val="24"/>
        </w:rPr>
        <w:t>človekodní</w:t>
      </w:r>
      <w:r w:rsidR="00207130" w:rsidRPr="00A8311D">
        <w:rPr>
          <w:rFonts w:ascii="Times New Roman" w:hAnsi="Times New Roman"/>
          <w:bCs/>
          <w:sz w:val="24"/>
          <w:szCs w:val="24"/>
        </w:rPr>
        <w:t xml:space="preserve"> bol vyčíslený na </w:t>
      </w:r>
      <w:r w:rsidR="008F10AC" w:rsidRPr="00A8311D">
        <w:rPr>
          <w:rFonts w:ascii="Times New Roman" w:hAnsi="Times New Roman"/>
          <w:bCs/>
          <w:sz w:val="24"/>
          <w:szCs w:val="24"/>
        </w:rPr>
        <w:t xml:space="preserve">celkovú </w:t>
      </w:r>
      <w:r w:rsidR="00207130" w:rsidRPr="00A8311D">
        <w:rPr>
          <w:rFonts w:ascii="Times New Roman" w:hAnsi="Times New Roman"/>
          <w:bCs/>
          <w:sz w:val="24"/>
          <w:szCs w:val="24"/>
        </w:rPr>
        <w:t xml:space="preserve">hodnotu </w:t>
      </w:r>
      <w:r w:rsidR="008C2CD8" w:rsidRPr="00A8311D">
        <w:rPr>
          <w:rFonts w:ascii="Times New Roman" w:hAnsi="Times New Roman"/>
          <w:bCs/>
          <w:sz w:val="24"/>
          <w:szCs w:val="24"/>
        </w:rPr>
        <w:t>157,5</w:t>
      </w:r>
      <w:r w:rsidR="00207130" w:rsidRPr="00A8311D">
        <w:rPr>
          <w:rFonts w:ascii="Times New Roman" w:hAnsi="Times New Roman"/>
          <w:bCs/>
          <w:sz w:val="24"/>
          <w:szCs w:val="24"/>
        </w:rPr>
        <w:t xml:space="preserve">. </w:t>
      </w:r>
    </w:p>
    <w:p w14:paraId="36BFBB3D" w14:textId="77777777" w:rsidR="00A41246" w:rsidRDefault="00A41246" w:rsidP="00940F02">
      <w:pPr>
        <w:tabs>
          <w:tab w:val="num" w:pos="1080"/>
        </w:tabs>
        <w:spacing w:after="0" w:line="240" w:lineRule="auto"/>
        <w:jc w:val="both"/>
        <w:rPr>
          <w:rFonts w:ascii="Times New Roman" w:hAnsi="Times New Roman"/>
          <w:bCs/>
          <w:sz w:val="24"/>
          <w:szCs w:val="24"/>
        </w:rPr>
      </w:pPr>
    </w:p>
    <w:p w14:paraId="747EDBD6" w14:textId="698706A0" w:rsidR="00A41246" w:rsidRPr="00061BB5" w:rsidRDefault="00A41246" w:rsidP="00940F02">
      <w:pPr>
        <w:tabs>
          <w:tab w:val="num" w:pos="1080"/>
        </w:tabs>
        <w:spacing w:after="0" w:line="240" w:lineRule="auto"/>
        <w:jc w:val="both"/>
        <w:rPr>
          <w:rFonts w:ascii="Times New Roman" w:hAnsi="Times New Roman"/>
          <w:bCs/>
          <w:sz w:val="24"/>
          <w:szCs w:val="24"/>
        </w:rPr>
      </w:pPr>
      <w:r w:rsidRPr="00061BB5">
        <w:rPr>
          <w:rFonts w:ascii="Times New Roman" w:hAnsi="Times New Roman"/>
          <w:bCs/>
          <w:sz w:val="24"/>
          <w:szCs w:val="24"/>
        </w:rPr>
        <w:t>Finančný vplyv návrhu zákona na rozpočet kapitoly Ministerstva financií SR bol vyčíslený vo</w:t>
      </w:r>
      <w:r w:rsidR="00216BCB" w:rsidRPr="00061BB5">
        <w:rPr>
          <w:rFonts w:ascii="Times New Roman" w:hAnsi="Times New Roman"/>
          <w:bCs/>
          <w:sz w:val="24"/>
          <w:szCs w:val="24"/>
        </w:rPr>
        <w:t> </w:t>
      </w:r>
      <w:r w:rsidRPr="00061BB5">
        <w:rPr>
          <w:rFonts w:ascii="Times New Roman" w:hAnsi="Times New Roman"/>
          <w:bCs/>
          <w:sz w:val="24"/>
          <w:szCs w:val="24"/>
        </w:rPr>
        <w:t>výške 52 426 eur, ktorý súvisí s úpravami informačného systému Integrovaný systém Finančnej správy – správa daní (ISFS-SD). V ISFS-SD je potrebné zapracovať funkcionalitu spracovania elektronického formulára prihlášky</w:t>
      </w:r>
      <w:r w:rsidR="00216BCB" w:rsidRPr="00061BB5">
        <w:rPr>
          <w:rFonts w:ascii="Times New Roman" w:hAnsi="Times New Roman"/>
          <w:bCs/>
          <w:sz w:val="24"/>
          <w:szCs w:val="24"/>
        </w:rPr>
        <w:t xml:space="preserve"> v konkurze, reštrukturalizácii a</w:t>
      </w:r>
      <w:r w:rsidRPr="00061BB5">
        <w:rPr>
          <w:rFonts w:ascii="Times New Roman" w:hAnsi="Times New Roman"/>
          <w:bCs/>
          <w:sz w:val="24"/>
          <w:szCs w:val="24"/>
        </w:rPr>
        <w:t xml:space="preserve"> </w:t>
      </w:r>
      <w:proofErr w:type="spellStart"/>
      <w:r w:rsidRPr="00061BB5">
        <w:rPr>
          <w:rFonts w:ascii="Times New Roman" w:hAnsi="Times New Roman"/>
          <w:bCs/>
          <w:sz w:val="24"/>
          <w:szCs w:val="24"/>
        </w:rPr>
        <w:t>od</w:t>
      </w:r>
      <w:r w:rsidR="00216BCB" w:rsidRPr="00061BB5">
        <w:rPr>
          <w:rFonts w:ascii="Times New Roman" w:hAnsi="Times New Roman"/>
          <w:bCs/>
          <w:sz w:val="24"/>
          <w:szCs w:val="24"/>
        </w:rPr>
        <w:t>d</w:t>
      </w:r>
      <w:r w:rsidRPr="00061BB5">
        <w:rPr>
          <w:rFonts w:ascii="Times New Roman" w:hAnsi="Times New Roman"/>
          <w:bCs/>
          <w:sz w:val="24"/>
          <w:szCs w:val="24"/>
        </w:rPr>
        <w:t>ĺžení</w:t>
      </w:r>
      <w:proofErr w:type="spellEnd"/>
      <w:r w:rsidRPr="00061BB5">
        <w:rPr>
          <w:rFonts w:ascii="Times New Roman" w:hAnsi="Times New Roman"/>
          <w:bCs/>
          <w:sz w:val="24"/>
          <w:szCs w:val="24"/>
        </w:rPr>
        <w:t xml:space="preserve"> prostredníctvom na to určeného</w:t>
      </w:r>
      <w:r w:rsidR="00216BCB" w:rsidRPr="00061BB5">
        <w:rPr>
          <w:rFonts w:ascii="Times New Roman" w:hAnsi="Times New Roman"/>
          <w:bCs/>
          <w:sz w:val="24"/>
          <w:szCs w:val="24"/>
        </w:rPr>
        <w:t xml:space="preserve"> formulára</w:t>
      </w:r>
      <w:r w:rsidRPr="00061BB5">
        <w:rPr>
          <w:rFonts w:ascii="Times New Roman" w:hAnsi="Times New Roman"/>
          <w:bCs/>
          <w:sz w:val="24"/>
          <w:szCs w:val="24"/>
        </w:rPr>
        <w:t xml:space="preserve"> zverejneného v</w:t>
      </w:r>
      <w:r w:rsidR="00BD7B79" w:rsidRPr="00061BB5">
        <w:rPr>
          <w:rFonts w:ascii="Times New Roman" w:hAnsi="Times New Roman"/>
          <w:bCs/>
          <w:sz w:val="24"/>
          <w:szCs w:val="24"/>
        </w:rPr>
        <w:t xml:space="preserve"> informačnom systéme </w:t>
      </w:r>
      <w:r w:rsidR="00E01BE5" w:rsidRPr="00061BB5">
        <w:rPr>
          <w:rFonts w:ascii="Times New Roman" w:hAnsi="Times New Roman"/>
          <w:bCs/>
          <w:sz w:val="24"/>
          <w:szCs w:val="24"/>
        </w:rPr>
        <w:t>registra</w:t>
      </w:r>
      <w:r w:rsidR="00BD7B79" w:rsidRPr="00061BB5">
        <w:rPr>
          <w:rFonts w:ascii="Times New Roman" w:hAnsi="Times New Roman"/>
          <w:bCs/>
          <w:sz w:val="24"/>
          <w:szCs w:val="24"/>
        </w:rPr>
        <w:t xml:space="preserve"> </w:t>
      </w:r>
      <w:r w:rsidRPr="00061BB5">
        <w:rPr>
          <w:rFonts w:ascii="Times New Roman" w:hAnsi="Times New Roman"/>
          <w:bCs/>
          <w:sz w:val="24"/>
          <w:szCs w:val="24"/>
        </w:rPr>
        <w:t>úpadcov.</w:t>
      </w:r>
      <w:r w:rsidR="00216BCB" w:rsidRPr="00061BB5">
        <w:rPr>
          <w:rFonts w:ascii="Times New Roman" w:hAnsi="Times New Roman"/>
          <w:bCs/>
          <w:sz w:val="24"/>
          <w:szCs w:val="24"/>
        </w:rPr>
        <w:t xml:space="preserve"> Prácnosť úpravy ISFS-SD bola vyčíslená na 68 človekodní.</w:t>
      </w:r>
    </w:p>
    <w:p w14:paraId="4D76591D" w14:textId="5D28C17B" w:rsidR="00237722" w:rsidRPr="00061BB5" w:rsidRDefault="00237722" w:rsidP="00940F02">
      <w:pPr>
        <w:tabs>
          <w:tab w:val="num" w:pos="1080"/>
        </w:tabs>
        <w:spacing w:after="0" w:line="240" w:lineRule="auto"/>
        <w:jc w:val="both"/>
        <w:rPr>
          <w:rFonts w:ascii="Times New Roman" w:hAnsi="Times New Roman"/>
          <w:bCs/>
          <w:sz w:val="24"/>
          <w:szCs w:val="24"/>
        </w:rPr>
      </w:pPr>
    </w:p>
    <w:p w14:paraId="50459B3B" w14:textId="69525B01" w:rsidR="002D005B" w:rsidRPr="00A8311D" w:rsidRDefault="00940F02" w:rsidP="00940F02">
      <w:pPr>
        <w:tabs>
          <w:tab w:val="num" w:pos="1080"/>
        </w:tabs>
        <w:spacing w:after="0" w:line="240" w:lineRule="auto"/>
        <w:jc w:val="both"/>
        <w:rPr>
          <w:rFonts w:ascii="Times New Roman" w:hAnsi="Times New Roman"/>
          <w:sz w:val="24"/>
          <w:szCs w:val="24"/>
          <w:lang w:eastAsia="sk-SK"/>
        </w:rPr>
      </w:pPr>
      <w:r w:rsidRPr="00376C49">
        <w:rPr>
          <w:rFonts w:ascii="Times New Roman" w:hAnsi="Times New Roman"/>
          <w:sz w:val="24"/>
          <w:szCs w:val="24"/>
          <w:lang w:eastAsia="sk-SK"/>
        </w:rPr>
        <w:t xml:space="preserve">Predmetný návrh zákona bude mať aj pozitívny vplyv na </w:t>
      </w:r>
      <w:r w:rsidRPr="00A8311D">
        <w:rPr>
          <w:rFonts w:ascii="Times New Roman" w:hAnsi="Times New Roman"/>
          <w:sz w:val="24"/>
          <w:szCs w:val="24"/>
          <w:lang w:eastAsia="sk-SK"/>
        </w:rPr>
        <w:t xml:space="preserve">rozpočet </w:t>
      </w:r>
      <w:r w:rsidR="0005344C" w:rsidRPr="00A8311D">
        <w:rPr>
          <w:rFonts w:ascii="Times New Roman" w:hAnsi="Times New Roman"/>
          <w:sz w:val="24"/>
          <w:szCs w:val="24"/>
          <w:lang w:eastAsia="sk-SK"/>
        </w:rPr>
        <w:t xml:space="preserve">kapitoly Všeobecná pokladničná správa </w:t>
      </w:r>
      <w:r w:rsidRPr="00A8311D">
        <w:rPr>
          <w:rFonts w:ascii="Times New Roman" w:hAnsi="Times New Roman"/>
          <w:sz w:val="24"/>
          <w:szCs w:val="24"/>
          <w:lang w:eastAsia="sk-SK"/>
        </w:rPr>
        <w:t>v oblasti príjmov</w:t>
      </w:r>
      <w:r w:rsidR="002D005B" w:rsidRPr="00A8311D">
        <w:rPr>
          <w:rFonts w:ascii="Times New Roman" w:hAnsi="Times New Roman"/>
          <w:sz w:val="24"/>
          <w:szCs w:val="24"/>
          <w:lang w:eastAsia="sk-SK"/>
        </w:rPr>
        <w:t>, nakoľko dochádza k:</w:t>
      </w:r>
    </w:p>
    <w:p w14:paraId="020491EB" w14:textId="6E7E730F" w:rsidR="00245540" w:rsidRPr="00376C49" w:rsidRDefault="002D005B" w:rsidP="00940F02">
      <w:pPr>
        <w:tabs>
          <w:tab w:val="num" w:pos="1080"/>
        </w:tabs>
        <w:spacing w:after="0" w:line="240" w:lineRule="auto"/>
        <w:jc w:val="both"/>
        <w:rPr>
          <w:rFonts w:ascii="Times New Roman" w:hAnsi="Times New Roman"/>
          <w:sz w:val="24"/>
          <w:szCs w:val="24"/>
          <w:lang w:eastAsia="sk-SK"/>
        </w:rPr>
      </w:pPr>
      <w:r w:rsidRPr="00376C49">
        <w:rPr>
          <w:rFonts w:ascii="Times New Roman" w:hAnsi="Times New Roman"/>
          <w:sz w:val="24"/>
          <w:szCs w:val="24"/>
          <w:lang w:eastAsia="sk-SK"/>
        </w:rPr>
        <w:t xml:space="preserve">a) </w:t>
      </w:r>
      <w:r w:rsidR="00061BB5">
        <w:rPr>
          <w:rFonts w:ascii="Times New Roman" w:hAnsi="Times New Roman"/>
          <w:sz w:val="24"/>
          <w:szCs w:val="24"/>
          <w:lang w:eastAsia="sk-SK"/>
        </w:rPr>
        <w:t>zmene</w:t>
      </w:r>
      <w:r w:rsidR="00245540" w:rsidRPr="00376C49">
        <w:rPr>
          <w:rFonts w:ascii="Times New Roman" w:hAnsi="Times New Roman"/>
          <w:sz w:val="24"/>
          <w:szCs w:val="24"/>
          <w:lang w:eastAsia="sk-SK"/>
        </w:rPr>
        <w:t xml:space="preserve"> súdneho poplatku za konkurzné konanie tak, že súdny poplatok bude predstavovať </w:t>
      </w:r>
      <w:r w:rsidR="00621ECB" w:rsidRPr="00376C49">
        <w:rPr>
          <w:rFonts w:ascii="Times New Roman" w:hAnsi="Times New Roman"/>
          <w:sz w:val="24"/>
          <w:szCs w:val="24"/>
          <w:lang w:eastAsia="sk-SK"/>
        </w:rPr>
        <w:t xml:space="preserve">   </w:t>
      </w:r>
      <w:r w:rsidR="00245540" w:rsidRPr="00376C49">
        <w:rPr>
          <w:rFonts w:ascii="Times New Roman" w:hAnsi="Times New Roman"/>
          <w:sz w:val="24"/>
          <w:szCs w:val="24"/>
          <w:lang w:eastAsia="sk-SK"/>
        </w:rPr>
        <w:t>1 % z každého výťažku zo speňaženia majetku zapísaného do súpisu majetku vo všeobecnej podstate</w:t>
      </w:r>
      <w:r w:rsidR="00A9546F">
        <w:rPr>
          <w:rFonts w:ascii="Times New Roman" w:hAnsi="Times New Roman"/>
          <w:sz w:val="24"/>
          <w:szCs w:val="24"/>
          <w:lang w:eastAsia="sk-SK"/>
        </w:rPr>
        <w:t xml:space="preserve"> najviac 33 193,50 eur</w:t>
      </w:r>
      <w:r w:rsidR="00245540" w:rsidRPr="00376C49">
        <w:rPr>
          <w:rFonts w:ascii="Times New Roman" w:hAnsi="Times New Roman"/>
          <w:sz w:val="24"/>
          <w:szCs w:val="24"/>
          <w:lang w:eastAsia="sk-SK"/>
        </w:rPr>
        <w:t xml:space="preserve"> a 05 % z výťažku v oddelenej podstate</w:t>
      </w:r>
      <w:r w:rsidR="00A9546F">
        <w:rPr>
          <w:rFonts w:ascii="Times New Roman" w:hAnsi="Times New Roman"/>
          <w:sz w:val="24"/>
          <w:szCs w:val="24"/>
          <w:lang w:eastAsia="sk-SK"/>
        </w:rPr>
        <w:t xml:space="preserve"> najviac 33 193,50 eur</w:t>
      </w:r>
      <w:r w:rsidR="00245540" w:rsidRPr="00376C49">
        <w:rPr>
          <w:rFonts w:ascii="Times New Roman" w:hAnsi="Times New Roman"/>
          <w:sz w:val="24"/>
          <w:szCs w:val="24"/>
          <w:lang w:eastAsia="sk-SK"/>
        </w:rPr>
        <w:t>,</w:t>
      </w:r>
    </w:p>
    <w:p w14:paraId="38E15446" w14:textId="04C16AF4" w:rsidR="002D005B" w:rsidRPr="00376C49" w:rsidRDefault="00621ECB" w:rsidP="00940F02">
      <w:pPr>
        <w:tabs>
          <w:tab w:val="num" w:pos="1080"/>
        </w:tabs>
        <w:spacing w:after="0" w:line="240" w:lineRule="auto"/>
        <w:jc w:val="both"/>
        <w:rPr>
          <w:rFonts w:ascii="Times New Roman" w:hAnsi="Times New Roman"/>
          <w:sz w:val="24"/>
          <w:szCs w:val="24"/>
          <w:lang w:eastAsia="sk-SK"/>
        </w:rPr>
      </w:pPr>
      <w:r w:rsidRPr="00376C49">
        <w:rPr>
          <w:rFonts w:ascii="Times New Roman" w:hAnsi="Times New Roman"/>
          <w:sz w:val="24"/>
          <w:szCs w:val="24"/>
          <w:lang w:eastAsia="sk-SK"/>
        </w:rPr>
        <w:t xml:space="preserve">b) </w:t>
      </w:r>
      <w:r w:rsidR="001226DA" w:rsidRPr="00376C49">
        <w:rPr>
          <w:rFonts w:ascii="Times New Roman" w:hAnsi="Times New Roman"/>
          <w:sz w:val="24"/>
          <w:szCs w:val="24"/>
          <w:lang w:eastAsia="sk-SK"/>
        </w:rPr>
        <w:t>zmene</w:t>
      </w:r>
      <w:r w:rsidR="002D005B" w:rsidRPr="00376C49">
        <w:rPr>
          <w:rFonts w:ascii="Times New Roman" w:hAnsi="Times New Roman"/>
          <w:sz w:val="24"/>
          <w:szCs w:val="24"/>
          <w:lang w:eastAsia="sk-SK"/>
        </w:rPr>
        <w:t xml:space="preserve"> súdneho poplatku za podanie námietky zaujatosti v insolvenčnom konaní</w:t>
      </w:r>
      <w:r w:rsidR="00D23DA2" w:rsidRPr="00376C49">
        <w:rPr>
          <w:rFonts w:ascii="Times New Roman" w:hAnsi="Times New Roman"/>
          <w:sz w:val="24"/>
          <w:szCs w:val="24"/>
          <w:lang w:eastAsia="sk-SK"/>
        </w:rPr>
        <w:t xml:space="preserve"> </w:t>
      </w:r>
      <w:r w:rsidR="00CE42B8" w:rsidRPr="00376C49">
        <w:rPr>
          <w:rFonts w:ascii="Times New Roman" w:hAnsi="Times New Roman"/>
          <w:sz w:val="24"/>
          <w:szCs w:val="24"/>
          <w:lang w:eastAsia="sk-SK"/>
        </w:rPr>
        <w:t xml:space="preserve">a preventívnom konaní </w:t>
      </w:r>
      <w:r w:rsidR="00D23DA2" w:rsidRPr="00376C49">
        <w:rPr>
          <w:rFonts w:ascii="Times New Roman" w:hAnsi="Times New Roman"/>
          <w:sz w:val="24"/>
          <w:szCs w:val="24"/>
          <w:lang w:eastAsia="sk-SK"/>
        </w:rPr>
        <w:t>s účinnosťou od 17. júla 2022</w:t>
      </w:r>
      <w:r w:rsidR="00CE42B8" w:rsidRPr="00376C49">
        <w:rPr>
          <w:rFonts w:ascii="Times New Roman" w:hAnsi="Times New Roman"/>
          <w:sz w:val="24"/>
          <w:szCs w:val="24"/>
          <w:lang w:eastAsia="sk-SK"/>
        </w:rPr>
        <w:t>, ktorá sa navrhuje vo výške 500 eur</w:t>
      </w:r>
      <w:r w:rsidR="002D005B" w:rsidRPr="00376C49">
        <w:rPr>
          <w:rFonts w:ascii="Times New Roman" w:hAnsi="Times New Roman"/>
          <w:sz w:val="24"/>
          <w:szCs w:val="24"/>
          <w:lang w:eastAsia="sk-SK"/>
        </w:rPr>
        <w:t>,</w:t>
      </w:r>
    </w:p>
    <w:p w14:paraId="376AE636" w14:textId="6DDA6FF1" w:rsidR="002D005B" w:rsidRPr="00376C49" w:rsidRDefault="00A9546F" w:rsidP="00940F02">
      <w:pPr>
        <w:tabs>
          <w:tab w:val="num" w:pos="1080"/>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lastRenderedPageBreak/>
        <w:t>c</w:t>
      </w:r>
      <w:r w:rsidR="002D005B" w:rsidRPr="00376C49">
        <w:rPr>
          <w:rFonts w:ascii="Times New Roman" w:hAnsi="Times New Roman"/>
          <w:sz w:val="24"/>
          <w:szCs w:val="24"/>
          <w:lang w:eastAsia="sk-SK"/>
        </w:rPr>
        <w:t>) zvýšeniu správneho poplatku (ročný poplatok správcu – fyzickej osoby za každý, aj neskončený rok trvania zápisu v zozname správcov) zo 165,50 eur na 200 eur</w:t>
      </w:r>
      <w:r w:rsidR="00D23DA2" w:rsidRPr="00376C49">
        <w:rPr>
          <w:rFonts w:ascii="Times New Roman" w:hAnsi="Times New Roman"/>
          <w:sz w:val="24"/>
          <w:szCs w:val="24"/>
          <w:lang w:eastAsia="sk-SK"/>
        </w:rPr>
        <w:t xml:space="preserve"> s účinnosťou od 17. júla 2022</w:t>
      </w:r>
      <w:r w:rsidR="002D005B" w:rsidRPr="00376C49">
        <w:rPr>
          <w:rFonts w:ascii="Times New Roman" w:hAnsi="Times New Roman"/>
          <w:sz w:val="24"/>
          <w:szCs w:val="24"/>
          <w:lang w:eastAsia="sk-SK"/>
        </w:rPr>
        <w:t>,</w:t>
      </w:r>
    </w:p>
    <w:p w14:paraId="1E32FDCC" w14:textId="77777777" w:rsidR="00A9546F" w:rsidRDefault="00A9546F" w:rsidP="002D005B">
      <w:pPr>
        <w:tabs>
          <w:tab w:val="num" w:pos="1080"/>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d</w:t>
      </w:r>
      <w:r w:rsidR="002D005B" w:rsidRPr="00376C49">
        <w:rPr>
          <w:rFonts w:ascii="Times New Roman" w:hAnsi="Times New Roman"/>
          <w:sz w:val="24"/>
          <w:szCs w:val="24"/>
          <w:lang w:eastAsia="sk-SK"/>
        </w:rPr>
        <w:t>) zvýšeniu správneho poplatku (ročný poplatok správcu – fyzickej osoby za každý, aj neskončený rok trvania zápisu v zozname správcov) zo 165,50 eur na 400 eur</w:t>
      </w:r>
      <w:r w:rsidR="00D23DA2" w:rsidRPr="00376C49">
        <w:rPr>
          <w:rFonts w:ascii="Times New Roman" w:hAnsi="Times New Roman"/>
          <w:sz w:val="24"/>
          <w:szCs w:val="24"/>
          <w:lang w:eastAsia="sk-SK"/>
        </w:rPr>
        <w:t xml:space="preserve"> s účinnosťou od 17. júla 2022</w:t>
      </w:r>
      <w:r>
        <w:rPr>
          <w:rFonts w:ascii="Times New Roman" w:hAnsi="Times New Roman"/>
          <w:sz w:val="24"/>
          <w:szCs w:val="24"/>
          <w:lang w:eastAsia="sk-SK"/>
        </w:rPr>
        <w:t>,</w:t>
      </w:r>
    </w:p>
    <w:p w14:paraId="1B0E64DC" w14:textId="2BCCEC3C" w:rsidR="002D005B" w:rsidRPr="00376C49" w:rsidRDefault="00A9546F" w:rsidP="002D005B">
      <w:pPr>
        <w:tabs>
          <w:tab w:val="num" w:pos="1080"/>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e) zavedenie nového správneho poplatku za vykonanie špeciálnej správcovskej skúšky vo výške 5 000 eur</w:t>
      </w:r>
      <w:r w:rsidR="00D23DA2" w:rsidRPr="00376C49">
        <w:rPr>
          <w:rFonts w:ascii="Times New Roman" w:hAnsi="Times New Roman"/>
          <w:sz w:val="24"/>
          <w:szCs w:val="24"/>
          <w:lang w:eastAsia="sk-SK"/>
        </w:rPr>
        <w:t>.</w:t>
      </w:r>
    </w:p>
    <w:p w14:paraId="3D6FDC97" w14:textId="77777777" w:rsidR="00A9546F" w:rsidRDefault="00A9546F" w:rsidP="00613172">
      <w:pPr>
        <w:tabs>
          <w:tab w:val="num" w:pos="1080"/>
        </w:tabs>
        <w:spacing w:after="0" w:line="240" w:lineRule="auto"/>
        <w:jc w:val="both"/>
        <w:rPr>
          <w:rFonts w:ascii="Times New Roman" w:hAnsi="Times New Roman"/>
          <w:sz w:val="24"/>
          <w:szCs w:val="24"/>
          <w:lang w:eastAsia="sk-SK"/>
        </w:rPr>
      </w:pPr>
    </w:p>
    <w:p w14:paraId="3ADA8FEA" w14:textId="2D6CAE85" w:rsidR="00613172" w:rsidRPr="00A8311D" w:rsidRDefault="00613172" w:rsidP="00613172">
      <w:pPr>
        <w:tabs>
          <w:tab w:val="num" w:pos="1080"/>
        </w:tabs>
        <w:spacing w:after="0" w:line="240" w:lineRule="auto"/>
        <w:jc w:val="both"/>
        <w:rPr>
          <w:rFonts w:ascii="Times New Roman" w:hAnsi="Times New Roman"/>
          <w:sz w:val="24"/>
          <w:szCs w:val="24"/>
          <w:lang w:eastAsia="sk-SK"/>
        </w:rPr>
      </w:pPr>
      <w:r w:rsidRPr="00A8311D">
        <w:rPr>
          <w:rFonts w:ascii="Times New Roman" w:hAnsi="Times New Roman"/>
          <w:sz w:val="24"/>
          <w:szCs w:val="24"/>
          <w:lang w:eastAsia="sk-SK"/>
        </w:rPr>
        <w:t>Ide však o príjmy, ktoré nie je možné vopred presne kvantifikovať, preto nie je v tabuľkovej časti uvedená žiadna suma. Rovnako</w:t>
      </w:r>
      <w:r w:rsidR="00061BB5">
        <w:rPr>
          <w:rFonts w:ascii="Times New Roman" w:hAnsi="Times New Roman"/>
          <w:sz w:val="24"/>
          <w:szCs w:val="24"/>
          <w:lang w:eastAsia="sk-SK"/>
        </w:rPr>
        <w:t>,</w:t>
      </w:r>
      <w:r w:rsidRPr="00A8311D">
        <w:rPr>
          <w:rFonts w:ascii="Times New Roman" w:hAnsi="Times New Roman"/>
          <w:sz w:val="24"/>
          <w:szCs w:val="24"/>
          <w:lang w:eastAsia="sk-SK"/>
        </w:rPr>
        <w:t xml:space="preserve"> ako je možné očakávať navýšenie príjmov</w:t>
      </w:r>
      <w:r w:rsidR="00061BB5">
        <w:rPr>
          <w:rFonts w:ascii="Times New Roman" w:hAnsi="Times New Roman"/>
          <w:sz w:val="24"/>
          <w:szCs w:val="24"/>
          <w:lang w:eastAsia="sk-SK"/>
        </w:rPr>
        <w:t>,</w:t>
      </w:r>
      <w:r w:rsidRPr="00A8311D">
        <w:rPr>
          <w:rFonts w:ascii="Times New Roman" w:hAnsi="Times New Roman"/>
          <w:sz w:val="24"/>
          <w:szCs w:val="24"/>
          <w:lang w:eastAsia="sk-SK"/>
        </w:rPr>
        <w:t xml:space="preserve"> je možné očakávať aj čiastočné zníženie príjmov. V zmysle uvedeného uvádzame nižšie, tam kde je to možné</w:t>
      </w:r>
      <w:r w:rsidR="0005344C" w:rsidRPr="00A8311D">
        <w:rPr>
          <w:rFonts w:ascii="Times New Roman" w:hAnsi="Times New Roman"/>
          <w:sz w:val="24"/>
          <w:szCs w:val="24"/>
          <w:lang w:eastAsia="sk-SK"/>
        </w:rPr>
        <w:t>,</w:t>
      </w:r>
      <w:r w:rsidRPr="00A8311D">
        <w:rPr>
          <w:rFonts w:ascii="Times New Roman" w:hAnsi="Times New Roman"/>
          <w:sz w:val="24"/>
          <w:szCs w:val="24"/>
          <w:lang w:eastAsia="sk-SK"/>
        </w:rPr>
        <w:t xml:space="preserve"> </w:t>
      </w:r>
      <w:r w:rsidR="0005344C" w:rsidRPr="00A8311D">
        <w:rPr>
          <w:rFonts w:ascii="Times New Roman" w:hAnsi="Times New Roman"/>
          <w:sz w:val="24"/>
          <w:szCs w:val="24"/>
          <w:lang w:eastAsia="sk-SK"/>
        </w:rPr>
        <w:t>bližšie informácie k</w:t>
      </w:r>
      <w:r w:rsidRPr="00A8311D">
        <w:rPr>
          <w:rFonts w:ascii="Times New Roman" w:hAnsi="Times New Roman"/>
          <w:sz w:val="24"/>
          <w:szCs w:val="24"/>
          <w:lang w:eastAsia="sk-SK"/>
        </w:rPr>
        <w:t xml:space="preserve"> odhad</w:t>
      </w:r>
      <w:r w:rsidR="0005344C" w:rsidRPr="00A8311D">
        <w:rPr>
          <w:rFonts w:ascii="Times New Roman" w:hAnsi="Times New Roman"/>
          <w:sz w:val="24"/>
          <w:szCs w:val="24"/>
          <w:lang w:eastAsia="sk-SK"/>
        </w:rPr>
        <w:t>ovanému</w:t>
      </w:r>
      <w:r w:rsidRPr="00A8311D">
        <w:rPr>
          <w:rFonts w:ascii="Times New Roman" w:hAnsi="Times New Roman"/>
          <w:sz w:val="24"/>
          <w:szCs w:val="24"/>
          <w:lang w:eastAsia="sk-SK"/>
        </w:rPr>
        <w:t xml:space="preserve"> zvýšenia príjmov.</w:t>
      </w:r>
    </w:p>
    <w:p w14:paraId="12400B17" w14:textId="4CC029B9" w:rsidR="00D23DA2" w:rsidRDefault="00D23DA2" w:rsidP="002D005B">
      <w:pPr>
        <w:tabs>
          <w:tab w:val="num" w:pos="1080"/>
        </w:tabs>
        <w:spacing w:after="0" w:line="240" w:lineRule="auto"/>
        <w:jc w:val="both"/>
        <w:rPr>
          <w:rFonts w:ascii="Times New Roman" w:hAnsi="Times New Roman"/>
          <w:sz w:val="24"/>
          <w:szCs w:val="24"/>
          <w:lang w:eastAsia="sk-SK"/>
        </w:rPr>
      </w:pPr>
    </w:p>
    <w:p w14:paraId="586538E6" w14:textId="608EB48D" w:rsidR="00621ECB" w:rsidRPr="00376C49" w:rsidRDefault="00F1610C" w:rsidP="002D005B">
      <w:pPr>
        <w:tabs>
          <w:tab w:val="num" w:pos="1080"/>
        </w:tabs>
        <w:spacing w:after="0" w:line="240" w:lineRule="auto"/>
        <w:jc w:val="both"/>
        <w:rPr>
          <w:rFonts w:ascii="Times New Roman" w:hAnsi="Times New Roman"/>
          <w:sz w:val="24"/>
          <w:szCs w:val="24"/>
          <w:lang w:eastAsia="sk-SK"/>
        </w:rPr>
      </w:pPr>
      <w:r w:rsidRPr="00376C49">
        <w:rPr>
          <w:rFonts w:ascii="Times New Roman" w:hAnsi="Times New Roman"/>
          <w:sz w:val="24"/>
          <w:szCs w:val="24"/>
          <w:lang w:eastAsia="sk-SK"/>
        </w:rPr>
        <w:t xml:space="preserve">a) </w:t>
      </w:r>
      <w:r w:rsidR="00621ECB" w:rsidRPr="00376C49">
        <w:rPr>
          <w:rFonts w:ascii="Times New Roman" w:hAnsi="Times New Roman"/>
          <w:sz w:val="24"/>
          <w:szCs w:val="24"/>
          <w:lang w:eastAsia="sk-SK"/>
        </w:rPr>
        <w:t>Zmenu súdneho poplatku za konkurzné konanie nie je možné vyčísliť a to ani odhadom, nakoľko jej určenie závisí od množstva rôznorodých faktorov (nápad vecí, dosiahnutie výťažku, spôsob ukončenia konkurzu, počty zrušených konkurzov, činnosť správcu atď.), ktoré nie sú Ministerstvu spravodlivosti SR známe, resp. údaje potrebné pre vyčíslenie nie sú dostupné.</w:t>
      </w:r>
    </w:p>
    <w:p w14:paraId="0EC68ADF" w14:textId="77777777" w:rsidR="00621ECB" w:rsidRPr="00376C49" w:rsidRDefault="00621ECB" w:rsidP="002D005B">
      <w:pPr>
        <w:tabs>
          <w:tab w:val="num" w:pos="1080"/>
        </w:tabs>
        <w:spacing w:after="0" w:line="240" w:lineRule="auto"/>
        <w:jc w:val="both"/>
        <w:rPr>
          <w:rFonts w:ascii="Times New Roman" w:hAnsi="Times New Roman"/>
          <w:sz w:val="24"/>
          <w:szCs w:val="24"/>
          <w:lang w:eastAsia="sk-SK"/>
        </w:rPr>
      </w:pPr>
    </w:p>
    <w:p w14:paraId="7C87C838" w14:textId="2AD4C1C3" w:rsidR="00940F02" w:rsidRPr="00376C49" w:rsidRDefault="00621ECB" w:rsidP="00940F02">
      <w:pPr>
        <w:tabs>
          <w:tab w:val="num" w:pos="1080"/>
        </w:tabs>
        <w:spacing w:after="0" w:line="240" w:lineRule="auto"/>
        <w:jc w:val="both"/>
        <w:rPr>
          <w:rFonts w:ascii="Times New Roman" w:hAnsi="Times New Roman"/>
          <w:sz w:val="24"/>
          <w:szCs w:val="24"/>
          <w:lang w:eastAsia="sk-SK"/>
        </w:rPr>
      </w:pPr>
      <w:r w:rsidRPr="00376C49">
        <w:rPr>
          <w:rFonts w:ascii="Times New Roman" w:hAnsi="Times New Roman"/>
          <w:sz w:val="24"/>
          <w:szCs w:val="24"/>
          <w:lang w:eastAsia="sk-SK"/>
        </w:rPr>
        <w:t xml:space="preserve">b) </w:t>
      </w:r>
      <w:r w:rsidR="00F1610C" w:rsidRPr="00376C49">
        <w:rPr>
          <w:rFonts w:ascii="Times New Roman" w:hAnsi="Times New Roman"/>
          <w:sz w:val="24"/>
          <w:szCs w:val="24"/>
          <w:lang w:eastAsia="sk-SK"/>
        </w:rPr>
        <w:t>súdny poplatok za podanie námietky zaujatosti v insolvenčnom konaní</w:t>
      </w:r>
      <w:r w:rsidR="00CE42B8" w:rsidRPr="00376C49">
        <w:rPr>
          <w:rFonts w:ascii="Times New Roman" w:hAnsi="Times New Roman"/>
          <w:sz w:val="24"/>
          <w:szCs w:val="24"/>
          <w:lang w:eastAsia="sk-SK"/>
        </w:rPr>
        <w:t xml:space="preserve"> a preventívnom konaní</w:t>
      </w:r>
      <w:r w:rsidR="00F1610C" w:rsidRPr="00376C49">
        <w:rPr>
          <w:rFonts w:ascii="Times New Roman" w:hAnsi="Times New Roman"/>
          <w:sz w:val="24"/>
          <w:szCs w:val="24"/>
          <w:lang w:eastAsia="sk-SK"/>
        </w:rPr>
        <w:t xml:space="preserve"> s účinnosťou od 17. júla 2022 bude predstavovať sumu vo výške 500 eur.</w:t>
      </w:r>
      <w:r w:rsidR="00CE42B8" w:rsidRPr="00376C49">
        <w:rPr>
          <w:rFonts w:ascii="Times New Roman" w:hAnsi="Times New Roman"/>
          <w:sz w:val="24"/>
          <w:szCs w:val="24"/>
          <w:lang w:eastAsia="sk-SK"/>
        </w:rPr>
        <w:t xml:space="preserve"> Celkový dopad na rozpočet na nasledujúce roky nie je možné vyčísliť ani odhadom</w:t>
      </w:r>
      <w:r w:rsidR="00245540" w:rsidRPr="00376C49">
        <w:rPr>
          <w:rFonts w:ascii="Times New Roman" w:hAnsi="Times New Roman"/>
          <w:sz w:val="24"/>
          <w:szCs w:val="24"/>
          <w:lang w:eastAsia="sk-SK"/>
        </w:rPr>
        <w:t xml:space="preserve"> z dostupných informácií a údajov, ktorými Ministerstvo spravodlivosti SR disponuje</w:t>
      </w:r>
      <w:r w:rsidR="00CE42B8" w:rsidRPr="00376C49">
        <w:rPr>
          <w:rFonts w:ascii="Times New Roman" w:hAnsi="Times New Roman"/>
          <w:sz w:val="24"/>
          <w:szCs w:val="24"/>
          <w:lang w:eastAsia="sk-SK"/>
        </w:rPr>
        <w:t>.</w:t>
      </w:r>
    </w:p>
    <w:p w14:paraId="0019188A" w14:textId="77777777" w:rsidR="00F1610C" w:rsidRPr="00376C49" w:rsidRDefault="00F1610C" w:rsidP="00940F02">
      <w:pPr>
        <w:tabs>
          <w:tab w:val="num" w:pos="1080"/>
        </w:tabs>
        <w:spacing w:after="0" w:line="240" w:lineRule="auto"/>
        <w:jc w:val="both"/>
        <w:rPr>
          <w:rFonts w:ascii="Times New Roman" w:hAnsi="Times New Roman"/>
          <w:sz w:val="24"/>
          <w:szCs w:val="24"/>
          <w:lang w:eastAsia="sk-SK"/>
        </w:rPr>
      </w:pPr>
    </w:p>
    <w:p w14:paraId="5DCF13EA" w14:textId="714D5266" w:rsidR="00F1610C" w:rsidRPr="00376C49" w:rsidRDefault="00A9546F" w:rsidP="00F1610C">
      <w:pPr>
        <w:tabs>
          <w:tab w:val="num" w:pos="1080"/>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c</w:t>
      </w:r>
      <w:r w:rsidR="00F1610C" w:rsidRPr="00376C49">
        <w:rPr>
          <w:rFonts w:ascii="Times New Roman" w:hAnsi="Times New Roman"/>
          <w:sz w:val="24"/>
          <w:szCs w:val="24"/>
          <w:lang w:eastAsia="sk-SK"/>
        </w:rPr>
        <w:t>) Zvýšenie správneho poplatku (ročný poplatok správcu – fyzickej osoby za každý, aj neskončený rok trvania zápisu v zozname správcov) na 200 eur s účinnosťou od 17. júla 2022</w:t>
      </w:r>
      <w:r w:rsidR="00410DAC" w:rsidRPr="00376C49">
        <w:rPr>
          <w:rFonts w:ascii="Times New Roman" w:hAnsi="Times New Roman"/>
          <w:sz w:val="24"/>
          <w:szCs w:val="24"/>
          <w:lang w:eastAsia="sk-SK"/>
        </w:rPr>
        <w:t xml:space="preserve">, pri aktuálnom počte správcov – fyzických osôb 740 predstavuje príjem do štátneho rozpočtu vo </w:t>
      </w:r>
      <w:r w:rsidR="00410DAC" w:rsidRPr="00613172">
        <w:rPr>
          <w:rFonts w:ascii="Times New Roman" w:hAnsi="Times New Roman"/>
          <w:sz w:val="24"/>
          <w:szCs w:val="24"/>
          <w:lang w:eastAsia="sk-SK"/>
        </w:rPr>
        <w:t>výške 148 000 eur ročne.</w:t>
      </w:r>
    </w:p>
    <w:p w14:paraId="6C3BD12C" w14:textId="77777777" w:rsidR="00410DAC" w:rsidRPr="00376C49" w:rsidRDefault="00410DAC" w:rsidP="00940F02">
      <w:pPr>
        <w:tabs>
          <w:tab w:val="num" w:pos="1080"/>
        </w:tabs>
        <w:spacing w:after="0" w:line="240" w:lineRule="auto"/>
        <w:jc w:val="both"/>
        <w:rPr>
          <w:rFonts w:ascii="Times New Roman" w:hAnsi="Times New Roman"/>
          <w:sz w:val="24"/>
          <w:szCs w:val="24"/>
          <w:lang w:eastAsia="sk-SK"/>
        </w:rPr>
      </w:pPr>
    </w:p>
    <w:p w14:paraId="4DD4724E" w14:textId="4113B426" w:rsidR="00410DAC" w:rsidRDefault="00A9546F" w:rsidP="00410DAC">
      <w:pPr>
        <w:tabs>
          <w:tab w:val="num" w:pos="1080"/>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d</w:t>
      </w:r>
      <w:r w:rsidR="00410DAC" w:rsidRPr="00376C49">
        <w:rPr>
          <w:rFonts w:ascii="Times New Roman" w:hAnsi="Times New Roman"/>
          <w:sz w:val="24"/>
          <w:szCs w:val="24"/>
          <w:lang w:eastAsia="sk-SK"/>
        </w:rPr>
        <w:t xml:space="preserve">) Zvýšenie správneho poplatku (ročný poplatok správcu – právnickej osoby za každý, aj neskončený rok trvania zápisu v zozname správcov) na 400 eur s účinnosťou od 17. júla 2022, pri aktuálnom počte správcov – právnických osôb 109 predstavuje príjem do štátneho rozpočtu vo </w:t>
      </w:r>
      <w:r w:rsidR="00410DAC" w:rsidRPr="00613172">
        <w:rPr>
          <w:rFonts w:ascii="Times New Roman" w:hAnsi="Times New Roman"/>
          <w:sz w:val="24"/>
          <w:szCs w:val="24"/>
          <w:lang w:eastAsia="sk-SK"/>
        </w:rPr>
        <w:t>výške 43 600 eur ročne.</w:t>
      </w:r>
    </w:p>
    <w:p w14:paraId="2BF2F5B7" w14:textId="7B2E0BC7" w:rsidR="00A9546F" w:rsidRDefault="00A9546F" w:rsidP="00410DAC">
      <w:pPr>
        <w:tabs>
          <w:tab w:val="num" w:pos="1080"/>
        </w:tabs>
        <w:spacing w:after="0" w:line="240" w:lineRule="auto"/>
        <w:jc w:val="both"/>
        <w:rPr>
          <w:rFonts w:ascii="Times New Roman" w:hAnsi="Times New Roman"/>
          <w:sz w:val="24"/>
          <w:szCs w:val="24"/>
          <w:lang w:eastAsia="sk-SK"/>
        </w:rPr>
      </w:pPr>
    </w:p>
    <w:p w14:paraId="2CC301C5" w14:textId="77777777" w:rsidR="00A9546F" w:rsidRDefault="00A9546F" w:rsidP="00A9546F">
      <w:pPr>
        <w:tabs>
          <w:tab w:val="num" w:pos="1080"/>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e</w:t>
      </w:r>
      <w:r w:rsidRPr="00376C49">
        <w:rPr>
          <w:rFonts w:ascii="Times New Roman" w:hAnsi="Times New Roman"/>
          <w:sz w:val="24"/>
          <w:szCs w:val="24"/>
          <w:lang w:eastAsia="sk-SK"/>
        </w:rPr>
        <w:t>) Z</w:t>
      </w:r>
      <w:r>
        <w:rPr>
          <w:rFonts w:ascii="Times New Roman" w:hAnsi="Times New Roman"/>
          <w:sz w:val="24"/>
          <w:szCs w:val="24"/>
          <w:lang w:eastAsia="sk-SK"/>
        </w:rPr>
        <w:t>avedenie nového správneho poplatku za vykonanie špeciálnej správcovskej skúšky nie je možné vyčísliť ani odhadom, nakoľko nie je možné odhadnúť záujem o jej vykonanie.</w:t>
      </w:r>
    </w:p>
    <w:p w14:paraId="22986AAE" w14:textId="79483227" w:rsidR="00245540" w:rsidRPr="00376C49" w:rsidRDefault="00245540" w:rsidP="00940F02">
      <w:pPr>
        <w:tabs>
          <w:tab w:val="num" w:pos="1080"/>
        </w:tabs>
        <w:spacing w:after="0" w:line="240" w:lineRule="auto"/>
        <w:jc w:val="both"/>
        <w:rPr>
          <w:rFonts w:ascii="Times New Roman" w:hAnsi="Times New Roman"/>
          <w:sz w:val="24"/>
          <w:szCs w:val="24"/>
          <w:lang w:eastAsia="sk-SK"/>
        </w:rPr>
      </w:pPr>
    </w:p>
    <w:p w14:paraId="61B8F6D4" w14:textId="7004782F" w:rsidR="00245540" w:rsidRDefault="00245540" w:rsidP="00940F02">
      <w:pPr>
        <w:tabs>
          <w:tab w:val="num" w:pos="1080"/>
        </w:tabs>
        <w:spacing w:after="0" w:line="240" w:lineRule="auto"/>
        <w:jc w:val="both"/>
        <w:rPr>
          <w:rFonts w:ascii="Times New Roman" w:hAnsi="Times New Roman"/>
          <w:sz w:val="24"/>
          <w:szCs w:val="24"/>
          <w:lang w:eastAsia="sk-SK"/>
        </w:rPr>
      </w:pPr>
      <w:r w:rsidRPr="00376C49">
        <w:rPr>
          <w:rFonts w:ascii="Times New Roman" w:hAnsi="Times New Roman"/>
          <w:sz w:val="24"/>
          <w:szCs w:val="24"/>
          <w:lang w:eastAsia="sk-SK"/>
        </w:rPr>
        <w:t>Vo vzťahu k vyčísleniu príjmov do štátneho rozpočtu v dôsledku zvýšenia ročného poplatku správcov</w:t>
      </w:r>
      <w:r w:rsidR="00621ECB" w:rsidRPr="00376C49">
        <w:rPr>
          <w:rFonts w:ascii="Times New Roman" w:hAnsi="Times New Roman"/>
          <w:sz w:val="24"/>
          <w:szCs w:val="24"/>
          <w:lang w:eastAsia="sk-SK"/>
        </w:rPr>
        <w:t xml:space="preserve"> </w:t>
      </w:r>
      <w:r w:rsidRPr="00376C49">
        <w:rPr>
          <w:rFonts w:ascii="Times New Roman" w:hAnsi="Times New Roman"/>
          <w:sz w:val="24"/>
          <w:szCs w:val="24"/>
          <w:lang w:eastAsia="sk-SK"/>
        </w:rPr>
        <w:t>je nutné uviesť, že tento výpočet je  vykonaný len na základe aktuálnych údajov a aktuálneho počtu správcov v zozname správcov. V súčasnosti nie je reálne možné odhadnúť počty správcov v zozname správcov na najbližšie štyri roky a to vzhľadom na novú právnu úpravu, ktorá s najväčšou pravdepodobnosťou spôsobí pokles správcov v zozname správcov vzhľadom na striktnejšiu právnu úpravu, pri čom súčasne nie je možné odhadnúť, v akom rozsahu sa na druhej strane rozšíri okruh správcov o tzv. špeciálnych správcov.</w:t>
      </w:r>
    </w:p>
    <w:p w14:paraId="0DB46ACF" w14:textId="4302776B" w:rsidR="002A35F4" w:rsidRPr="00376C49" w:rsidRDefault="002A35F4" w:rsidP="00940F02">
      <w:pPr>
        <w:tabs>
          <w:tab w:val="num" w:pos="1080"/>
        </w:tabs>
        <w:spacing w:after="0" w:line="240" w:lineRule="auto"/>
        <w:jc w:val="both"/>
        <w:rPr>
          <w:rFonts w:ascii="Times New Roman" w:hAnsi="Times New Roman"/>
          <w:sz w:val="24"/>
          <w:szCs w:val="24"/>
          <w:lang w:eastAsia="sk-SK"/>
        </w:rPr>
        <w:sectPr w:rsidR="002A35F4" w:rsidRPr="00376C49" w:rsidSect="00237722">
          <w:headerReference w:type="even" r:id="rId7"/>
          <w:footerReference w:type="even" r:id="rId8"/>
          <w:footerReference w:type="default" r:id="rId9"/>
          <w:headerReference w:type="first" r:id="rId10"/>
          <w:footerReference w:type="first" r:id="rId11"/>
          <w:pgSz w:w="11906" w:h="16838"/>
          <w:pgMar w:top="1418" w:right="1418" w:bottom="1418" w:left="1418" w:header="709" w:footer="709" w:gutter="0"/>
          <w:cols w:space="708"/>
          <w:docGrid w:linePitch="360"/>
        </w:sectPr>
      </w:pPr>
    </w:p>
    <w:p w14:paraId="198832FD" w14:textId="77777777" w:rsidR="00940F02" w:rsidRPr="007D5748" w:rsidRDefault="00940F02" w:rsidP="00940F02">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3 </w:t>
      </w:r>
    </w:p>
    <w:p w14:paraId="1918CC55" w14:textId="77777777" w:rsidR="00940F02" w:rsidRPr="007D5748" w:rsidRDefault="00940F02" w:rsidP="00940F02">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40F02" w:rsidRPr="007D5748" w14:paraId="311F7207" w14:textId="77777777" w:rsidTr="00237722">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63AA19"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5817D63"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3B425EC"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8A49D7" w:rsidRPr="007D5748" w14:paraId="74C10855" w14:textId="77777777" w:rsidTr="00237722">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1E663F3A" w14:textId="77777777" w:rsidR="008A49D7" w:rsidRPr="007D5748" w:rsidRDefault="008A49D7" w:rsidP="008A49D7">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53944EE3" w14:textId="3D24F803" w:rsidR="008A49D7" w:rsidRPr="007D5748" w:rsidRDefault="008A49D7" w:rsidP="008A49D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14:paraId="7BA34ADB" w14:textId="07DB3B13" w:rsidR="008A49D7" w:rsidRPr="007D5748" w:rsidRDefault="008A49D7" w:rsidP="008A49D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427B9F15" w14:textId="4BA0AE3C" w:rsidR="008A49D7" w:rsidRPr="007D5748" w:rsidRDefault="008A49D7" w:rsidP="008A49D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1B92B548" w14:textId="039D035B" w:rsidR="008A49D7" w:rsidRPr="007D5748" w:rsidRDefault="008A49D7" w:rsidP="008A49D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14:paraId="66415E06" w14:textId="77777777" w:rsidR="008A49D7" w:rsidRPr="007D5748" w:rsidRDefault="008A49D7" w:rsidP="008A49D7">
            <w:pPr>
              <w:spacing w:after="0" w:line="240" w:lineRule="auto"/>
              <w:rPr>
                <w:rFonts w:ascii="Times New Roman" w:hAnsi="Times New Roman"/>
                <w:b/>
                <w:bCs/>
                <w:color w:val="FFFFFF"/>
                <w:sz w:val="24"/>
                <w:szCs w:val="24"/>
                <w:lang w:eastAsia="sk-SK"/>
              </w:rPr>
            </w:pPr>
          </w:p>
        </w:tc>
      </w:tr>
      <w:tr w:rsidR="00940F02" w:rsidRPr="007D5748" w14:paraId="14E29601" w14:textId="77777777" w:rsidTr="00237722">
        <w:trPr>
          <w:trHeight w:val="255"/>
        </w:trPr>
        <w:tc>
          <w:tcPr>
            <w:tcW w:w="4950" w:type="dxa"/>
            <w:tcBorders>
              <w:top w:val="nil"/>
              <w:left w:val="single" w:sz="4" w:space="0" w:color="auto"/>
              <w:bottom w:val="single" w:sz="4" w:space="0" w:color="auto"/>
              <w:right w:val="single" w:sz="4" w:space="0" w:color="auto"/>
            </w:tcBorders>
          </w:tcPr>
          <w:p w14:paraId="2C69A442" w14:textId="77777777" w:rsidR="00940F02" w:rsidRPr="007D5748" w:rsidRDefault="00940F02" w:rsidP="00237722">
            <w:pPr>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6BCF49B9" w14:textId="77777777" w:rsidR="00940F02" w:rsidRPr="007D5748" w:rsidRDefault="00940F02" w:rsidP="0023772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0A4C1E92" w14:textId="77777777" w:rsidR="00940F02" w:rsidRPr="007D5748" w:rsidRDefault="00940F02" w:rsidP="0023772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253D6AEF" w14:textId="77777777" w:rsidR="00940F02" w:rsidRPr="007D5748" w:rsidRDefault="00940F02" w:rsidP="0023772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403C0686" w14:textId="77777777" w:rsidR="00940F02" w:rsidRPr="007D5748" w:rsidRDefault="00940F02" w:rsidP="00237722">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9D32941"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4219D5E7" w14:textId="77777777" w:rsidTr="00237722">
        <w:trPr>
          <w:trHeight w:val="255"/>
        </w:trPr>
        <w:tc>
          <w:tcPr>
            <w:tcW w:w="4950" w:type="dxa"/>
            <w:tcBorders>
              <w:top w:val="nil"/>
              <w:left w:val="single" w:sz="4" w:space="0" w:color="auto"/>
              <w:bottom w:val="single" w:sz="4" w:space="0" w:color="auto"/>
              <w:right w:val="single" w:sz="4" w:space="0" w:color="auto"/>
            </w:tcBorders>
          </w:tcPr>
          <w:p w14:paraId="53A173B6"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3E0F4AA" w14:textId="77777777" w:rsidR="00940F02" w:rsidRPr="007D5748" w:rsidRDefault="00940F02" w:rsidP="0023772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18171F03" w14:textId="77777777" w:rsidR="00940F02" w:rsidRPr="007D5748" w:rsidRDefault="00940F02" w:rsidP="0023772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4A0D764E" w14:textId="77777777" w:rsidR="00940F02" w:rsidRPr="007D5748" w:rsidRDefault="00940F02" w:rsidP="0023772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01805B5E" w14:textId="77777777" w:rsidR="00940F02" w:rsidRPr="007D5748" w:rsidRDefault="00940F02" w:rsidP="00237722">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343DCE23"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48F9FECB" w14:textId="77777777" w:rsidTr="00237722">
        <w:trPr>
          <w:trHeight w:val="255"/>
        </w:trPr>
        <w:tc>
          <w:tcPr>
            <w:tcW w:w="4950" w:type="dxa"/>
            <w:tcBorders>
              <w:top w:val="nil"/>
              <w:left w:val="single" w:sz="4" w:space="0" w:color="auto"/>
              <w:bottom w:val="single" w:sz="4" w:space="0" w:color="auto"/>
              <w:right w:val="single" w:sz="4" w:space="0" w:color="auto"/>
            </w:tcBorders>
          </w:tcPr>
          <w:p w14:paraId="742FE54E"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6C7CD685" w14:textId="77777777" w:rsidR="00940F02" w:rsidRPr="007D5748" w:rsidRDefault="00940F02" w:rsidP="0023772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0C3EAFD2" w14:textId="77777777" w:rsidR="00940F02" w:rsidRPr="007D5748" w:rsidRDefault="00940F02" w:rsidP="0023772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5BEBB65F" w14:textId="77777777" w:rsidR="00940F02" w:rsidRPr="007D5748" w:rsidRDefault="00940F02" w:rsidP="00237722">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7CC0455B" w14:textId="77777777" w:rsidR="00940F02" w:rsidRPr="007D5748" w:rsidRDefault="00940F02" w:rsidP="00237722">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731B502"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5676119E" w14:textId="77777777" w:rsidTr="00237722">
        <w:trPr>
          <w:trHeight w:val="255"/>
        </w:trPr>
        <w:tc>
          <w:tcPr>
            <w:tcW w:w="4950" w:type="dxa"/>
            <w:tcBorders>
              <w:top w:val="nil"/>
              <w:left w:val="single" w:sz="4" w:space="0" w:color="auto"/>
              <w:bottom w:val="single" w:sz="4" w:space="0" w:color="auto"/>
              <w:right w:val="single" w:sz="4" w:space="0" w:color="auto"/>
            </w:tcBorders>
          </w:tcPr>
          <w:p w14:paraId="39B08F55"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457784B3"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52A922F"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D36CFAC"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AC9AE9B"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063C6833"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433F6B41" w14:textId="77777777" w:rsidTr="00237722">
        <w:trPr>
          <w:trHeight w:val="255"/>
        </w:trPr>
        <w:tc>
          <w:tcPr>
            <w:tcW w:w="4950" w:type="dxa"/>
            <w:tcBorders>
              <w:top w:val="nil"/>
              <w:left w:val="single" w:sz="4" w:space="0" w:color="auto"/>
              <w:bottom w:val="single" w:sz="4" w:space="0" w:color="auto"/>
              <w:right w:val="single" w:sz="4" w:space="0" w:color="auto"/>
            </w:tcBorders>
          </w:tcPr>
          <w:p w14:paraId="0A8EB0DF"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1F23FFA7"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3137CB0"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DA34FAA"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D3423E4"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451DAB0"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32BA6202" w14:textId="77777777" w:rsidTr="00237722">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730263DE"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3DBE31E3"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48C9D38"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61783952"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C3BDFAC"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00009E02"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14:paraId="334EB1CF" w14:textId="77777777" w:rsidR="00940F02" w:rsidRPr="007D5748" w:rsidRDefault="00940F02" w:rsidP="00940F02">
      <w:pPr>
        <w:tabs>
          <w:tab w:val="num" w:pos="1080"/>
        </w:tabs>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14:paraId="6D08139C" w14:textId="77777777" w:rsidR="00940F02" w:rsidRPr="007D5748" w:rsidRDefault="00940F02" w:rsidP="00940F02">
      <w:pPr>
        <w:tabs>
          <w:tab w:val="num" w:pos="1080"/>
        </w:tabs>
        <w:spacing w:after="0" w:line="240" w:lineRule="auto"/>
        <w:jc w:val="both"/>
        <w:rPr>
          <w:rFonts w:ascii="Times New Roman" w:hAnsi="Times New Roman"/>
          <w:bCs/>
          <w:sz w:val="24"/>
          <w:szCs w:val="20"/>
          <w:lang w:eastAsia="sk-SK"/>
        </w:rPr>
      </w:pPr>
    </w:p>
    <w:p w14:paraId="69E53776" w14:textId="77777777" w:rsidR="00940F02" w:rsidRPr="007D5748" w:rsidRDefault="00940F02" w:rsidP="00940F02">
      <w:pPr>
        <w:tabs>
          <w:tab w:val="num" w:pos="1080"/>
        </w:tabs>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14:paraId="198DAA5F" w14:textId="77777777" w:rsidR="00940F02" w:rsidRPr="007D5748" w:rsidRDefault="00940F02" w:rsidP="00940F02">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14:paraId="6ACDC5B1" w14:textId="75018D36"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73260691"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14D6DED7"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122FA2D1"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4885F50E"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5616FEB7"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4B368A25"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065E9B37"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7675446D"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0BCEF353"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1D597605"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0C116082"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11B001AB"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283CB791"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3C5B033A" w14:textId="77777777" w:rsidR="00940F02" w:rsidRPr="007D5748" w:rsidRDefault="00940F02" w:rsidP="00940F02">
      <w:pPr>
        <w:tabs>
          <w:tab w:val="num" w:pos="1080"/>
        </w:tabs>
        <w:spacing w:after="0" w:line="240" w:lineRule="auto"/>
        <w:ind w:right="-578"/>
        <w:jc w:val="right"/>
        <w:rPr>
          <w:rFonts w:ascii="Times New Roman" w:hAnsi="Times New Roman"/>
          <w:bCs/>
          <w:sz w:val="24"/>
          <w:szCs w:val="24"/>
          <w:lang w:eastAsia="sk-SK"/>
        </w:rPr>
      </w:pPr>
    </w:p>
    <w:p w14:paraId="0A97A1D7" w14:textId="77777777" w:rsidR="00940F02" w:rsidRPr="007D5748" w:rsidRDefault="00940F02" w:rsidP="00940F02">
      <w:pPr>
        <w:tabs>
          <w:tab w:val="num" w:pos="1080"/>
        </w:tabs>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4 </w:t>
      </w:r>
    </w:p>
    <w:p w14:paraId="76285971" w14:textId="0BF9DF16" w:rsidR="00940F02" w:rsidRPr="007D5748" w:rsidRDefault="00216BCB" w:rsidP="00940F02">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Ministerstvo spravodlivosti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40F02" w:rsidRPr="007D5748" w14:paraId="739BB2CD" w14:textId="77777777" w:rsidTr="00237722">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04FC47EE" w14:textId="77777777" w:rsidR="00940F02" w:rsidRPr="007D5748" w:rsidRDefault="00940F02" w:rsidP="00237722">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D601CF2" w14:textId="77777777" w:rsidR="00940F02" w:rsidRPr="007D5748" w:rsidRDefault="00940F02" w:rsidP="00237722">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43658D"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8A49D7" w:rsidRPr="007D5748" w14:paraId="50302719" w14:textId="77777777" w:rsidTr="00237722">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372767D9" w14:textId="77777777" w:rsidR="008A49D7" w:rsidRPr="007D5748" w:rsidRDefault="008A49D7" w:rsidP="008A49D7">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7DC7AF98" w14:textId="4D3EDDF3" w:rsidR="008A49D7" w:rsidRPr="007809AB" w:rsidRDefault="008A49D7" w:rsidP="008A49D7">
            <w:pPr>
              <w:spacing w:after="0" w:line="240" w:lineRule="auto"/>
              <w:jc w:val="center"/>
              <w:rPr>
                <w:rFonts w:ascii="Times New Roman" w:hAnsi="Times New Roman"/>
                <w:b/>
                <w:bCs/>
                <w:sz w:val="20"/>
                <w:szCs w:val="20"/>
                <w:lang w:eastAsia="sk-SK"/>
              </w:rPr>
            </w:pPr>
            <w:r w:rsidRPr="007809AB">
              <w:rPr>
                <w:rFonts w:ascii="Times New Roman" w:hAnsi="Times New Roman"/>
                <w:b/>
                <w:bCs/>
                <w:sz w:val="20"/>
                <w:szCs w:val="20"/>
                <w:lang w:eastAsia="sk-SK"/>
              </w:rPr>
              <w:t>202</w:t>
            </w:r>
            <w:r>
              <w:rPr>
                <w:rFonts w:ascii="Times New Roman" w:hAnsi="Times New Roman"/>
                <w:b/>
                <w:bCs/>
                <w:sz w:val="20"/>
                <w:szCs w:val="20"/>
                <w:lang w:eastAsia="sk-SK"/>
              </w:rPr>
              <w:t>1</w:t>
            </w:r>
          </w:p>
        </w:tc>
        <w:tc>
          <w:tcPr>
            <w:tcW w:w="1540" w:type="dxa"/>
            <w:tcBorders>
              <w:top w:val="nil"/>
              <w:left w:val="nil"/>
              <w:bottom w:val="single" w:sz="4" w:space="0" w:color="auto"/>
              <w:right w:val="single" w:sz="4" w:space="0" w:color="auto"/>
            </w:tcBorders>
            <w:shd w:val="clear" w:color="auto" w:fill="BFBFBF" w:themeFill="background1" w:themeFillShade="BF"/>
          </w:tcPr>
          <w:p w14:paraId="70A84A29" w14:textId="6C390BE2" w:rsidR="008A49D7" w:rsidRPr="007809AB" w:rsidRDefault="008A49D7" w:rsidP="008A49D7">
            <w:pPr>
              <w:spacing w:after="0" w:line="240" w:lineRule="auto"/>
              <w:jc w:val="center"/>
              <w:rPr>
                <w:rFonts w:ascii="Times New Roman" w:hAnsi="Times New Roman"/>
                <w:b/>
                <w:bCs/>
                <w:sz w:val="20"/>
                <w:szCs w:val="20"/>
                <w:lang w:eastAsia="sk-SK"/>
              </w:rPr>
            </w:pPr>
            <w:r w:rsidRPr="007809AB">
              <w:rPr>
                <w:rFonts w:ascii="Times New Roman" w:hAnsi="Times New Roman"/>
                <w:b/>
                <w:bCs/>
                <w:sz w:val="20"/>
                <w:szCs w:val="20"/>
                <w:lang w:eastAsia="sk-SK"/>
              </w:rPr>
              <w:t>202</w:t>
            </w:r>
            <w:r>
              <w:rPr>
                <w:rFonts w:ascii="Times New Roman" w:hAnsi="Times New Roman"/>
                <w:b/>
                <w:bCs/>
                <w:sz w:val="20"/>
                <w:szCs w:val="20"/>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14:paraId="0331EF20" w14:textId="39DF37D0" w:rsidR="008A49D7" w:rsidRPr="007809AB" w:rsidRDefault="008A49D7" w:rsidP="008A49D7">
            <w:pPr>
              <w:spacing w:after="0" w:line="240" w:lineRule="auto"/>
              <w:jc w:val="center"/>
              <w:rPr>
                <w:rFonts w:ascii="Times New Roman" w:hAnsi="Times New Roman"/>
                <w:b/>
                <w:bCs/>
                <w:sz w:val="20"/>
                <w:szCs w:val="20"/>
                <w:lang w:eastAsia="sk-SK"/>
              </w:rPr>
            </w:pPr>
            <w:r w:rsidRPr="007809AB">
              <w:rPr>
                <w:rFonts w:ascii="Times New Roman" w:hAnsi="Times New Roman"/>
                <w:b/>
                <w:bCs/>
                <w:sz w:val="20"/>
                <w:szCs w:val="20"/>
                <w:lang w:eastAsia="sk-SK"/>
              </w:rPr>
              <w:t>202</w:t>
            </w:r>
            <w:r>
              <w:rPr>
                <w:rFonts w:ascii="Times New Roman" w:hAnsi="Times New Roman"/>
                <w:b/>
                <w:bCs/>
                <w:sz w:val="20"/>
                <w:szCs w:val="20"/>
                <w:lang w:eastAsia="sk-SK"/>
              </w:rPr>
              <w:t>3</w:t>
            </w:r>
          </w:p>
        </w:tc>
        <w:tc>
          <w:tcPr>
            <w:tcW w:w="1540" w:type="dxa"/>
            <w:tcBorders>
              <w:top w:val="nil"/>
              <w:left w:val="nil"/>
              <w:bottom w:val="single" w:sz="4" w:space="0" w:color="auto"/>
              <w:right w:val="single" w:sz="4" w:space="0" w:color="auto"/>
            </w:tcBorders>
            <w:shd w:val="clear" w:color="auto" w:fill="BFBFBF" w:themeFill="background1" w:themeFillShade="BF"/>
          </w:tcPr>
          <w:p w14:paraId="2DAF4537" w14:textId="458A7A0D" w:rsidR="008A49D7" w:rsidRPr="007809AB" w:rsidRDefault="008A49D7" w:rsidP="008A49D7">
            <w:pPr>
              <w:spacing w:after="0" w:line="240" w:lineRule="auto"/>
              <w:jc w:val="center"/>
              <w:rPr>
                <w:rFonts w:ascii="Times New Roman" w:hAnsi="Times New Roman"/>
                <w:b/>
                <w:bCs/>
                <w:sz w:val="20"/>
                <w:szCs w:val="20"/>
                <w:lang w:eastAsia="sk-SK"/>
              </w:rPr>
            </w:pPr>
            <w:r w:rsidRPr="007809AB">
              <w:rPr>
                <w:rFonts w:ascii="Times New Roman" w:hAnsi="Times New Roman"/>
                <w:b/>
                <w:bCs/>
                <w:sz w:val="20"/>
                <w:szCs w:val="20"/>
                <w:lang w:eastAsia="sk-SK"/>
              </w:rPr>
              <w:t>202</w:t>
            </w:r>
            <w:r>
              <w:rPr>
                <w:rFonts w:ascii="Times New Roman" w:hAnsi="Times New Roman"/>
                <w:b/>
                <w:bCs/>
                <w:sz w:val="20"/>
                <w:szCs w:val="20"/>
                <w:lang w:eastAsia="sk-SK"/>
              </w:rPr>
              <w:t>4</w:t>
            </w:r>
          </w:p>
        </w:tc>
        <w:tc>
          <w:tcPr>
            <w:tcW w:w="2220" w:type="dxa"/>
            <w:vMerge/>
            <w:tcBorders>
              <w:top w:val="single" w:sz="4" w:space="0" w:color="auto"/>
              <w:left w:val="single" w:sz="4" w:space="0" w:color="auto"/>
              <w:bottom w:val="single" w:sz="4" w:space="0" w:color="auto"/>
              <w:right w:val="single" w:sz="4" w:space="0" w:color="auto"/>
            </w:tcBorders>
            <w:vAlign w:val="center"/>
          </w:tcPr>
          <w:p w14:paraId="37FF175D" w14:textId="77777777" w:rsidR="008A49D7" w:rsidRPr="007D5748" w:rsidRDefault="008A49D7" w:rsidP="008A49D7">
            <w:pPr>
              <w:spacing w:after="0" w:line="240" w:lineRule="auto"/>
              <w:rPr>
                <w:rFonts w:ascii="Times New Roman" w:hAnsi="Times New Roman"/>
                <w:b/>
                <w:bCs/>
                <w:color w:val="FFFFFF"/>
                <w:sz w:val="24"/>
                <w:szCs w:val="24"/>
                <w:lang w:eastAsia="sk-SK"/>
              </w:rPr>
            </w:pPr>
          </w:p>
        </w:tc>
      </w:tr>
      <w:tr w:rsidR="00940F02" w:rsidRPr="007D5748" w14:paraId="056E572D" w14:textId="77777777" w:rsidTr="00237722">
        <w:trPr>
          <w:trHeight w:val="255"/>
        </w:trPr>
        <w:tc>
          <w:tcPr>
            <w:tcW w:w="7070" w:type="dxa"/>
            <w:tcBorders>
              <w:top w:val="nil"/>
              <w:left w:val="single" w:sz="4" w:space="0" w:color="auto"/>
              <w:bottom w:val="single" w:sz="4" w:space="0" w:color="auto"/>
              <w:right w:val="single" w:sz="4" w:space="0" w:color="auto"/>
            </w:tcBorders>
          </w:tcPr>
          <w:p w14:paraId="6258BB87" w14:textId="77777777" w:rsidR="00940F02" w:rsidRPr="007D5748" w:rsidRDefault="00940F02" w:rsidP="00237722">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14:paraId="011F14E5" w14:textId="77777777" w:rsidR="00940F02" w:rsidRPr="007D5748" w:rsidRDefault="00940F02" w:rsidP="00237722">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14:paraId="2071496B" w14:textId="77777777" w:rsidR="00940F02" w:rsidRPr="007D5748" w:rsidRDefault="00940F02" w:rsidP="00237722">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14:paraId="351A5880" w14:textId="77777777" w:rsidR="00940F02" w:rsidRPr="007D5748" w:rsidRDefault="00940F02" w:rsidP="00237722">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14:paraId="4EC2088B" w14:textId="77777777" w:rsidR="00940F02" w:rsidRPr="007D5748" w:rsidRDefault="00940F02" w:rsidP="00237722">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14:paraId="04CE9D1F"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2B519708" w14:textId="77777777" w:rsidTr="00237722">
        <w:trPr>
          <w:trHeight w:val="255"/>
        </w:trPr>
        <w:tc>
          <w:tcPr>
            <w:tcW w:w="7070" w:type="dxa"/>
            <w:tcBorders>
              <w:top w:val="nil"/>
              <w:left w:val="single" w:sz="4" w:space="0" w:color="auto"/>
              <w:bottom w:val="single" w:sz="4" w:space="0" w:color="auto"/>
              <w:right w:val="single" w:sz="4" w:space="0" w:color="auto"/>
            </w:tcBorders>
          </w:tcPr>
          <w:p w14:paraId="75131390" w14:textId="77777777" w:rsidR="00940F02" w:rsidRPr="007D5748" w:rsidRDefault="00940F02" w:rsidP="0023772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77E280AF" w14:textId="77777777" w:rsidR="00940F02" w:rsidRPr="0077799A"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476F9FB4" w14:textId="77777777" w:rsidR="00940F02" w:rsidRPr="0077799A"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04E860C" w14:textId="77777777" w:rsidR="00940F02" w:rsidRPr="0077799A"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7F794309" w14:textId="77777777" w:rsidR="00940F02" w:rsidRPr="0077799A" w:rsidRDefault="00940F02" w:rsidP="00237722">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6A0DB7D0"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572ABC35" w14:textId="77777777" w:rsidTr="00237722">
        <w:trPr>
          <w:trHeight w:val="255"/>
        </w:trPr>
        <w:tc>
          <w:tcPr>
            <w:tcW w:w="7070" w:type="dxa"/>
            <w:tcBorders>
              <w:top w:val="nil"/>
              <w:left w:val="single" w:sz="4" w:space="0" w:color="auto"/>
              <w:bottom w:val="single" w:sz="4" w:space="0" w:color="auto"/>
              <w:right w:val="single" w:sz="4" w:space="0" w:color="auto"/>
            </w:tcBorders>
          </w:tcPr>
          <w:p w14:paraId="741BDA08" w14:textId="77777777" w:rsidR="00940F02" w:rsidRPr="007D5748" w:rsidRDefault="00940F02" w:rsidP="00237722">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6B8853B9" w14:textId="77777777" w:rsidR="00940F02" w:rsidRPr="0077799A"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800D2EC" w14:textId="77777777" w:rsidR="00940F02" w:rsidRPr="0077799A"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02A8852D" w14:textId="77777777" w:rsidR="00940F02" w:rsidRPr="0077799A"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609AFDF" w14:textId="77777777" w:rsidR="00940F02" w:rsidRPr="0077799A" w:rsidRDefault="00940F02" w:rsidP="00237722">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0CACAB0D"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4879C88F" w14:textId="77777777" w:rsidTr="00237722">
        <w:trPr>
          <w:trHeight w:val="255"/>
        </w:trPr>
        <w:tc>
          <w:tcPr>
            <w:tcW w:w="7070" w:type="dxa"/>
            <w:tcBorders>
              <w:top w:val="nil"/>
              <w:left w:val="single" w:sz="4" w:space="0" w:color="auto"/>
              <w:bottom w:val="single" w:sz="4" w:space="0" w:color="auto"/>
              <w:right w:val="single" w:sz="4" w:space="0" w:color="auto"/>
            </w:tcBorders>
          </w:tcPr>
          <w:p w14:paraId="1D8316B9" w14:textId="77777777" w:rsidR="00940F02" w:rsidRPr="00F36E6A" w:rsidRDefault="00940F02" w:rsidP="0023772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r>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vAlign w:val="center"/>
          </w:tcPr>
          <w:p w14:paraId="490B6609"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55565543"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6C11DE0D"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04809C73"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54FEA7D7"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6D83A67A" w14:textId="77777777" w:rsidTr="00237722">
        <w:trPr>
          <w:trHeight w:val="255"/>
        </w:trPr>
        <w:tc>
          <w:tcPr>
            <w:tcW w:w="7070" w:type="dxa"/>
            <w:tcBorders>
              <w:top w:val="nil"/>
              <w:left w:val="single" w:sz="4" w:space="0" w:color="auto"/>
              <w:bottom w:val="single" w:sz="4" w:space="0" w:color="auto"/>
              <w:right w:val="single" w:sz="4" w:space="0" w:color="auto"/>
            </w:tcBorders>
          </w:tcPr>
          <w:p w14:paraId="030FED8B" w14:textId="77777777" w:rsidR="00940F02" w:rsidRPr="007D5748" w:rsidRDefault="00940F02" w:rsidP="0023772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1518ADF0"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6ED58BC1"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115F6B78"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14AA93EB"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6EF9501F"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6B1A8AF9" w14:textId="77777777" w:rsidTr="00237722">
        <w:trPr>
          <w:trHeight w:val="255"/>
        </w:trPr>
        <w:tc>
          <w:tcPr>
            <w:tcW w:w="7070" w:type="dxa"/>
            <w:tcBorders>
              <w:top w:val="nil"/>
              <w:left w:val="single" w:sz="4" w:space="0" w:color="auto"/>
              <w:bottom w:val="single" w:sz="4" w:space="0" w:color="auto"/>
              <w:right w:val="single" w:sz="4" w:space="0" w:color="auto"/>
            </w:tcBorders>
            <w:vAlign w:val="center"/>
          </w:tcPr>
          <w:p w14:paraId="6E9681D7" w14:textId="77777777" w:rsidR="00940F02" w:rsidRPr="007D5748" w:rsidRDefault="00940F02" w:rsidP="0023772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1F00081F"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5F446035"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5D2BAE04"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6FBFA458"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2610BC75" w14:textId="77777777" w:rsidR="00940F02" w:rsidRPr="007D5748" w:rsidRDefault="00940F02" w:rsidP="00237722">
            <w:pPr>
              <w:spacing w:after="0" w:line="240" w:lineRule="auto"/>
              <w:rPr>
                <w:rFonts w:ascii="Times New Roman" w:hAnsi="Times New Roman"/>
                <w:sz w:val="24"/>
                <w:szCs w:val="24"/>
                <w:lang w:eastAsia="sk-SK"/>
              </w:rPr>
            </w:pPr>
          </w:p>
        </w:tc>
      </w:tr>
      <w:tr w:rsidR="00940F02" w:rsidRPr="007D5748" w14:paraId="55742C1A" w14:textId="77777777" w:rsidTr="00237722">
        <w:trPr>
          <w:trHeight w:val="255"/>
        </w:trPr>
        <w:tc>
          <w:tcPr>
            <w:tcW w:w="7070" w:type="dxa"/>
            <w:tcBorders>
              <w:top w:val="nil"/>
              <w:left w:val="single" w:sz="4" w:space="0" w:color="auto"/>
              <w:bottom w:val="single" w:sz="4" w:space="0" w:color="auto"/>
              <w:right w:val="single" w:sz="4" w:space="0" w:color="auto"/>
            </w:tcBorders>
          </w:tcPr>
          <w:p w14:paraId="745274AE" w14:textId="77777777" w:rsidR="00940F02" w:rsidRPr="007D5748" w:rsidRDefault="00940F02" w:rsidP="00237722">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14:paraId="1A532BBA" w14:textId="77777777" w:rsidR="00940F02" w:rsidRPr="007D5748" w:rsidRDefault="00940F02" w:rsidP="00237722">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14:paraId="03C1436F" w14:textId="16D1DF22" w:rsidR="00940F02" w:rsidRPr="007D5748" w:rsidRDefault="00FD2AF2" w:rsidP="00237722">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79 340</w:t>
            </w:r>
            <w:r w:rsidR="00207130">
              <w:rPr>
                <w:rFonts w:ascii="Times New Roman" w:hAnsi="Times New Roman"/>
                <w:b/>
                <w:bCs/>
                <w:sz w:val="20"/>
                <w:szCs w:val="20"/>
                <w:lang w:eastAsia="sk-SK"/>
              </w:rPr>
              <w:t xml:space="preserve"> </w:t>
            </w:r>
          </w:p>
        </w:tc>
        <w:tc>
          <w:tcPr>
            <w:tcW w:w="1540" w:type="dxa"/>
            <w:tcBorders>
              <w:top w:val="nil"/>
              <w:left w:val="nil"/>
              <w:bottom w:val="single" w:sz="4" w:space="0" w:color="auto"/>
              <w:right w:val="single" w:sz="4" w:space="0" w:color="auto"/>
            </w:tcBorders>
            <w:vAlign w:val="center"/>
          </w:tcPr>
          <w:p w14:paraId="2844AA08" w14:textId="77777777" w:rsidR="00940F02" w:rsidRPr="007D5748" w:rsidRDefault="00940F02" w:rsidP="00237722">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14:paraId="6D3BAAED" w14:textId="77777777" w:rsidR="00940F02" w:rsidRPr="007D5748" w:rsidRDefault="00940F02" w:rsidP="00237722">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14:paraId="251944E1"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0B20E4B2" w14:textId="77777777" w:rsidTr="00237722">
        <w:trPr>
          <w:trHeight w:val="255"/>
        </w:trPr>
        <w:tc>
          <w:tcPr>
            <w:tcW w:w="7070" w:type="dxa"/>
            <w:tcBorders>
              <w:top w:val="nil"/>
              <w:left w:val="single" w:sz="4" w:space="0" w:color="auto"/>
              <w:bottom w:val="single" w:sz="4" w:space="0" w:color="auto"/>
              <w:right w:val="single" w:sz="4" w:space="0" w:color="auto"/>
            </w:tcBorders>
          </w:tcPr>
          <w:p w14:paraId="64CCBC68" w14:textId="77777777" w:rsidR="00940F02" w:rsidRPr="00150CF0" w:rsidRDefault="00940F02" w:rsidP="0023772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r>
              <w:rPr>
                <w:rFonts w:ascii="Times New Roman" w:hAnsi="Times New Roman"/>
                <w:sz w:val="20"/>
                <w:szCs w:val="20"/>
                <w:lang w:eastAsia="sk-SK"/>
              </w:rPr>
              <w:t xml:space="preserve">  - 711</w:t>
            </w:r>
          </w:p>
        </w:tc>
        <w:tc>
          <w:tcPr>
            <w:tcW w:w="1540" w:type="dxa"/>
            <w:tcBorders>
              <w:top w:val="nil"/>
              <w:left w:val="nil"/>
              <w:bottom w:val="single" w:sz="4" w:space="0" w:color="auto"/>
              <w:right w:val="single" w:sz="4" w:space="0" w:color="auto"/>
            </w:tcBorders>
            <w:vAlign w:val="center"/>
          </w:tcPr>
          <w:p w14:paraId="1D64CF41"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3F6FB28D" w14:textId="579340B5" w:rsidR="00940F02" w:rsidRPr="007D5748" w:rsidRDefault="00FD2AF2" w:rsidP="0023772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79 340</w:t>
            </w:r>
          </w:p>
        </w:tc>
        <w:tc>
          <w:tcPr>
            <w:tcW w:w="1540" w:type="dxa"/>
            <w:tcBorders>
              <w:top w:val="nil"/>
              <w:left w:val="nil"/>
              <w:bottom w:val="single" w:sz="4" w:space="0" w:color="auto"/>
              <w:right w:val="single" w:sz="4" w:space="0" w:color="auto"/>
            </w:tcBorders>
            <w:vAlign w:val="center"/>
          </w:tcPr>
          <w:p w14:paraId="3B219F11"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13E032D5"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1B0ADF30"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41DEAE1C" w14:textId="77777777" w:rsidTr="00237722">
        <w:trPr>
          <w:trHeight w:val="255"/>
        </w:trPr>
        <w:tc>
          <w:tcPr>
            <w:tcW w:w="7070" w:type="dxa"/>
            <w:tcBorders>
              <w:top w:val="nil"/>
              <w:left w:val="single" w:sz="4" w:space="0" w:color="auto"/>
              <w:bottom w:val="single" w:sz="4" w:space="0" w:color="auto"/>
              <w:right w:val="single" w:sz="4" w:space="0" w:color="auto"/>
            </w:tcBorders>
          </w:tcPr>
          <w:p w14:paraId="07F2333F" w14:textId="77777777" w:rsidR="00940F02" w:rsidRPr="007D5748" w:rsidRDefault="00940F02" w:rsidP="0023772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71A49C4D"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530D1A73"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38BC9DF2"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37042388" w14:textId="77777777" w:rsidR="00940F02" w:rsidRPr="007D5748" w:rsidRDefault="00940F02" w:rsidP="00237722">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34D3F159"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30478079" w14:textId="77777777" w:rsidTr="00237722">
        <w:trPr>
          <w:trHeight w:val="255"/>
        </w:trPr>
        <w:tc>
          <w:tcPr>
            <w:tcW w:w="7070" w:type="dxa"/>
            <w:tcBorders>
              <w:top w:val="nil"/>
              <w:left w:val="single" w:sz="4" w:space="0" w:color="auto"/>
              <w:bottom w:val="single" w:sz="4" w:space="0" w:color="auto"/>
              <w:right w:val="single" w:sz="4" w:space="0" w:color="auto"/>
            </w:tcBorders>
          </w:tcPr>
          <w:p w14:paraId="16CA4CA7" w14:textId="77777777" w:rsidR="00940F02" w:rsidRPr="007D5748" w:rsidRDefault="00940F02" w:rsidP="00237722">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69EB6C65" w14:textId="77777777" w:rsidR="00940F02" w:rsidRPr="007D5748" w:rsidRDefault="00940F02" w:rsidP="00237722">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7AA54B5" w14:textId="77777777" w:rsidR="00940F02" w:rsidRPr="007D5748" w:rsidRDefault="00940F02" w:rsidP="00237722">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2C805A74" w14:textId="77777777" w:rsidR="00940F02" w:rsidRPr="007D5748" w:rsidRDefault="00940F02" w:rsidP="00237722">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531ADE8B" w14:textId="77777777" w:rsidR="00940F02" w:rsidRPr="007D5748" w:rsidRDefault="00940F02" w:rsidP="00237722">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14:paraId="48D8627F"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7DBC064C" w14:textId="77777777" w:rsidTr="00237722">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186FBC" w14:textId="77777777" w:rsidR="00940F02" w:rsidRPr="007D5748" w:rsidRDefault="00940F02" w:rsidP="00237722">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E83479A" w14:textId="77777777" w:rsidR="00940F02" w:rsidRPr="007D5748" w:rsidRDefault="00940F02" w:rsidP="00237722">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D5EC3A6" w14:textId="472655C4" w:rsidR="00940F02" w:rsidRPr="007D5748" w:rsidRDefault="00FD2AF2" w:rsidP="00237722">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79 340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78495F0" w14:textId="77777777" w:rsidR="00940F02" w:rsidRPr="007D5748" w:rsidRDefault="00940F02" w:rsidP="00237722">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47901D6" w14:textId="77777777" w:rsidR="00940F02" w:rsidRPr="007D5748" w:rsidRDefault="00940F02" w:rsidP="00237722">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1484CED"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14:paraId="314A8886"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14:paraId="13643A59" w14:textId="77777777" w:rsidR="00940F02" w:rsidRPr="007D5748" w:rsidRDefault="00940F02" w:rsidP="00940F02">
      <w:pPr>
        <w:tabs>
          <w:tab w:val="num" w:pos="1080"/>
        </w:tabs>
        <w:spacing w:after="0" w:line="240" w:lineRule="auto"/>
        <w:ind w:left="-900"/>
        <w:jc w:val="both"/>
        <w:rPr>
          <w:rFonts w:ascii="Times New Roman" w:hAnsi="Times New Roman"/>
          <w:bCs/>
          <w:sz w:val="24"/>
          <w:szCs w:val="20"/>
          <w:lang w:eastAsia="sk-SK"/>
        </w:rPr>
      </w:pPr>
    </w:p>
    <w:p w14:paraId="071F2E9E" w14:textId="77777777" w:rsidR="00940F02" w:rsidRPr="007D5748" w:rsidRDefault="00940F02" w:rsidP="00940F02">
      <w:pPr>
        <w:tabs>
          <w:tab w:val="num" w:pos="1080"/>
        </w:tabs>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14:paraId="524C2569"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14:paraId="4E4407F5"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22F2218A"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3DFD7550"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3F8A5129"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3858563B"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2FF0E216"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471E38DD"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6D784C13"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3B0B7448"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4178BFE7"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5066E146"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15DD2AE6"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60C385AE"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47EC5308"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503A262F" w14:textId="77777777" w:rsidR="00940F02" w:rsidRPr="007D5748" w:rsidRDefault="00940F02" w:rsidP="00940F02">
      <w:pPr>
        <w:tabs>
          <w:tab w:val="num" w:pos="1080"/>
        </w:tabs>
        <w:spacing w:after="0" w:line="240" w:lineRule="auto"/>
        <w:ind w:left="-900"/>
        <w:jc w:val="both"/>
        <w:rPr>
          <w:rFonts w:ascii="Times New Roman" w:hAnsi="Times New Roman"/>
          <w:bCs/>
          <w:sz w:val="20"/>
          <w:szCs w:val="20"/>
          <w:lang w:eastAsia="sk-SK"/>
        </w:rPr>
      </w:pPr>
    </w:p>
    <w:p w14:paraId="18669CD0" w14:textId="77777777" w:rsidR="005C08DA" w:rsidRPr="007D5748" w:rsidRDefault="005C08DA" w:rsidP="005C08DA">
      <w:pPr>
        <w:tabs>
          <w:tab w:val="num" w:pos="1080"/>
        </w:tabs>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4 </w:t>
      </w:r>
    </w:p>
    <w:p w14:paraId="339AA125" w14:textId="0BF00D1C" w:rsidR="005C08DA" w:rsidRPr="00061BB5" w:rsidRDefault="005C08DA" w:rsidP="005C08DA">
      <w:pPr>
        <w:tabs>
          <w:tab w:val="num" w:pos="1080"/>
        </w:tabs>
        <w:spacing w:after="0" w:line="240" w:lineRule="auto"/>
        <w:jc w:val="both"/>
        <w:rPr>
          <w:rFonts w:ascii="Times New Roman" w:hAnsi="Times New Roman"/>
          <w:bCs/>
          <w:sz w:val="24"/>
          <w:szCs w:val="20"/>
          <w:lang w:eastAsia="sk-SK"/>
        </w:rPr>
      </w:pPr>
      <w:r w:rsidRPr="00061BB5">
        <w:rPr>
          <w:rFonts w:ascii="Times New Roman" w:hAnsi="Times New Roman"/>
          <w:bCs/>
          <w:sz w:val="24"/>
          <w:szCs w:val="20"/>
          <w:lang w:eastAsia="sk-SK"/>
        </w:rPr>
        <w:t>Ministerstvo financií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5C08DA" w:rsidRPr="007D5748" w14:paraId="690905CA" w14:textId="77777777" w:rsidTr="00A4124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E24CA27" w14:textId="77777777" w:rsidR="005C08DA" w:rsidRPr="007D5748" w:rsidRDefault="005C08DA" w:rsidP="00A41246">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46C1F78" w14:textId="77777777" w:rsidR="005C08DA" w:rsidRPr="007D5748" w:rsidRDefault="005C08DA" w:rsidP="00A41246">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3002E9C" w14:textId="77777777" w:rsidR="005C08DA" w:rsidRPr="007D5748" w:rsidRDefault="005C08DA" w:rsidP="00A4124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5C08DA" w:rsidRPr="007D5748" w14:paraId="36DFCB57" w14:textId="77777777" w:rsidTr="00A41246">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1A2FFE9C" w14:textId="77777777" w:rsidR="005C08DA" w:rsidRPr="007D5748" w:rsidRDefault="005C08DA" w:rsidP="00A41246">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3E47738C" w14:textId="77777777" w:rsidR="005C08DA" w:rsidRPr="007809AB" w:rsidRDefault="005C08DA" w:rsidP="00A41246">
            <w:pPr>
              <w:spacing w:after="0" w:line="240" w:lineRule="auto"/>
              <w:jc w:val="center"/>
              <w:rPr>
                <w:rFonts w:ascii="Times New Roman" w:hAnsi="Times New Roman"/>
                <w:b/>
                <w:bCs/>
                <w:sz w:val="20"/>
                <w:szCs w:val="20"/>
                <w:lang w:eastAsia="sk-SK"/>
              </w:rPr>
            </w:pPr>
            <w:r w:rsidRPr="007809AB">
              <w:rPr>
                <w:rFonts w:ascii="Times New Roman" w:hAnsi="Times New Roman"/>
                <w:b/>
                <w:bCs/>
                <w:sz w:val="20"/>
                <w:szCs w:val="20"/>
                <w:lang w:eastAsia="sk-SK"/>
              </w:rPr>
              <w:t>202</w:t>
            </w:r>
            <w:r>
              <w:rPr>
                <w:rFonts w:ascii="Times New Roman" w:hAnsi="Times New Roman"/>
                <w:b/>
                <w:bCs/>
                <w:sz w:val="20"/>
                <w:szCs w:val="20"/>
                <w:lang w:eastAsia="sk-SK"/>
              </w:rPr>
              <w:t>1</w:t>
            </w:r>
          </w:p>
        </w:tc>
        <w:tc>
          <w:tcPr>
            <w:tcW w:w="1540" w:type="dxa"/>
            <w:tcBorders>
              <w:top w:val="nil"/>
              <w:left w:val="nil"/>
              <w:bottom w:val="single" w:sz="4" w:space="0" w:color="auto"/>
              <w:right w:val="single" w:sz="4" w:space="0" w:color="auto"/>
            </w:tcBorders>
            <w:shd w:val="clear" w:color="auto" w:fill="BFBFBF" w:themeFill="background1" w:themeFillShade="BF"/>
          </w:tcPr>
          <w:p w14:paraId="5628A9A2" w14:textId="77777777" w:rsidR="005C08DA" w:rsidRPr="007809AB" w:rsidRDefault="005C08DA" w:rsidP="00A41246">
            <w:pPr>
              <w:spacing w:after="0" w:line="240" w:lineRule="auto"/>
              <w:jc w:val="center"/>
              <w:rPr>
                <w:rFonts w:ascii="Times New Roman" w:hAnsi="Times New Roman"/>
                <w:b/>
                <w:bCs/>
                <w:sz w:val="20"/>
                <w:szCs w:val="20"/>
                <w:lang w:eastAsia="sk-SK"/>
              </w:rPr>
            </w:pPr>
            <w:r w:rsidRPr="007809AB">
              <w:rPr>
                <w:rFonts w:ascii="Times New Roman" w:hAnsi="Times New Roman"/>
                <w:b/>
                <w:bCs/>
                <w:sz w:val="20"/>
                <w:szCs w:val="20"/>
                <w:lang w:eastAsia="sk-SK"/>
              </w:rPr>
              <w:t>202</w:t>
            </w:r>
            <w:r>
              <w:rPr>
                <w:rFonts w:ascii="Times New Roman" w:hAnsi="Times New Roman"/>
                <w:b/>
                <w:bCs/>
                <w:sz w:val="20"/>
                <w:szCs w:val="20"/>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14:paraId="71009BA4" w14:textId="77777777" w:rsidR="005C08DA" w:rsidRPr="007809AB" w:rsidRDefault="005C08DA" w:rsidP="00A41246">
            <w:pPr>
              <w:spacing w:after="0" w:line="240" w:lineRule="auto"/>
              <w:jc w:val="center"/>
              <w:rPr>
                <w:rFonts w:ascii="Times New Roman" w:hAnsi="Times New Roman"/>
                <w:b/>
                <w:bCs/>
                <w:sz w:val="20"/>
                <w:szCs w:val="20"/>
                <w:lang w:eastAsia="sk-SK"/>
              </w:rPr>
            </w:pPr>
            <w:r w:rsidRPr="007809AB">
              <w:rPr>
                <w:rFonts w:ascii="Times New Roman" w:hAnsi="Times New Roman"/>
                <w:b/>
                <w:bCs/>
                <w:sz w:val="20"/>
                <w:szCs w:val="20"/>
                <w:lang w:eastAsia="sk-SK"/>
              </w:rPr>
              <w:t>202</w:t>
            </w:r>
            <w:r>
              <w:rPr>
                <w:rFonts w:ascii="Times New Roman" w:hAnsi="Times New Roman"/>
                <w:b/>
                <w:bCs/>
                <w:sz w:val="20"/>
                <w:szCs w:val="20"/>
                <w:lang w:eastAsia="sk-SK"/>
              </w:rPr>
              <w:t>3</w:t>
            </w:r>
          </w:p>
        </w:tc>
        <w:tc>
          <w:tcPr>
            <w:tcW w:w="1540" w:type="dxa"/>
            <w:tcBorders>
              <w:top w:val="nil"/>
              <w:left w:val="nil"/>
              <w:bottom w:val="single" w:sz="4" w:space="0" w:color="auto"/>
              <w:right w:val="single" w:sz="4" w:space="0" w:color="auto"/>
            </w:tcBorders>
            <w:shd w:val="clear" w:color="auto" w:fill="BFBFBF" w:themeFill="background1" w:themeFillShade="BF"/>
          </w:tcPr>
          <w:p w14:paraId="3F5FE315" w14:textId="77777777" w:rsidR="005C08DA" w:rsidRPr="007809AB" w:rsidRDefault="005C08DA" w:rsidP="00A41246">
            <w:pPr>
              <w:spacing w:after="0" w:line="240" w:lineRule="auto"/>
              <w:jc w:val="center"/>
              <w:rPr>
                <w:rFonts w:ascii="Times New Roman" w:hAnsi="Times New Roman"/>
                <w:b/>
                <w:bCs/>
                <w:sz w:val="20"/>
                <w:szCs w:val="20"/>
                <w:lang w:eastAsia="sk-SK"/>
              </w:rPr>
            </w:pPr>
            <w:r w:rsidRPr="007809AB">
              <w:rPr>
                <w:rFonts w:ascii="Times New Roman" w:hAnsi="Times New Roman"/>
                <w:b/>
                <w:bCs/>
                <w:sz w:val="20"/>
                <w:szCs w:val="20"/>
                <w:lang w:eastAsia="sk-SK"/>
              </w:rPr>
              <w:t>202</w:t>
            </w:r>
            <w:r>
              <w:rPr>
                <w:rFonts w:ascii="Times New Roman" w:hAnsi="Times New Roman"/>
                <w:b/>
                <w:bCs/>
                <w:sz w:val="20"/>
                <w:szCs w:val="20"/>
                <w:lang w:eastAsia="sk-SK"/>
              </w:rPr>
              <w:t>4</w:t>
            </w:r>
          </w:p>
        </w:tc>
        <w:tc>
          <w:tcPr>
            <w:tcW w:w="2220" w:type="dxa"/>
            <w:vMerge/>
            <w:tcBorders>
              <w:top w:val="single" w:sz="4" w:space="0" w:color="auto"/>
              <w:left w:val="single" w:sz="4" w:space="0" w:color="auto"/>
              <w:bottom w:val="single" w:sz="4" w:space="0" w:color="auto"/>
              <w:right w:val="single" w:sz="4" w:space="0" w:color="auto"/>
            </w:tcBorders>
            <w:vAlign w:val="center"/>
          </w:tcPr>
          <w:p w14:paraId="5C9763E2" w14:textId="77777777" w:rsidR="005C08DA" w:rsidRPr="007D5748" w:rsidRDefault="005C08DA" w:rsidP="00A41246">
            <w:pPr>
              <w:spacing w:after="0" w:line="240" w:lineRule="auto"/>
              <w:rPr>
                <w:rFonts w:ascii="Times New Roman" w:hAnsi="Times New Roman"/>
                <w:b/>
                <w:bCs/>
                <w:color w:val="FFFFFF"/>
                <w:sz w:val="24"/>
                <w:szCs w:val="24"/>
                <w:lang w:eastAsia="sk-SK"/>
              </w:rPr>
            </w:pPr>
          </w:p>
        </w:tc>
      </w:tr>
      <w:tr w:rsidR="005C08DA" w:rsidRPr="007D5748" w14:paraId="12FAE809" w14:textId="77777777" w:rsidTr="00A41246">
        <w:trPr>
          <w:trHeight w:val="255"/>
        </w:trPr>
        <w:tc>
          <w:tcPr>
            <w:tcW w:w="7070" w:type="dxa"/>
            <w:tcBorders>
              <w:top w:val="nil"/>
              <w:left w:val="single" w:sz="4" w:space="0" w:color="auto"/>
              <w:bottom w:val="single" w:sz="4" w:space="0" w:color="auto"/>
              <w:right w:val="single" w:sz="4" w:space="0" w:color="auto"/>
            </w:tcBorders>
          </w:tcPr>
          <w:p w14:paraId="42889435" w14:textId="77777777" w:rsidR="005C08DA" w:rsidRPr="007D5748" w:rsidRDefault="005C08DA" w:rsidP="00A41246">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14:paraId="0CAA99A9" w14:textId="77777777" w:rsidR="005C08DA" w:rsidRPr="007D5748" w:rsidRDefault="005C08DA" w:rsidP="00A41246">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14:paraId="07D5AB29" w14:textId="77777777" w:rsidR="005C08DA" w:rsidRPr="007D5748" w:rsidRDefault="005C08DA" w:rsidP="00A41246">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14:paraId="2B13F14D" w14:textId="77777777" w:rsidR="005C08DA" w:rsidRPr="007D5748" w:rsidRDefault="005C08DA" w:rsidP="00A41246">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14:paraId="371CF3A9" w14:textId="77777777" w:rsidR="005C08DA" w:rsidRPr="007D5748" w:rsidRDefault="005C08DA" w:rsidP="00A41246">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14:paraId="6CBC6851" w14:textId="77777777" w:rsidR="005C08DA" w:rsidRPr="007D5748" w:rsidRDefault="005C08DA" w:rsidP="00A4124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5C08DA" w:rsidRPr="007D5748" w14:paraId="58E08475" w14:textId="77777777" w:rsidTr="00A41246">
        <w:trPr>
          <w:trHeight w:val="255"/>
        </w:trPr>
        <w:tc>
          <w:tcPr>
            <w:tcW w:w="7070" w:type="dxa"/>
            <w:tcBorders>
              <w:top w:val="nil"/>
              <w:left w:val="single" w:sz="4" w:space="0" w:color="auto"/>
              <w:bottom w:val="single" w:sz="4" w:space="0" w:color="auto"/>
              <w:right w:val="single" w:sz="4" w:space="0" w:color="auto"/>
            </w:tcBorders>
          </w:tcPr>
          <w:p w14:paraId="3EA45771" w14:textId="77777777" w:rsidR="005C08DA" w:rsidRPr="007D5748" w:rsidRDefault="005C08DA" w:rsidP="00A41246">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41BB7067" w14:textId="77777777" w:rsidR="005C08DA" w:rsidRPr="0077799A"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4ED3FDE7" w14:textId="77777777" w:rsidR="005C08DA" w:rsidRPr="0077799A"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5C062A2" w14:textId="77777777" w:rsidR="005C08DA" w:rsidRPr="0077799A"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094A0EB" w14:textId="77777777" w:rsidR="005C08DA" w:rsidRPr="0077799A" w:rsidRDefault="005C08DA" w:rsidP="00A41246">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50EE1676" w14:textId="77777777" w:rsidR="005C08DA" w:rsidRPr="007D5748" w:rsidRDefault="005C08DA" w:rsidP="00A4124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5C08DA" w:rsidRPr="007D5748" w14:paraId="002F71F8" w14:textId="77777777" w:rsidTr="00A41246">
        <w:trPr>
          <w:trHeight w:val="255"/>
        </w:trPr>
        <w:tc>
          <w:tcPr>
            <w:tcW w:w="7070" w:type="dxa"/>
            <w:tcBorders>
              <w:top w:val="nil"/>
              <w:left w:val="single" w:sz="4" w:space="0" w:color="auto"/>
              <w:bottom w:val="single" w:sz="4" w:space="0" w:color="auto"/>
              <w:right w:val="single" w:sz="4" w:space="0" w:color="auto"/>
            </w:tcBorders>
          </w:tcPr>
          <w:p w14:paraId="3846634E" w14:textId="77777777" w:rsidR="005C08DA" w:rsidRPr="007D5748" w:rsidRDefault="005C08DA" w:rsidP="00A41246">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7F5C8944" w14:textId="77777777" w:rsidR="005C08DA" w:rsidRPr="0077799A"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C0ADF0E" w14:textId="77777777" w:rsidR="005C08DA" w:rsidRPr="0077799A"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81BDE8C" w14:textId="77777777" w:rsidR="005C08DA" w:rsidRPr="0077799A"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0357F1F" w14:textId="77777777" w:rsidR="005C08DA" w:rsidRPr="0077799A" w:rsidRDefault="005C08DA" w:rsidP="00A41246">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6F5A8F11" w14:textId="77777777" w:rsidR="005C08DA" w:rsidRPr="007D5748" w:rsidRDefault="005C08DA" w:rsidP="00A4124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5C08DA" w:rsidRPr="007D5748" w14:paraId="3C530CD9" w14:textId="77777777" w:rsidTr="00A41246">
        <w:trPr>
          <w:trHeight w:val="255"/>
        </w:trPr>
        <w:tc>
          <w:tcPr>
            <w:tcW w:w="7070" w:type="dxa"/>
            <w:tcBorders>
              <w:top w:val="nil"/>
              <w:left w:val="single" w:sz="4" w:space="0" w:color="auto"/>
              <w:bottom w:val="single" w:sz="4" w:space="0" w:color="auto"/>
              <w:right w:val="single" w:sz="4" w:space="0" w:color="auto"/>
            </w:tcBorders>
          </w:tcPr>
          <w:p w14:paraId="3733F50F" w14:textId="77777777" w:rsidR="005C08DA" w:rsidRPr="00F36E6A" w:rsidRDefault="005C08DA" w:rsidP="00A41246">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r>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vAlign w:val="center"/>
          </w:tcPr>
          <w:p w14:paraId="5F4D229B"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2D357A96"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77ACA401"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351CC090"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2B141414" w14:textId="77777777" w:rsidR="005C08DA" w:rsidRPr="007D5748" w:rsidRDefault="005C08DA" w:rsidP="00A4124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5C08DA" w:rsidRPr="007D5748" w14:paraId="32F6312E" w14:textId="77777777" w:rsidTr="00A41246">
        <w:trPr>
          <w:trHeight w:val="255"/>
        </w:trPr>
        <w:tc>
          <w:tcPr>
            <w:tcW w:w="7070" w:type="dxa"/>
            <w:tcBorders>
              <w:top w:val="nil"/>
              <w:left w:val="single" w:sz="4" w:space="0" w:color="auto"/>
              <w:bottom w:val="single" w:sz="4" w:space="0" w:color="auto"/>
              <w:right w:val="single" w:sz="4" w:space="0" w:color="auto"/>
            </w:tcBorders>
          </w:tcPr>
          <w:p w14:paraId="5920A28B" w14:textId="77777777" w:rsidR="005C08DA" w:rsidRPr="007D5748" w:rsidRDefault="005C08DA" w:rsidP="00A41246">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540893CC"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681AE920"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6B6E5FAB"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0459044F"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6606EE70" w14:textId="77777777" w:rsidR="005C08DA" w:rsidRPr="007D5748" w:rsidRDefault="005C08DA" w:rsidP="00A4124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5C08DA" w:rsidRPr="007D5748" w14:paraId="5357152E" w14:textId="77777777" w:rsidTr="00A41246">
        <w:trPr>
          <w:trHeight w:val="255"/>
        </w:trPr>
        <w:tc>
          <w:tcPr>
            <w:tcW w:w="7070" w:type="dxa"/>
            <w:tcBorders>
              <w:top w:val="nil"/>
              <w:left w:val="single" w:sz="4" w:space="0" w:color="auto"/>
              <w:bottom w:val="single" w:sz="4" w:space="0" w:color="auto"/>
              <w:right w:val="single" w:sz="4" w:space="0" w:color="auto"/>
            </w:tcBorders>
            <w:vAlign w:val="center"/>
          </w:tcPr>
          <w:p w14:paraId="29C97A2B" w14:textId="77777777" w:rsidR="005C08DA" w:rsidRPr="007D5748" w:rsidRDefault="005C08DA" w:rsidP="00A41246">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31608FE6"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607D40F2"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40316E50"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4361CA34"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19971040" w14:textId="77777777" w:rsidR="005C08DA" w:rsidRPr="007D5748" w:rsidRDefault="005C08DA" w:rsidP="00A41246">
            <w:pPr>
              <w:spacing w:after="0" w:line="240" w:lineRule="auto"/>
              <w:rPr>
                <w:rFonts w:ascii="Times New Roman" w:hAnsi="Times New Roman"/>
                <w:sz w:val="24"/>
                <w:szCs w:val="24"/>
                <w:lang w:eastAsia="sk-SK"/>
              </w:rPr>
            </w:pPr>
          </w:p>
        </w:tc>
      </w:tr>
      <w:tr w:rsidR="005C08DA" w:rsidRPr="007D5748" w14:paraId="05CCC86F" w14:textId="77777777" w:rsidTr="00A41246">
        <w:trPr>
          <w:trHeight w:val="255"/>
        </w:trPr>
        <w:tc>
          <w:tcPr>
            <w:tcW w:w="7070" w:type="dxa"/>
            <w:tcBorders>
              <w:top w:val="nil"/>
              <w:left w:val="single" w:sz="4" w:space="0" w:color="auto"/>
              <w:bottom w:val="single" w:sz="4" w:space="0" w:color="auto"/>
              <w:right w:val="single" w:sz="4" w:space="0" w:color="auto"/>
            </w:tcBorders>
          </w:tcPr>
          <w:p w14:paraId="4ED46CD0" w14:textId="77777777" w:rsidR="005C08DA" w:rsidRPr="007D5748" w:rsidRDefault="005C08DA" w:rsidP="00A41246">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14:paraId="465F3F01" w14:textId="77777777" w:rsidR="005C08DA" w:rsidRPr="007D5748" w:rsidRDefault="005C08DA" w:rsidP="00A41246">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14:paraId="4F00E23A" w14:textId="3AAE190B" w:rsidR="005C08DA" w:rsidRPr="007D5748" w:rsidRDefault="005C08DA" w:rsidP="00A41246">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52 426</w:t>
            </w:r>
          </w:p>
        </w:tc>
        <w:tc>
          <w:tcPr>
            <w:tcW w:w="1540" w:type="dxa"/>
            <w:tcBorders>
              <w:top w:val="nil"/>
              <w:left w:val="nil"/>
              <w:bottom w:val="single" w:sz="4" w:space="0" w:color="auto"/>
              <w:right w:val="single" w:sz="4" w:space="0" w:color="auto"/>
            </w:tcBorders>
            <w:vAlign w:val="center"/>
          </w:tcPr>
          <w:p w14:paraId="6FF3B53E" w14:textId="77777777" w:rsidR="005C08DA" w:rsidRPr="007D5748" w:rsidRDefault="005C08DA" w:rsidP="00A41246">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14:paraId="737CF41F" w14:textId="77777777" w:rsidR="005C08DA" w:rsidRPr="007D5748" w:rsidRDefault="005C08DA" w:rsidP="00A41246">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14:paraId="1BAE38FB" w14:textId="77777777" w:rsidR="005C08DA" w:rsidRPr="007D5748" w:rsidRDefault="005C08DA" w:rsidP="00A4124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5C08DA" w:rsidRPr="007D5748" w14:paraId="3342517B" w14:textId="77777777" w:rsidTr="00A41246">
        <w:trPr>
          <w:trHeight w:val="255"/>
        </w:trPr>
        <w:tc>
          <w:tcPr>
            <w:tcW w:w="7070" w:type="dxa"/>
            <w:tcBorders>
              <w:top w:val="nil"/>
              <w:left w:val="single" w:sz="4" w:space="0" w:color="auto"/>
              <w:bottom w:val="single" w:sz="4" w:space="0" w:color="auto"/>
              <w:right w:val="single" w:sz="4" w:space="0" w:color="auto"/>
            </w:tcBorders>
          </w:tcPr>
          <w:p w14:paraId="1C31F63C" w14:textId="5330841B" w:rsidR="005C08DA" w:rsidRPr="00150CF0" w:rsidRDefault="005C08DA" w:rsidP="00282D16">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r>
              <w:rPr>
                <w:rFonts w:ascii="Times New Roman" w:hAnsi="Times New Roman"/>
                <w:sz w:val="20"/>
                <w:szCs w:val="20"/>
                <w:lang w:eastAsia="sk-SK"/>
              </w:rPr>
              <w:t xml:space="preserve">  - 71</w:t>
            </w:r>
            <w:r w:rsidR="00282D16">
              <w:rPr>
                <w:rFonts w:ascii="Times New Roman" w:hAnsi="Times New Roman"/>
                <w:sz w:val="20"/>
                <w:szCs w:val="20"/>
                <w:lang w:eastAsia="sk-SK"/>
              </w:rPr>
              <w:t>8</w:t>
            </w:r>
          </w:p>
        </w:tc>
        <w:tc>
          <w:tcPr>
            <w:tcW w:w="1540" w:type="dxa"/>
            <w:tcBorders>
              <w:top w:val="nil"/>
              <w:left w:val="nil"/>
              <w:bottom w:val="single" w:sz="4" w:space="0" w:color="auto"/>
              <w:right w:val="single" w:sz="4" w:space="0" w:color="auto"/>
            </w:tcBorders>
            <w:vAlign w:val="center"/>
          </w:tcPr>
          <w:p w14:paraId="43C02035"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3CA064E0" w14:textId="4403991B" w:rsidR="005C08DA" w:rsidRPr="005C08DA" w:rsidRDefault="005C08DA" w:rsidP="00A41246">
            <w:pPr>
              <w:spacing w:after="0" w:line="240" w:lineRule="auto"/>
              <w:jc w:val="center"/>
              <w:rPr>
                <w:rFonts w:ascii="Times New Roman" w:hAnsi="Times New Roman"/>
                <w:sz w:val="20"/>
                <w:szCs w:val="20"/>
                <w:lang w:eastAsia="sk-SK"/>
              </w:rPr>
            </w:pPr>
            <w:r w:rsidRPr="005C08DA">
              <w:rPr>
                <w:rFonts w:ascii="Times New Roman" w:hAnsi="Times New Roman"/>
                <w:bCs/>
                <w:sz w:val="20"/>
                <w:szCs w:val="20"/>
                <w:lang w:eastAsia="sk-SK"/>
              </w:rPr>
              <w:t>52 426</w:t>
            </w:r>
          </w:p>
        </w:tc>
        <w:tc>
          <w:tcPr>
            <w:tcW w:w="1540" w:type="dxa"/>
            <w:tcBorders>
              <w:top w:val="nil"/>
              <w:left w:val="nil"/>
              <w:bottom w:val="single" w:sz="4" w:space="0" w:color="auto"/>
              <w:right w:val="single" w:sz="4" w:space="0" w:color="auto"/>
            </w:tcBorders>
            <w:vAlign w:val="center"/>
          </w:tcPr>
          <w:p w14:paraId="704AB41F"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7CED05CA"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2C041264" w14:textId="77777777" w:rsidR="005C08DA" w:rsidRPr="007D5748" w:rsidRDefault="005C08DA" w:rsidP="00A4124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5C08DA" w:rsidRPr="007D5748" w14:paraId="78D55AE4" w14:textId="77777777" w:rsidTr="00A41246">
        <w:trPr>
          <w:trHeight w:val="255"/>
        </w:trPr>
        <w:tc>
          <w:tcPr>
            <w:tcW w:w="7070" w:type="dxa"/>
            <w:tcBorders>
              <w:top w:val="nil"/>
              <w:left w:val="single" w:sz="4" w:space="0" w:color="auto"/>
              <w:bottom w:val="single" w:sz="4" w:space="0" w:color="auto"/>
              <w:right w:val="single" w:sz="4" w:space="0" w:color="auto"/>
            </w:tcBorders>
          </w:tcPr>
          <w:p w14:paraId="123CBCA5" w14:textId="77777777" w:rsidR="005C08DA" w:rsidRPr="007D5748" w:rsidRDefault="005C08DA" w:rsidP="00A41246">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3F1DBB11"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729E4CB2"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3DF13A7B"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14:paraId="6A5D5739" w14:textId="77777777" w:rsidR="005C08DA" w:rsidRPr="007D5748" w:rsidRDefault="005C08DA" w:rsidP="00A41246">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19E81E0B" w14:textId="77777777" w:rsidR="005C08DA" w:rsidRPr="007D5748" w:rsidRDefault="005C08DA" w:rsidP="00A4124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5C08DA" w:rsidRPr="007D5748" w14:paraId="6E345D13" w14:textId="77777777" w:rsidTr="00A41246">
        <w:trPr>
          <w:trHeight w:val="255"/>
        </w:trPr>
        <w:tc>
          <w:tcPr>
            <w:tcW w:w="7070" w:type="dxa"/>
            <w:tcBorders>
              <w:top w:val="nil"/>
              <w:left w:val="single" w:sz="4" w:space="0" w:color="auto"/>
              <w:bottom w:val="single" w:sz="4" w:space="0" w:color="auto"/>
              <w:right w:val="single" w:sz="4" w:space="0" w:color="auto"/>
            </w:tcBorders>
          </w:tcPr>
          <w:p w14:paraId="2C0CE74C" w14:textId="77777777" w:rsidR="005C08DA" w:rsidRPr="007D5748" w:rsidRDefault="005C08DA" w:rsidP="00A41246">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06121BDD" w14:textId="77777777" w:rsidR="005C08DA" w:rsidRPr="007D5748" w:rsidRDefault="005C08DA" w:rsidP="00A41246">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7FC3AB2C" w14:textId="77777777" w:rsidR="005C08DA" w:rsidRPr="007D5748" w:rsidRDefault="005C08DA" w:rsidP="00A41246">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108AB88A" w14:textId="77777777" w:rsidR="005C08DA" w:rsidRPr="007D5748" w:rsidRDefault="005C08DA" w:rsidP="00A41246">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34D63BDB" w14:textId="77777777" w:rsidR="005C08DA" w:rsidRPr="007D5748" w:rsidRDefault="005C08DA" w:rsidP="00A41246">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14:paraId="19C32377" w14:textId="77777777" w:rsidR="005C08DA" w:rsidRPr="007D5748" w:rsidRDefault="005C08DA" w:rsidP="00A4124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5C08DA" w:rsidRPr="007D5748" w14:paraId="5C2F91EC" w14:textId="77777777" w:rsidTr="00A4124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3A1BA" w14:textId="77777777" w:rsidR="005C08DA" w:rsidRPr="007D5748" w:rsidRDefault="005C08DA" w:rsidP="00A41246">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CC05847" w14:textId="77777777" w:rsidR="005C08DA" w:rsidRPr="007D5748" w:rsidRDefault="005C08DA" w:rsidP="00A41246">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A07715C" w14:textId="2EC79BBB" w:rsidR="005C08DA" w:rsidRPr="007D5748" w:rsidRDefault="005C08DA" w:rsidP="00A41246">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52 426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A94C0E5" w14:textId="77777777" w:rsidR="005C08DA" w:rsidRPr="007D5748" w:rsidRDefault="005C08DA" w:rsidP="00A41246">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7B8EF4D" w14:textId="77777777" w:rsidR="005C08DA" w:rsidRPr="007D5748" w:rsidRDefault="005C08DA" w:rsidP="00A41246">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CC13C35" w14:textId="77777777" w:rsidR="005C08DA" w:rsidRPr="007D5748" w:rsidRDefault="005C08DA" w:rsidP="00A4124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14:paraId="27FDEE51" w14:textId="77777777" w:rsidR="005C08DA" w:rsidRPr="007D5748" w:rsidRDefault="005C08DA" w:rsidP="005C08DA">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14:paraId="53AC5C43" w14:textId="77777777" w:rsidR="005C08DA" w:rsidRPr="007D5748" w:rsidRDefault="005C08DA" w:rsidP="005C08DA">
      <w:pPr>
        <w:tabs>
          <w:tab w:val="num" w:pos="1080"/>
        </w:tabs>
        <w:spacing w:after="0" w:line="240" w:lineRule="auto"/>
        <w:ind w:left="-900"/>
        <w:jc w:val="both"/>
        <w:rPr>
          <w:rFonts w:ascii="Times New Roman" w:hAnsi="Times New Roman"/>
          <w:bCs/>
          <w:sz w:val="24"/>
          <w:szCs w:val="20"/>
          <w:lang w:eastAsia="sk-SK"/>
        </w:rPr>
      </w:pPr>
    </w:p>
    <w:p w14:paraId="165C5115" w14:textId="77777777" w:rsidR="005C08DA" w:rsidRPr="007D5748" w:rsidRDefault="005C08DA" w:rsidP="005C08DA">
      <w:pPr>
        <w:tabs>
          <w:tab w:val="num" w:pos="1080"/>
        </w:tabs>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14:paraId="6E9F44D4" w14:textId="77777777" w:rsidR="005C08DA" w:rsidRPr="007D5748" w:rsidRDefault="005C08DA" w:rsidP="005C08DA">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14:paraId="6F206DAD" w14:textId="77777777" w:rsidR="005C08DA" w:rsidRPr="007D5748" w:rsidRDefault="005C08DA" w:rsidP="005C08DA">
      <w:pPr>
        <w:tabs>
          <w:tab w:val="num" w:pos="1080"/>
        </w:tabs>
        <w:spacing w:after="0" w:line="240" w:lineRule="auto"/>
        <w:ind w:left="-900"/>
        <w:jc w:val="both"/>
        <w:rPr>
          <w:rFonts w:ascii="Times New Roman" w:hAnsi="Times New Roman"/>
          <w:bCs/>
          <w:sz w:val="20"/>
          <w:szCs w:val="20"/>
          <w:lang w:eastAsia="sk-SK"/>
        </w:rPr>
      </w:pPr>
    </w:p>
    <w:p w14:paraId="61D7AF77" w14:textId="77777777" w:rsidR="00940F02" w:rsidRDefault="00940F02" w:rsidP="00940F02">
      <w:pPr>
        <w:tabs>
          <w:tab w:val="num" w:pos="1080"/>
        </w:tabs>
        <w:spacing w:after="0" w:line="240" w:lineRule="auto"/>
        <w:ind w:left="-900"/>
        <w:jc w:val="both"/>
        <w:rPr>
          <w:rFonts w:ascii="Times New Roman" w:hAnsi="Times New Roman"/>
          <w:bCs/>
          <w:sz w:val="20"/>
          <w:szCs w:val="20"/>
          <w:lang w:eastAsia="sk-SK"/>
        </w:rPr>
      </w:pPr>
    </w:p>
    <w:p w14:paraId="4A1C7F02" w14:textId="77777777" w:rsidR="005C08DA" w:rsidRDefault="005C08DA" w:rsidP="00940F02">
      <w:pPr>
        <w:tabs>
          <w:tab w:val="num" w:pos="1080"/>
        </w:tabs>
        <w:spacing w:after="0" w:line="240" w:lineRule="auto"/>
        <w:ind w:left="-900"/>
        <w:jc w:val="both"/>
        <w:rPr>
          <w:rFonts w:ascii="Times New Roman" w:hAnsi="Times New Roman"/>
          <w:bCs/>
          <w:sz w:val="20"/>
          <w:szCs w:val="20"/>
          <w:lang w:eastAsia="sk-SK"/>
        </w:rPr>
      </w:pPr>
    </w:p>
    <w:p w14:paraId="42413EA0" w14:textId="77777777" w:rsidR="005C08DA" w:rsidRDefault="005C08DA" w:rsidP="00940F02">
      <w:pPr>
        <w:tabs>
          <w:tab w:val="num" w:pos="1080"/>
        </w:tabs>
        <w:spacing w:after="0" w:line="240" w:lineRule="auto"/>
        <w:ind w:left="-900"/>
        <w:jc w:val="both"/>
        <w:rPr>
          <w:rFonts w:ascii="Times New Roman" w:hAnsi="Times New Roman"/>
          <w:bCs/>
          <w:sz w:val="20"/>
          <w:szCs w:val="20"/>
          <w:lang w:eastAsia="sk-SK"/>
        </w:rPr>
      </w:pPr>
    </w:p>
    <w:p w14:paraId="5C0C643A" w14:textId="77777777" w:rsidR="005C08DA" w:rsidRDefault="005C08DA" w:rsidP="00940F02">
      <w:pPr>
        <w:tabs>
          <w:tab w:val="num" w:pos="1080"/>
        </w:tabs>
        <w:spacing w:after="0" w:line="240" w:lineRule="auto"/>
        <w:ind w:left="-900"/>
        <w:jc w:val="both"/>
        <w:rPr>
          <w:rFonts w:ascii="Times New Roman" w:hAnsi="Times New Roman"/>
          <w:bCs/>
          <w:sz w:val="20"/>
          <w:szCs w:val="20"/>
          <w:lang w:eastAsia="sk-SK"/>
        </w:rPr>
      </w:pPr>
    </w:p>
    <w:p w14:paraId="626DF8AF" w14:textId="77777777" w:rsidR="005C08DA" w:rsidRDefault="005C08DA" w:rsidP="00940F02">
      <w:pPr>
        <w:tabs>
          <w:tab w:val="num" w:pos="1080"/>
        </w:tabs>
        <w:spacing w:after="0" w:line="240" w:lineRule="auto"/>
        <w:ind w:left="-900"/>
        <w:jc w:val="both"/>
        <w:rPr>
          <w:rFonts w:ascii="Times New Roman" w:hAnsi="Times New Roman"/>
          <w:bCs/>
          <w:sz w:val="20"/>
          <w:szCs w:val="20"/>
          <w:lang w:eastAsia="sk-SK"/>
        </w:rPr>
      </w:pPr>
    </w:p>
    <w:p w14:paraId="2FEA35D4" w14:textId="77777777" w:rsidR="005C08DA" w:rsidRDefault="005C08DA" w:rsidP="00940F02">
      <w:pPr>
        <w:tabs>
          <w:tab w:val="num" w:pos="1080"/>
        </w:tabs>
        <w:spacing w:after="0" w:line="240" w:lineRule="auto"/>
        <w:ind w:left="-900"/>
        <w:jc w:val="both"/>
        <w:rPr>
          <w:rFonts w:ascii="Times New Roman" w:hAnsi="Times New Roman"/>
          <w:bCs/>
          <w:sz w:val="20"/>
          <w:szCs w:val="20"/>
          <w:lang w:eastAsia="sk-SK"/>
        </w:rPr>
      </w:pPr>
    </w:p>
    <w:p w14:paraId="471FE134" w14:textId="77777777" w:rsidR="005C08DA" w:rsidRDefault="005C08DA" w:rsidP="00940F02">
      <w:pPr>
        <w:tabs>
          <w:tab w:val="num" w:pos="1080"/>
        </w:tabs>
        <w:spacing w:after="0" w:line="240" w:lineRule="auto"/>
        <w:ind w:left="-900"/>
        <w:jc w:val="both"/>
        <w:rPr>
          <w:rFonts w:ascii="Times New Roman" w:hAnsi="Times New Roman"/>
          <w:bCs/>
          <w:sz w:val="20"/>
          <w:szCs w:val="20"/>
          <w:lang w:eastAsia="sk-SK"/>
        </w:rPr>
      </w:pPr>
    </w:p>
    <w:p w14:paraId="2D0F63E7" w14:textId="77777777" w:rsidR="005C08DA" w:rsidRDefault="005C08DA" w:rsidP="00940F02">
      <w:pPr>
        <w:tabs>
          <w:tab w:val="num" w:pos="1080"/>
        </w:tabs>
        <w:spacing w:after="0" w:line="240" w:lineRule="auto"/>
        <w:ind w:left="-900"/>
        <w:jc w:val="both"/>
        <w:rPr>
          <w:rFonts w:ascii="Times New Roman" w:hAnsi="Times New Roman"/>
          <w:bCs/>
          <w:sz w:val="20"/>
          <w:szCs w:val="20"/>
          <w:lang w:eastAsia="sk-SK"/>
        </w:rPr>
      </w:pPr>
    </w:p>
    <w:p w14:paraId="427870DB" w14:textId="77777777" w:rsidR="005C08DA" w:rsidRDefault="005C08DA" w:rsidP="00940F02">
      <w:pPr>
        <w:tabs>
          <w:tab w:val="num" w:pos="1080"/>
        </w:tabs>
        <w:spacing w:after="0" w:line="240" w:lineRule="auto"/>
        <w:ind w:left="-900"/>
        <w:jc w:val="both"/>
        <w:rPr>
          <w:rFonts w:ascii="Times New Roman" w:hAnsi="Times New Roman"/>
          <w:bCs/>
          <w:sz w:val="20"/>
          <w:szCs w:val="20"/>
          <w:lang w:eastAsia="sk-SK"/>
        </w:rPr>
      </w:pPr>
    </w:p>
    <w:p w14:paraId="218E5688" w14:textId="77777777" w:rsidR="005C08DA" w:rsidRDefault="005C08DA" w:rsidP="00940F02">
      <w:pPr>
        <w:tabs>
          <w:tab w:val="num" w:pos="1080"/>
        </w:tabs>
        <w:spacing w:after="0" w:line="240" w:lineRule="auto"/>
        <w:ind w:left="-900"/>
        <w:jc w:val="both"/>
        <w:rPr>
          <w:rFonts w:ascii="Times New Roman" w:hAnsi="Times New Roman"/>
          <w:bCs/>
          <w:sz w:val="20"/>
          <w:szCs w:val="20"/>
          <w:lang w:eastAsia="sk-SK"/>
        </w:rPr>
      </w:pPr>
    </w:p>
    <w:p w14:paraId="6C9A5221" w14:textId="77777777" w:rsidR="005C08DA" w:rsidRDefault="005C08DA" w:rsidP="00940F02">
      <w:pPr>
        <w:tabs>
          <w:tab w:val="num" w:pos="1080"/>
        </w:tabs>
        <w:spacing w:after="0" w:line="240" w:lineRule="auto"/>
        <w:ind w:left="-900"/>
        <w:jc w:val="both"/>
        <w:rPr>
          <w:rFonts w:ascii="Times New Roman" w:hAnsi="Times New Roman"/>
          <w:bCs/>
          <w:sz w:val="20"/>
          <w:szCs w:val="20"/>
          <w:lang w:eastAsia="sk-SK"/>
        </w:rPr>
      </w:pPr>
    </w:p>
    <w:p w14:paraId="774DBB10" w14:textId="77777777" w:rsidR="005C08DA" w:rsidRDefault="005C08DA" w:rsidP="00940F02">
      <w:pPr>
        <w:tabs>
          <w:tab w:val="num" w:pos="1080"/>
        </w:tabs>
        <w:spacing w:after="0" w:line="240" w:lineRule="auto"/>
        <w:ind w:left="-900"/>
        <w:jc w:val="both"/>
        <w:rPr>
          <w:rFonts w:ascii="Times New Roman" w:hAnsi="Times New Roman"/>
          <w:bCs/>
          <w:sz w:val="20"/>
          <w:szCs w:val="20"/>
          <w:lang w:eastAsia="sk-SK"/>
        </w:rPr>
      </w:pPr>
    </w:p>
    <w:p w14:paraId="7C0E5769" w14:textId="77777777" w:rsidR="005C08DA" w:rsidRDefault="005C08DA" w:rsidP="00940F02">
      <w:pPr>
        <w:tabs>
          <w:tab w:val="num" w:pos="1080"/>
        </w:tabs>
        <w:spacing w:after="0" w:line="240" w:lineRule="auto"/>
        <w:ind w:left="-900"/>
        <w:jc w:val="both"/>
        <w:rPr>
          <w:rFonts w:ascii="Times New Roman" w:hAnsi="Times New Roman"/>
          <w:bCs/>
          <w:sz w:val="20"/>
          <w:szCs w:val="20"/>
          <w:lang w:eastAsia="sk-SK"/>
        </w:rPr>
      </w:pPr>
    </w:p>
    <w:p w14:paraId="4D3C4810" w14:textId="77777777" w:rsidR="005C08DA" w:rsidRPr="007D5748" w:rsidRDefault="005C08DA" w:rsidP="00940F02">
      <w:pPr>
        <w:tabs>
          <w:tab w:val="num" w:pos="1080"/>
        </w:tabs>
        <w:spacing w:after="0" w:line="240" w:lineRule="auto"/>
        <w:ind w:left="-900"/>
        <w:jc w:val="both"/>
        <w:rPr>
          <w:rFonts w:ascii="Times New Roman" w:hAnsi="Times New Roman"/>
          <w:bCs/>
          <w:sz w:val="20"/>
          <w:szCs w:val="20"/>
          <w:lang w:eastAsia="sk-SK"/>
        </w:rPr>
      </w:pPr>
    </w:p>
    <w:p w14:paraId="2A7352A1" w14:textId="77777777" w:rsidR="00940F02" w:rsidRPr="007D5748" w:rsidRDefault="00940F02" w:rsidP="00940F02">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                 Tabuľka č. 5 </w:t>
      </w:r>
    </w:p>
    <w:p w14:paraId="2535C1A2" w14:textId="77777777" w:rsidR="00940F02" w:rsidRPr="007D5748" w:rsidRDefault="00940F02" w:rsidP="00940F02">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375"/>
        <w:gridCol w:w="323"/>
        <w:gridCol w:w="1722"/>
        <w:gridCol w:w="630"/>
        <w:gridCol w:w="990"/>
      </w:tblGrid>
      <w:tr w:rsidR="00940F02" w:rsidRPr="007D5748" w14:paraId="491919FE" w14:textId="77777777" w:rsidTr="00237722">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5220D9"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5BC2D2C3"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C1C69F1" w14:textId="77777777" w:rsidR="00940F02" w:rsidRPr="007D5748" w:rsidRDefault="00940F02" w:rsidP="00237722">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8A49D7" w:rsidRPr="007D5748" w14:paraId="6CCCC011" w14:textId="77777777" w:rsidTr="00237722">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06FE23" w14:textId="77777777" w:rsidR="008A49D7" w:rsidRPr="007D5748" w:rsidRDefault="008A49D7" w:rsidP="008A49D7">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1E506EE4" w14:textId="01C70BEF" w:rsidR="008A49D7" w:rsidRPr="007D5748" w:rsidRDefault="008A49D7" w:rsidP="008A49D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themeFill="background1" w:themeFillShade="BF"/>
          </w:tcPr>
          <w:p w14:paraId="0EBAE311" w14:textId="562E3093" w:rsidR="008A49D7" w:rsidRPr="007D5748" w:rsidRDefault="008A49D7" w:rsidP="008A49D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2095" w:type="dxa"/>
            <w:gridSpan w:val="2"/>
            <w:tcBorders>
              <w:top w:val="nil"/>
              <w:left w:val="nil"/>
              <w:bottom w:val="single" w:sz="4" w:space="0" w:color="auto"/>
              <w:right w:val="single" w:sz="4" w:space="0" w:color="auto"/>
            </w:tcBorders>
            <w:shd w:val="clear" w:color="auto" w:fill="BFBFBF" w:themeFill="background1" w:themeFillShade="BF"/>
          </w:tcPr>
          <w:p w14:paraId="32A5CC88" w14:textId="3B0624BA" w:rsidR="008A49D7" w:rsidRPr="007D5748" w:rsidRDefault="008A49D7" w:rsidP="008A49D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2045" w:type="dxa"/>
            <w:gridSpan w:val="2"/>
            <w:tcBorders>
              <w:top w:val="nil"/>
              <w:left w:val="nil"/>
              <w:bottom w:val="single" w:sz="4" w:space="0" w:color="auto"/>
              <w:right w:val="single" w:sz="4" w:space="0" w:color="auto"/>
            </w:tcBorders>
            <w:shd w:val="clear" w:color="auto" w:fill="BFBFBF" w:themeFill="background1" w:themeFillShade="BF"/>
          </w:tcPr>
          <w:p w14:paraId="1DA45094" w14:textId="3F039AFE" w:rsidR="008A49D7" w:rsidRPr="007D5748" w:rsidRDefault="008A49D7" w:rsidP="008A49D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B40912" w14:textId="77777777" w:rsidR="008A49D7" w:rsidRPr="007D5748" w:rsidRDefault="008A49D7" w:rsidP="008A49D7">
            <w:pPr>
              <w:spacing w:after="0" w:line="240" w:lineRule="auto"/>
              <w:rPr>
                <w:rFonts w:ascii="Times New Roman" w:hAnsi="Times New Roman"/>
                <w:b/>
                <w:bCs/>
                <w:color w:val="FFFFFF"/>
                <w:sz w:val="24"/>
                <w:szCs w:val="24"/>
                <w:lang w:eastAsia="sk-SK"/>
              </w:rPr>
            </w:pPr>
          </w:p>
        </w:tc>
      </w:tr>
      <w:tr w:rsidR="00940F02" w:rsidRPr="007D5748" w14:paraId="421B8308" w14:textId="77777777" w:rsidTr="00237722">
        <w:trPr>
          <w:trHeight w:val="255"/>
        </w:trPr>
        <w:tc>
          <w:tcPr>
            <w:tcW w:w="6188" w:type="dxa"/>
            <w:tcBorders>
              <w:top w:val="nil"/>
              <w:left w:val="single" w:sz="4" w:space="0" w:color="auto"/>
              <w:bottom w:val="single" w:sz="4" w:space="0" w:color="auto"/>
              <w:right w:val="single" w:sz="4" w:space="0" w:color="auto"/>
            </w:tcBorders>
          </w:tcPr>
          <w:p w14:paraId="05F145CA"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140F025E"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14:paraId="1EDA9B87"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14:paraId="438D598B"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14:paraId="20B0F89F"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620" w:type="dxa"/>
            <w:gridSpan w:val="2"/>
            <w:vMerge w:val="restart"/>
            <w:tcBorders>
              <w:top w:val="nil"/>
              <w:left w:val="nil"/>
              <w:right w:val="single" w:sz="4" w:space="0" w:color="auto"/>
            </w:tcBorders>
            <w:noWrap/>
          </w:tcPr>
          <w:p w14:paraId="403EBE68" w14:textId="77777777" w:rsidR="00940F02" w:rsidRPr="007850C0" w:rsidRDefault="00940F02" w:rsidP="00237722">
            <w:pPr>
              <w:spacing w:after="0" w:line="240" w:lineRule="auto"/>
              <w:rPr>
                <w:rFonts w:ascii="Times New Roman" w:hAnsi="Times New Roman"/>
                <w:sz w:val="20"/>
                <w:szCs w:val="20"/>
                <w:lang w:eastAsia="sk-SK"/>
              </w:rPr>
            </w:pPr>
          </w:p>
        </w:tc>
      </w:tr>
      <w:tr w:rsidR="00940F02" w:rsidRPr="007D5748" w14:paraId="053F1DE4" w14:textId="77777777" w:rsidTr="00237722">
        <w:trPr>
          <w:trHeight w:val="255"/>
        </w:trPr>
        <w:tc>
          <w:tcPr>
            <w:tcW w:w="6188" w:type="dxa"/>
            <w:tcBorders>
              <w:top w:val="nil"/>
              <w:left w:val="single" w:sz="4" w:space="0" w:color="auto"/>
              <w:bottom w:val="single" w:sz="4" w:space="0" w:color="auto"/>
              <w:right w:val="single" w:sz="4" w:space="0" w:color="auto"/>
            </w:tcBorders>
          </w:tcPr>
          <w:p w14:paraId="347EAF49"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B175424"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4903D400"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95" w:type="dxa"/>
            <w:gridSpan w:val="2"/>
            <w:tcBorders>
              <w:top w:val="single" w:sz="4" w:space="0" w:color="auto"/>
              <w:left w:val="nil"/>
              <w:bottom w:val="single" w:sz="4" w:space="0" w:color="auto"/>
              <w:right w:val="single" w:sz="4" w:space="0" w:color="auto"/>
            </w:tcBorders>
          </w:tcPr>
          <w:p w14:paraId="32E8E5A2"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45" w:type="dxa"/>
            <w:gridSpan w:val="2"/>
            <w:tcBorders>
              <w:top w:val="single" w:sz="4" w:space="0" w:color="auto"/>
              <w:left w:val="nil"/>
              <w:bottom w:val="single" w:sz="4" w:space="0" w:color="auto"/>
              <w:right w:val="single" w:sz="4" w:space="0" w:color="auto"/>
            </w:tcBorders>
          </w:tcPr>
          <w:p w14:paraId="2BBE4554"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620" w:type="dxa"/>
            <w:gridSpan w:val="2"/>
            <w:vMerge/>
            <w:tcBorders>
              <w:left w:val="nil"/>
              <w:right w:val="single" w:sz="4" w:space="0" w:color="auto"/>
            </w:tcBorders>
            <w:noWrap/>
            <w:vAlign w:val="bottom"/>
          </w:tcPr>
          <w:p w14:paraId="3D767A50" w14:textId="77777777" w:rsidR="00940F02" w:rsidRPr="007D5748" w:rsidRDefault="00940F02" w:rsidP="00237722">
            <w:pPr>
              <w:spacing w:after="0" w:line="240" w:lineRule="auto"/>
              <w:rPr>
                <w:rFonts w:ascii="Times New Roman" w:hAnsi="Times New Roman"/>
                <w:sz w:val="24"/>
                <w:szCs w:val="24"/>
                <w:lang w:eastAsia="sk-SK"/>
              </w:rPr>
            </w:pPr>
          </w:p>
        </w:tc>
      </w:tr>
      <w:tr w:rsidR="00940F02" w:rsidRPr="007D5748" w14:paraId="1E3D85D0" w14:textId="77777777" w:rsidTr="00237722">
        <w:trPr>
          <w:trHeight w:val="255"/>
        </w:trPr>
        <w:tc>
          <w:tcPr>
            <w:tcW w:w="6188" w:type="dxa"/>
            <w:tcBorders>
              <w:top w:val="nil"/>
              <w:left w:val="single" w:sz="4" w:space="0" w:color="auto"/>
              <w:bottom w:val="single" w:sz="4" w:space="0" w:color="auto"/>
              <w:right w:val="single" w:sz="4" w:space="0" w:color="auto"/>
            </w:tcBorders>
          </w:tcPr>
          <w:p w14:paraId="616A6A99"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4A886751"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6DF0724D"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95" w:type="dxa"/>
            <w:gridSpan w:val="2"/>
            <w:tcBorders>
              <w:top w:val="single" w:sz="4" w:space="0" w:color="auto"/>
              <w:left w:val="nil"/>
              <w:bottom w:val="single" w:sz="4" w:space="0" w:color="auto"/>
              <w:right w:val="single" w:sz="4" w:space="0" w:color="auto"/>
            </w:tcBorders>
          </w:tcPr>
          <w:p w14:paraId="3C5DF90C"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45" w:type="dxa"/>
            <w:gridSpan w:val="2"/>
            <w:tcBorders>
              <w:top w:val="single" w:sz="4" w:space="0" w:color="auto"/>
              <w:left w:val="nil"/>
              <w:bottom w:val="single" w:sz="4" w:space="0" w:color="auto"/>
              <w:right w:val="single" w:sz="4" w:space="0" w:color="auto"/>
            </w:tcBorders>
          </w:tcPr>
          <w:p w14:paraId="7C280B9C"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620" w:type="dxa"/>
            <w:gridSpan w:val="2"/>
            <w:vMerge/>
            <w:tcBorders>
              <w:left w:val="nil"/>
              <w:right w:val="single" w:sz="4" w:space="0" w:color="auto"/>
            </w:tcBorders>
            <w:noWrap/>
            <w:vAlign w:val="bottom"/>
          </w:tcPr>
          <w:p w14:paraId="2752601A" w14:textId="77777777" w:rsidR="00940F02" w:rsidRPr="007D5748" w:rsidRDefault="00940F02" w:rsidP="00237722">
            <w:pPr>
              <w:spacing w:after="0" w:line="240" w:lineRule="auto"/>
              <w:rPr>
                <w:rFonts w:ascii="Times New Roman" w:hAnsi="Times New Roman"/>
                <w:sz w:val="24"/>
                <w:szCs w:val="24"/>
                <w:lang w:eastAsia="sk-SK"/>
              </w:rPr>
            </w:pPr>
          </w:p>
        </w:tc>
      </w:tr>
      <w:tr w:rsidR="00940F02" w:rsidRPr="007D5748" w14:paraId="7DD41B89" w14:textId="77777777" w:rsidTr="00237722">
        <w:trPr>
          <w:trHeight w:val="255"/>
        </w:trPr>
        <w:tc>
          <w:tcPr>
            <w:tcW w:w="6188" w:type="dxa"/>
            <w:tcBorders>
              <w:top w:val="nil"/>
              <w:left w:val="single" w:sz="4" w:space="0" w:color="auto"/>
              <w:bottom w:val="single" w:sz="4" w:space="0" w:color="auto"/>
              <w:right w:val="single" w:sz="4" w:space="0" w:color="auto"/>
            </w:tcBorders>
          </w:tcPr>
          <w:p w14:paraId="3943312A"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1C1DF5D" w14:textId="77777777" w:rsidR="00940F02" w:rsidRPr="006D6CE9" w:rsidRDefault="00940F02" w:rsidP="00237722">
            <w:pPr>
              <w:spacing w:after="0" w:line="240" w:lineRule="auto"/>
              <w:jc w:val="center"/>
              <w:rPr>
                <w:rFonts w:ascii="Times New Roman" w:hAnsi="Times New Roman"/>
                <w:b/>
                <w:sz w:val="24"/>
                <w:szCs w:val="24"/>
                <w:lang w:eastAsia="sk-SK"/>
              </w:rPr>
            </w:pPr>
          </w:p>
        </w:tc>
        <w:tc>
          <w:tcPr>
            <w:tcW w:w="1788" w:type="dxa"/>
            <w:tcBorders>
              <w:top w:val="single" w:sz="4" w:space="0" w:color="auto"/>
              <w:left w:val="nil"/>
              <w:bottom w:val="single" w:sz="4" w:space="0" w:color="auto"/>
              <w:right w:val="single" w:sz="4" w:space="0" w:color="auto"/>
            </w:tcBorders>
          </w:tcPr>
          <w:p w14:paraId="65A2DB15" w14:textId="77777777" w:rsidR="00940F02" w:rsidRPr="006D6CE9" w:rsidRDefault="00940F02" w:rsidP="00237722">
            <w:pPr>
              <w:spacing w:after="0" w:line="240" w:lineRule="auto"/>
              <w:jc w:val="center"/>
              <w:rPr>
                <w:rFonts w:ascii="Times New Roman" w:hAnsi="Times New Roman"/>
                <w:b/>
                <w:sz w:val="24"/>
                <w:szCs w:val="24"/>
                <w:lang w:eastAsia="sk-SK"/>
              </w:rPr>
            </w:pPr>
          </w:p>
        </w:tc>
        <w:tc>
          <w:tcPr>
            <w:tcW w:w="2095" w:type="dxa"/>
            <w:gridSpan w:val="2"/>
            <w:tcBorders>
              <w:top w:val="single" w:sz="4" w:space="0" w:color="auto"/>
              <w:left w:val="nil"/>
              <w:bottom w:val="single" w:sz="4" w:space="0" w:color="auto"/>
              <w:right w:val="single" w:sz="4" w:space="0" w:color="auto"/>
            </w:tcBorders>
          </w:tcPr>
          <w:p w14:paraId="33BBAED7" w14:textId="77777777" w:rsidR="00940F02" w:rsidRPr="006D6CE9" w:rsidRDefault="00940F02" w:rsidP="00237722">
            <w:pPr>
              <w:spacing w:after="0" w:line="240" w:lineRule="auto"/>
              <w:jc w:val="center"/>
              <w:rPr>
                <w:rFonts w:ascii="Times New Roman" w:hAnsi="Times New Roman"/>
                <w:b/>
                <w:sz w:val="24"/>
                <w:szCs w:val="24"/>
                <w:lang w:eastAsia="sk-SK"/>
              </w:rPr>
            </w:pPr>
          </w:p>
        </w:tc>
        <w:tc>
          <w:tcPr>
            <w:tcW w:w="2045" w:type="dxa"/>
            <w:gridSpan w:val="2"/>
            <w:tcBorders>
              <w:top w:val="single" w:sz="4" w:space="0" w:color="auto"/>
              <w:left w:val="nil"/>
              <w:bottom w:val="single" w:sz="4" w:space="0" w:color="auto"/>
              <w:right w:val="single" w:sz="4" w:space="0" w:color="auto"/>
            </w:tcBorders>
          </w:tcPr>
          <w:p w14:paraId="422F2B66" w14:textId="77777777" w:rsidR="00940F02" w:rsidRPr="006D6CE9" w:rsidRDefault="00940F02" w:rsidP="00237722">
            <w:pPr>
              <w:spacing w:after="0" w:line="240" w:lineRule="auto"/>
              <w:jc w:val="center"/>
              <w:rPr>
                <w:rFonts w:ascii="Times New Roman" w:hAnsi="Times New Roman"/>
                <w:b/>
                <w:sz w:val="24"/>
                <w:szCs w:val="24"/>
                <w:lang w:eastAsia="sk-SK"/>
              </w:rPr>
            </w:pPr>
          </w:p>
        </w:tc>
        <w:tc>
          <w:tcPr>
            <w:tcW w:w="1620" w:type="dxa"/>
            <w:gridSpan w:val="2"/>
            <w:vMerge/>
            <w:tcBorders>
              <w:left w:val="nil"/>
              <w:bottom w:val="single" w:sz="4" w:space="0" w:color="auto"/>
              <w:right w:val="single" w:sz="4" w:space="0" w:color="auto"/>
            </w:tcBorders>
            <w:noWrap/>
            <w:vAlign w:val="bottom"/>
          </w:tcPr>
          <w:p w14:paraId="26A0B1DC" w14:textId="77777777" w:rsidR="00940F02" w:rsidRPr="007D5748" w:rsidRDefault="00940F02" w:rsidP="00237722">
            <w:pPr>
              <w:spacing w:after="0" w:line="240" w:lineRule="auto"/>
              <w:rPr>
                <w:rFonts w:ascii="Times New Roman" w:hAnsi="Times New Roman"/>
                <w:sz w:val="24"/>
                <w:szCs w:val="24"/>
                <w:lang w:eastAsia="sk-SK"/>
              </w:rPr>
            </w:pPr>
          </w:p>
        </w:tc>
      </w:tr>
      <w:tr w:rsidR="00940F02" w:rsidRPr="007D5748" w14:paraId="5FF821E9" w14:textId="77777777" w:rsidTr="00237722">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4D315612"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78BFE1C1"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shd w:val="clear" w:color="auto" w:fill="BFBFBF" w:themeFill="background1" w:themeFillShade="BF"/>
          </w:tcPr>
          <w:p w14:paraId="7444948F"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shd w:val="clear" w:color="auto" w:fill="BFBFBF" w:themeFill="background1" w:themeFillShade="BF"/>
          </w:tcPr>
          <w:p w14:paraId="06041E13"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shd w:val="clear" w:color="auto" w:fill="BFBFBF" w:themeFill="background1" w:themeFillShade="BF"/>
          </w:tcPr>
          <w:p w14:paraId="67027692"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648BBDAA"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940F02" w:rsidRPr="007D5748" w14:paraId="123980AA" w14:textId="77777777" w:rsidTr="00237722">
        <w:trPr>
          <w:trHeight w:val="255"/>
        </w:trPr>
        <w:tc>
          <w:tcPr>
            <w:tcW w:w="6188" w:type="dxa"/>
            <w:tcBorders>
              <w:top w:val="nil"/>
              <w:left w:val="single" w:sz="4" w:space="0" w:color="auto"/>
              <w:bottom w:val="single" w:sz="4" w:space="0" w:color="auto"/>
              <w:right w:val="single" w:sz="4" w:space="0" w:color="auto"/>
            </w:tcBorders>
          </w:tcPr>
          <w:p w14:paraId="4D39CAD9"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3D27D38E"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14:paraId="3BEBB791"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14:paraId="5CEE0C5E"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14:paraId="335D520F"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E21D01C"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940F02" w:rsidRPr="007D5748" w14:paraId="16F559B9" w14:textId="77777777" w:rsidTr="00237722">
        <w:trPr>
          <w:trHeight w:val="255"/>
        </w:trPr>
        <w:tc>
          <w:tcPr>
            <w:tcW w:w="6188" w:type="dxa"/>
            <w:tcBorders>
              <w:top w:val="nil"/>
              <w:left w:val="single" w:sz="4" w:space="0" w:color="auto"/>
              <w:bottom w:val="single" w:sz="4" w:space="0" w:color="auto"/>
              <w:right w:val="single" w:sz="4" w:space="0" w:color="auto"/>
            </w:tcBorders>
          </w:tcPr>
          <w:p w14:paraId="4309BFF7"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68164823"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14:paraId="39DA45A6"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14:paraId="05AED078"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14:paraId="1E8032EF"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72EBC2A"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0C5E6B74" w14:textId="77777777" w:rsidTr="00237722">
        <w:trPr>
          <w:trHeight w:val="255"/>
        </w:trPr>
        <w:tc>
          <w:tcPr>
            <w:tcW w:w="6188" w:type="dxa"/>
            <w:tcBorders>
              <w:top w:val="nil"/>
              <w:left w:val="single" w:sz="4" w:space="0" w:color="auto"/>
              <w:bottom w:val="single" w:sz="4" w:space="0" w:color="auto"/>
              <w:right w:val="single" w:sz="4" w:space="0" w:color="auto"/>
            </w:tcBorders>
          </w:tcPr>
          <w:p w14:paraId="5D7FC61A"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09DFC09F"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14:paraId="67ED39D3"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14:paraId="12D037FC"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14:paraId="59007A57"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2623380"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940F02" w:rsidRPr="007D5748" w14:paraId="3E843926" w14:textId="77777777" w:rsidTr="00237722">
        <w:trPr>
          <w:trHeight w:val="255"/>
        </w:trPr>
        <w:tc>
          <w:tcPr>
            <w:tcW w:w="6188" w:type="dxa"/>
            <w:tcBorders>
              <w:top w:val="nil"/>
              <w:left w:val="single" w:sz="4" w:space="0" w:color="auto"/>
              <w:bottom w:val="single" w:sz="4" w:space="0" w:color="auto"/>
              <w:right w:val="single" w:sz="4" w:space="0" w:color="auto"/>
            </w:tcBorders>
          </w:tcPr>
          <w:p w14:paraId="1D4CEC3B"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2B0F488D"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14:paraId="045F0B80"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14:paraId="4D48E728"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14:paraId="00D8CDD4" w14:textId="77777777" w:rsidR="00940F02" w:rsidRPr="006D6CE9" w:rsidRDefault="00940F02" w:rsidP="0023772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85CE32F"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40F02" w:rsidRPr="007D5748" w14:paraId="61C9E7BD" w14:textId="77777777" w:rsidTr="00237722">
        <w:trPr>
          <w:trHeight w:val="255"/>
        </w:trPr>
        <w:tc>
          <w:tcPr>
            <w:tcW w:w="6188" w:type="dxa"/>
            <w:tcBorders>
              <w:top w:val="nil"/>
              <w:left w:val="nil"/>
              <w:bottom w:val="nil"/>
              <w:right w:val="nil"/>
            </w:tcBorders>
            <w:noWrap/>
            <w:vAlign w:val="bottom"/>
          </w:tcPr>
          <w:p w14:paraId="71913930" w14:textId="77777777" w:rsidR="00940F02" w:rsidRPr="007D5748" w:rsidRDefault="00940F02" w:rsidP="00237722">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14:paraId="6B4BC871" w14:textId="77777777" w:rsidR="00940F02" w:rsidRPr="007D5748" w:rsidRDefault="00940F02" w:rsidP="00237722">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14:paraId="5555875E" w14:textId="77777777" w:rsidR="00940F02" w:rsidRPr="007D5748" w:rsidRDefault="00940F02" w:rsidP="00237722">
            <w:pPr>
              <w:spacing w:after="0" w:line="240" w:lineRule="auto"/>
              <w:rPr>
                <w:rFonts w:ascii="Times New Roman" w:hAnsi="Times New Roman"/>
                <w:sz w:val="24"/>
                <w:szCs w:val="24"/>
                <w:lang w:eastAsia="sk-SK"/>
              </w:rPr>
            </w:pPr>
          </w:p>
        </w:tc>
        <w:tc>
          <w:tcPr>
            <w:tcW w:w="2095" w:type="dxa"/>
            <w:gridSpan w:val="2"/>
            <w:tcBorders>
              <w:top w:val="nil"/>
              <w:left w:val="nil"/>
              <w:bottom w:val="nil"/>
              <w:right w:val="nil"/>
            </w:tcBorders>
            <w:noWrap/>
            <w:vAlign w:val="bottom"/>
          </w:tcPr>
          <w:p w14:paraId="4D3705C7" w14:textId="77777777" w:rsidR="00940F02" w:rsidRPr="007D5748" w:rsidRDefault="00940F02" w:rsidP="00237722">
            <w:pPr>
              <w:spacing w:after="0" w:line="240" w:lineRule="auto"/>
              <w:rPr>
                <w:rFonts w:ascii="Times New Roman" w:hAnsi="Times New Roman"/>
                <w:sz w:val="24"/>
                <w:szCs w:val="24"/>
                <w:lang w:eastAsia="sk-SK"/>
              </w:rPr>
            </w:pPr>
          </w:p>
        </w:tc>
        <w:tc>
          <w:tcPr>
            <w:tcW w:w="2045" w:type="dxa"/>
            <w:gridSpan w:val="2"/>
            <w:tcBorders>
              <w:top w:val="nil"/>
              <w:left w:val="nil"/>
              <w:bottom w:val="nil"/>
              <w:right w:val="nil"/>
            </w:tcBorders>
            <w:noWrap/>
            <w:vAlign w:val="bottom"/>
          </w:tcPr>
          <w:p w14:paraId="52E57AF5" w14:textId="77777777" w:rsidR="00940F02" w:rsidRPr="007D5748" w:rsidRDefault="00940F02" w:rsidP="00237722">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14:paraId="48AAF6C6" w14:textId="77777777" w:rsidR="00940F02" w:rsidRPr="007D5748" w:rsidRDefault="00940F02" w:rsidP="00237722">
            <w:pPr>
              <w:spacing w:after="0" w:line="240" w:lineRule="auto"/>
              <w:rPr>
                <w:rFonts w:ascii="Times New Roman" w:hAnsi="Times New Roman"/>
                <w:sz w:val="24"/>
                <w:szCs w:val="24"/>
                <w:lang w:eastAsia="sk-SK"/>
              </w:rPr>
            </w:pPr>
          </w:p>
        </w:tc>
      </w:tr>
      <w:tr w:rsidR="00940F02" w:rsidRPr="007D5748" w14:paraId="268874A4" w14:textId="77777777" w:rsidTr="00237722">
        <w:trPr>
          <w:trHeight w:val="255"/>
        </w:trPr>
        <w:tc>
          <w:tcPr>
            <w:tcW w:w="6188" w:type="dxa"/>
            <w:tcBorders>
              <w:top w:val="nil"/>
              <w:left w:val="nil"/>
              <w:bottom w:val="nil"/>
              <w:right w:val="nil"/>
            </w:tcBorders>
          </w:tcPr>
          <w:p w14:paraId="19CC2763" w14:textId="77777777" w:rsidR="00940F02" w:rsidRPr="007D5748" w:rsidRDefault="00940F02" w:rsidP="00237722">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14:paraId="480FBFC1" w14:textId="77777777" w:rsidR="00940F02" w:rsidRPr="007D5748" w:rsidRDefault="00940F02" w:rsidP="00237722">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14:paraId="1F3C3132" w14:textId="77777777" w:rsidR="00940F02" w:rsidRPr="007D5748" w:rsidRDefault="00940F02" w:rsidP="00237722">
            <w:pPr>
              <w:spacing w:after="0" w:line="240" w:lineRule="auto"/>
              <w:rPr>
                <w:rFonts w:ascii="Times New Roman" w:hAnsi="Times New Roman"/>
                <w:sz w:val="24"/>
                <w:szCs w:val="24"/>
                <w:lang w:eastAsia="sk-SK"/>
              </w:rPr>
            </w:pPr>
          </w:p>
        </w:tc>
        <w:tc>
          <w:tcPr>
            <w:tcW w:w="2095" w:type="dxa"/>
            <w:gridSpan w:val="2"/>
            <w:tcBorders>
              <w:top w:val="nil"/>
              <w:left w:val="nil"/>
              <w:bottom w:val="nil"/>
              <w:right w:val="nil"/>
            </w:tcBorders>
            <w:noWrap/>
            <w:vAlign w:val="bottom"/>
          </w:tcPr>
          <w:p w14:paraId="63381C16" w14:textId="77777777" w:rsidR="00940F02" w:rsidRPr="007D5748" w:rsidRDefault="00940F02" w:rsidP="00237722">
            <w:pPr>
              <w:spacing w:after="0" w:line="240" w:lineRule="auto"/>
              <w:rPr>
                <w:rFonts w:ascii="Times New Roman" w:hAnsi="Times New Roman"/>
                <w:sz w:val="24"/>
                <w:szCs w:val="24"/>
                <w:lang w:eastAsia="sk-SK"/>
              </w:rPr>
            </w:pPr>
          </w:p>
        </w:tc>
        <w:tc>
          <w:tcPr>
            <w:tcW w:w="2045" w:type="dxa"/>
            <w:gridSpan w:val="2"/>
            <w:tcBorders>
              <w:top w:val="nil"/>
              <w:left w:val="nil"/>
              <w:bottom w:val="nil"/>
              <w:right w:val="nil"/>
            </w:tcBorders>
            <w:noWrap/>
            <w:vAlign w:val="bottom"/>
          </w:tcPr>
          <w:p w14:paraId="7A9A586C" w14:textId="77777777" w:rsidR="00940F02" w:rsidRPr="007D5748" w:rsidRDefault="00940F02" w:rsidP="00237722">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14:paraId="0E3F1EAC" w14:textId="77777777" w:rsidR="00940F02" w:rsidRPr="007D5748" w:rsidRDefault="00940F02" w:rsidP="00237722">
            <w:pPr>
              <w:spacing w:after="0" w:line="240" w:lineRule="auto"/>
              <w:rPr>
                <w:rFonts w:ascii="Times New Roman" w:hAnsi="Times New Roman"/>
                <w:sz w:val="24"/>
                <w:szCs w:val="24"/>
                <w:lang w:eastAsia="sk-SK"/>
              </w:rPr>
            </w:pPr>
          </w:p>
        </w:tc>
      </w:tr>
      <w:tr w:rsidR="00940F02" w:rsidRPr="007D5748" w14:paraId="236ED261" w14:textId="77777777" w:rsidTr="00237722">
        <w:trPr>
          <w:trHeight w:val="255"/>
        </w:trPr>
        <w:tc>
          <w:tcPr>
            <w:tcW w:w="13814" w:type="dxa"/>
            <w:gridSpan w:val="7"/>
            <w:tcBorders>
              <w:top w:val="nil"/>
              <w:left w:val="nil"/>
              <w:bottom w:val="nil"/>
              <w:right w:val="nil"/>
            </w:tcBorders>
            <w:noWrap/>
          </w:tcPr>
          <w:p w14:paraId="5BEF8E58" w14:textId="77777777" w:rsidR="00940F02" w:rsidRPr="007D5748" w:rsidRDefault="00940F02" w:rsidP="00237722">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1034ACD9"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4FD7C35E" w14:textId="77777777" w:rsidR="00940F02" w:rsidRPr="007D5748" w:rsidRDefault="00940F02" w:rsidP="00237722">
            <w:pPr>
              <w:spacing w:after="0" w:line="240" w:lineRule="auto"/>
              <w:rPr>
                <w:rFonts w:ascii="Times New Roman" w:hAnsi="Times New Roman"/>
                <w:sz w:val="24"/>
                <w:szCs w:val="24"/>
                <w:lang w:eastAsia="sk-SK"/>
              </w:rPr>
            </w:pPr>
          </w:p>
        </w:tc>
      </w:tr>
      <w:tr w:rsidR="00940F02" w:rsidRPr="007D5748" w14:paraId="6D001CE5" w14:textId="77777777" w:rsidTr="00237722">
        <w:trPr>
          <w:trHeight w:val="255"/>
        </w:trPr>
        <w:tc>
          <w:tcPr>
            <w:tcW w:w="10394" w:type="dxa"/>
            <w:gridSpan w:val="4"/>
            <w:tcBorders>
              <w:top w:val="nil"/>
              <w:left w:val="nil"/>
              <w:bottom w:val="nil"/>
              <w:right w:val="nil"/>
            </w:tcBorders>
            <w:noWrap/>
            <w:vAlign w:val="bottom"/>
          </w:tcPr>
          <w:p w14:paraId="6D8995EC" w14:textId="77777777" w:rsidR="00940F02" w:rsidRPr="007D5748" w:rsidRDefault="00940F02" w:rsidP="0023772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tc>
        <w:tc>
          <w:tcPr>
            <w:tcW w:w="1698" w:type="dxa"/>
            <w:gridSpan w:val="2"/>
            <w:tcBorders>
              <w:top w:val="nil"/>
              <w:left w:val="nil"/>
              <w:bottom w:val="nil"/>
              <w:right w:val="nil"/>
            </w:tcBorders>
            <w:noWrap/>
            <w:vAlign w:val="bottom"/>
          </w:tcPr>
          <w:p w14:paraId="524971E6" w14:textId="77777777" w:rsidR="00940F02" w:rsidRPr="007D5748" w:rsidRDefault="00940F02" w:rsidP="00237722">
            <w:pPr>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14:paraId="66A3656F" w14:textId="77777777" w:rsidR="00940F02" w:rsidRPr="007D5748" w:rsidRDefault="00940F02" w:rsidP="00237722">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14:paraId="25774E35" w14:textId="77777777" w:rsidR="00940F02" w:rsidRPr="007D5748" w:rsidRDefault="00940F02" w:rsidP="00237722">
            <w:pPr>
              <w:spacing w:after="0" w:line="240" w:lineRule="auto"/>
              <w:rPr>
                <w:rFonts w:ascii="Times New Roman" w:hAnsi="Times New Roman"/>
                <w:sz w:val="24"/>
                <w:szCs w:val="24"/>
                <w:lang w:eastAsia="sk-SK"/>
              </w:rPr>
            </w:pPr>
          </w:p>
        </w:tc>
      </w:tr>
    </w:tbl>
    <w:p w14:paraId="38616EA2" w14:textId="77777777" w:rsidR="00940F02" w:rsidRPr="005D5D87" w:rsidRDefault="00940F02" w:rsidP="00940F02">
      <w:pPr>
        <w:spacing w:after="0" w:line="240" w:lineRule="auto"/>
        <w:jc w:val="center"/>
      </w:pPr>
    </w:p>
    <w:p w14:paraId="0CDE16FE" w14:textId="77777777" w:rsidR="000029B8" w:rsidRDefault="000029B8"/>
    <w:sectPr w:rsidR="000029B8" w:rsidSect="0023772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4A2AA" w14:textId="77777777" w:rsidR="00F3536D" w:rsidRDefault="00F3536D">
      <w:pPr>
        <w:spacing w:after="0" w:line="240" w:lineRule="auto"/>
      </w:pPr>
      <w:r>
        <w:separator/>
      </w:r>
    </w:p>
  </w:endnote>
  <w:endnote w:type="continuationSeparator" w:id="0">
    <w:p w14:paraId="44A13548" w14:textId="77777777" w:rsidR="00F3536D" w:rsidRDefault="00F3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EFF6" w14:textId="77777777" w:rsidR="00A7701E" w:rsidRDefault="00A7701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928705B" w14:textId="77777777" w:rsidR="00A7701E" w:rsidRDefault="00A7701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7D35" w14:textId="4DE532D8" w:rsidR="00A7701E" w:rsidRDefault="00A7701E">
    <w:pPr>
      <w:pStyle w:val="Pta"/>
      <w:jc w:val="right"/>
    </w:pPr>
    <w:r>
      <w:fldChar w:fldCharType="begin"/>
    </w:r>
    <w:r>
      <w:instrText>PAGE   \* MERGEFORMAT</w:instrText>
    </w:r>
    <w:r>
      <w:fldChar w:fldCharType="separate"/>
    </w:r>
    <w:r w:rsidR="003F489D">
      <w:rPr>
        <w:noProof/>
      </w:rPr>
      <w:t>9</w:t>
    </w:r>
    <w:r>
      <w:fldChar w:fldCharType="end"/>
    </w:r>
  </w:p>
  <w:p w14:paraId="63C840AE" w14:textId="77777777" w:rsidR="00A7701E" w:rsidRDefault="00A7701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9D448" w14:textId="77777777" w:rsidR="00A7701E" w:rsidRDefault="00A7701E">
    <w:pPr>
      <w:pStyle w:val="Pta"/>
      <w:jc w:val="right"/>
    </w:pPr>
    <w:r>
      <w:fldChar w:fldCharType="begin"/>
    </w:r>
    <w:r>
      <w:instrText>PAGE   \* MERGEFORMAT</w:instrText>
    </w:r>
    <w:r>
      <w:fldChar w:fldCharType="separate"/>
    </w:r>
    <w:r>
      <w:rPr>
        <w:noProof/>
      </w:rPr>
      <w:t>0</w:t>
    </w:r>
    <w:r>
      <w:fldChar w:fldCharType="end"/>
    </w:r>
  </w:p>
  <w:p w14:paraId="4761B795" w14:textId="77777777" w:rsidR="00A7701E" w:rsidRDefault="00A7701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F9242" w14:textId="77777777" w:rsidR="00F3536D" w:rsidRDefault="00F3536D">
      <w:pPr>
        <w:spacing w:after="0" w:line="240" w:lineRule="auto"/>
      </w:pPr>
      <w:r>
        <w:separator/>
      </w:r>
    </w:p>
  </w:footnote>
  <w:footnote w:type="continuationSeparator" w:id="0">
    <w:p w14:paraId="494CE0B0" w14:textId="77777777" w:rsidR="00F3536D" w:rsidRDefault="00F35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9AE4" w14:textId="77777777" w:rsidR="00A7701E" w:rsidRDefault="00A7701E" w:rsidP="00237722">
    <w:pPr>
      <w:pStyle w:val="Hlavika"/>
      <w:jc w:val="right"/>
      <w:rPr>
        <w:sz w:val="24"/>
        <w:szCs w:val="24"/>
      </w:rPr>
    </w:pPr>
    <w:r>
      <w:rPr>
        <w:sz w:val="24"/>
        <w:szCs w:val="24"/>
      </w:rPr>
      <w:t>Príloha č. 2</w:t>
    </w:r>
  </w:p>
  <w:p w14:paraId="59870773" w14:textId="77777777" w:rsidR="00A7701E" w:rsidRPr="00EB59C8" w:rsidRDefault="00A7701E" w:rsidP="00237722">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A95A" w14:textId="77777777" w:rsidR="00A7701E" w:rsidRPr="000A15AE" w:rsidRDefault="00A7701E" w:rsidP="00237722">
    <w:pPr>
      <w:pStyle w:val="Hlavika"/>
      <w:jc w:val="right"/>
      <w:rPr>
        <w:sz w:val="24"/>
        <w:szCs w:val="24"/>
      </w:rPr>
    </w:pPr>
    <w:r>
      <w:rPr>
        <w:sz w:val="24"/>
        <w:szCs w:val="24"/>
      </w:rPr>
      <w:t>Príloha č.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02"/>
    <w:rsid w:val="000029B8"/>
    <w:rsid w:val="0005344C"/>
    <w:rsid w:val="00061BB5"/>
    <w:rsid w:val="000E15AE"/>
    <w:rsid w:val="001226DA"/>
    <w:rsid w:val="00126280"/>
    <w:rsid w:val="00162F4C"/>
    <w:rsid w:val="001D10DA"/>
    <w:rsid w:val="00207130"/>
    <w:rsid w:val="00216BCB"/>
    <w:rsid w:val="00237722"/>
    <w:rsid w:val="00245540"/>
    <w:rsid w:val="00261B95"/>
    <w:rsid w:val="00282D16"/>
    <w:rsid w:val="002856C3"/>
    <w:rsid w:val="002A35F4"/>
    <w:rsid w:val="002D005B"/>
    <w:rsid w:val="003043B8"/>
    <w:rsid w:val="00327BE6"/>
    <w:rsid w:val="00376C49"/>
    <w:rsid w:val="003B1239"/>
    <w:rsid w:val="003E32DA"/>
    <w:rsid w:val="003F489D"/>
    <w:rsid w:val="00410DAC"/>
    <w:rsid w:val="004131A7"/>
    <w:rsid w:val="00491B5D"/>
    <w:rsid w:val="004E6F3B"/>
    <w:rsid w:val="004F5292"/>
    <w:rsid w:val="0051535E"/>
    <w:rsid w:val="00590EA3"/>
    <w:rsid w:val="005A3C4A"/>
    <w:rsid w:val="005C08DA"/>
    <w:rsid w:val="005D5DE0"/>
    <w:rsid w:val="00613172"/>
    <w:rsid w:val="00621ECB"/>
    <w:rsid w:val="00635DD2"/>
    <w:rsid w:val="006726C8"/>
    <w:rsid w:val="006E4B06"/>
    <w:rsid w:val="008A49D7"/>
    <w:rsid w:val="008B667A"/>
    <w:rsid w:val="008C2CD8"/>
    <w:rsid w:val="008F10AC"/>
    <w:rsid w:val="00940F02"/>
    <w:rsid w:val="0095708E"/>
    <w:rsid w:val="00975C39"/>
    <w:rsid w:val="00976CAC"/>
    <w:rsid w:val="009A115F"/>
    <w:rsid w:val="009B5EF7"/>
    <w:rsid w:val="009C08DE"/>
    <w:rsid w:val="00A02261"/>
    <w:rsid w:val="00A41246"/>
    <w:rsid w:val="00A7180D"/>
    <w:rsid w:val="00A72C5B"/>
    <w:rsid w:val="00A7701E"/>
    <w:rsid w:val="00A8311D"/>
    <w:rsid w:val="00A9546F"/>
    <w:rsid w:val="00AA50B1"/>
    <w:rsid w:val="00AE1A9B"/>
    <w:rsid w:val="00AF267E"/>
    <w:rsid w:val="00BD2DA8"/>
    <w:rsid w:val="00BD7B79"/>
    <w:rsid w:val="00C37477"/>
    <w:rsid w:val="00CE42B8"/>
    <w:rsid w:val="00CF2F00"/>
    <w:rsid w:val="00CF6BD7"/>
    <w:rsid w:val="00D23DA2"/>
    <w:rsid w:val="00DD5E1B"/>
    <w:rsid w:val="00E01BE5"/>
    <w:rsid w:val="00E53DC0"/>
    <w:rsid w:val="00E67267"/>
    <w:rsid w:val="00E853D3"/>
    <w:rsid w:val="00ED4A30"/>
    <w:rsid w:val="00F04D55"/>
    <w:rsid w:val="00F1610C"/>
    <w:rsid w:val="00F3536D"/>
    <w:rsid w:val="00F43B0F"/>
    <w:rsid w:val="00FC2711"/>
    <w:rsid w:val="00FD2A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50B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0F02"/>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40F02"/>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rsid w:val="00940F02"/>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40F02"/>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rsid w:val="00940F02"/>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940F02"/>
    <w:rPr>
      <w:rFonts w:cs="Times New Roman"/>
    </w:rPr>
  </w:style>
  <w:style w:type="character" w:customStyle="1" w:styleId="awspan1">
    <w:name w:val="awspan1"/>
    <w:basedOn w:val="Predvolenpsmoodseku"/>
    <w:rsid w:val="00940F02"/>
    <w:rPr>
      <w:rFonts w:cs="Times New Roman"/>
      <w:color w:val="000000"/>
      <w:sz w:val="24"/>
      <w:szCs w:val="24"/>
    </w:rPr>
  </w:style>
  <w:style w:type="character" w:styleId="Zstupntext">
    <w:name w:val="Placeholder Text"/>
    <w:basedOn w:val="Predvolenpsmoodseku"/>
    <w:uiPriority w:val="99"/>
    <w:rsid w:val="00F43B0F"/>
    <w:rPr>
      <w:color w:val="808080"/>
    </w:rPr>
  </w:style>
  <w:style w:type="paragraph" w:styleId="Revzia">
    <w:name w:val="Revision"/>
    <w:hidden/>
    <w:uiPriority w:val="99"/>
    <w:semiHidden/>
    <w:rsid w:val="00261B95"/>
    <w:pPr>
      <w:spacing w:after="0" w:line="240" w:lineRule="auto"/>
    </w:pPr>
    <w:rPr>
      <w:rFonts w:eastAsia="Times New Roman" w:cs="Times New Roman"/>
    </w:rPr>
  </w:style>
  <w:style w:type="paragraph" w:styleId="Textbubliny">
    <w:name w:val="Balloon Text"/>
    <w:basedOn w:val="Normlny"/>
    <w:link w:val="TextbublinyChar"/>
    <w:uiPriority w:val="99"/>
    <w:semiHidden/>
    <w:unhideWhenUsed/>
    <w:rsid w:val="00261B9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1B95"/>
    <w:rPr>
      <w:rFonts w:ascii="Segoe UI" w:eastAsia="Times New Roman" w:hAnsi="Segoe UI" w:cs="Segoe UI"/>
      <w:sz w:val="18"/>
      <w:szCs w:val="18"/>
    </w:rPr>
  </w:style>
  <w:style w:type="character" w:styleId="Odkaznakomentr">
    <w:name w:val="annotation reference"/>
    <w:basedOn w:val="Predvolenpsmoodseku"/>
    <w:uiPriority w:val="99"/>
    <w:semiHidden/>
    <w:unhideWhenUsed/>
    <w:rsid w:val="00A02261"/>
    <w:rPr>
      <w:sz w:val="16"/>
      <w:szCs w:val="16"/>
    </w:rPr>
  </w:style>
  <w:style w:type="paragraph" w:styleId="Textkomentra">
    <w:name w:val="annotation text"/>
    <w:basedOn w:val="Normlny"/>
    <w:link w:val="TextkomentraChar"/>
    <w:uiPriority w:val="99"/>
    <w:semiHidden/>
    <w:unhideWhenUsed/>
    <w:rsid w:val="00A02261"/>
    <w:pPr>
      <w:spacing w:line="240" w:lineRule="auto"/>
    </w:pPr>
    <w:rPr>
      <w:sz w:val="20"/>
      <w:szCs w:val="20"/>
    </w:rPr>
  </w:style>
  <w:style w:type="character" w:customStyle="1" w:styleId="TextkomentraChar">
    <w:name w:val="Text komentára Char"/>
    <w:basedOn w:val="Predvolenpsmoodseku"/>
    <w:link w:val="Textkomentra"/>
    <w:uiPriority w:val="99"/>
    <w:semiHidden/>
    <w:rsid w:val="00A02261"/>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A02261"/>
    <w:rPr>
      <w:b/>
      <w:bCs/>
    </w:rPr>
  </w:style>
  <w:style w:type="character" w:customStyle="1" w:styleId="PredmetkomentraChar">
    <w:name w:val="Predmet komentára Char"/>
    <w:basedOn w:val="TextkomentraChar"/>
    <w:link w:val="Predmetkomentra"/>
    <w:uiPriority w:val="99"/>
    <w:semiHidden/>
    <w:rsid w:val="00A02261"/>
    <w:rPr>
      <w:rFonts w:eastAsia="Times New Roman" w:cs="Times New Roman"/>
      <w:b/>
      <w:bCs/>
      <w:sz w:val="20"/>
      <w:szCs w:val="20"/>
    </w:rPr>
  </w:style>
  <w:style w:type="character" w:styleId="Siln">
    <w:name w:val="Strong"/>
    <w:basedOn w:val="Predvolenpsmoodseku"/>
    <w:uiPriority w:val="22"/>
    <w:qFormat/>
    <w:rsid w:val="003F4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yza_vplyv_rozpočet"/>
    <f:field ref="objsubject" par="" edit="true" text=""/>
    <f:field ref="objcreatedby" par="" text="Hambalekova, Alena"/>
    <f:field ref="objcreatedat" par="" text="10.9.2021 12:25:15"/>
    <f:field ref="objchangedby" par="" text="Administrator, System"/>
    <f:field ref="objmodifiedat" par="" text="10.9.2021 12:25: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2777</Words>
  <Characters>15831</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2021-11-15T14:12:00Z</dcterms:created>
  <dcterms:modified xsi:type="dcterms:W3CDTF">2021-11-29T08:49:00Z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Konkurz a reštrukturalizácia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Alena Hambalekova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Návrh zákona o riešení hroziaceho úpadku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 Návrh zákona o riešení hroziaceho úpadku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15364/2021-110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LP/2021/502</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10. 9. 2021</vt:lpwstr>
  </property>
  <property fmtid="{D5CDD505-2E9C-101B-9397-08002B2CF9AE}" pid="151" name="FSC#COOSYSTEM@1.1:Container">
    <vt:lpwstr>COO.2145.1000.3.4546085</vt:lpwstr>
  </property>
  <property fmtid="{D5CDD505-2E9C-101B-9397-08002B2CF9AE}" pid="152" name="FSC#FSCFOLIO@1.1001:docpropproject">
    <vt:lpwstr/>
  </property>
</Properties>
</file>