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D9" w:rsidRPr="00FF70D9" w:rsidRDefault="00FF70D9" w:rsidP="00FF70D9">
      <w:pPr>
        <w:jc w:val="center"/>
        <w:rPr>
          <w:b/>
          <w:caps/>
          <w:spacing w:val="30"/>
          <w:sz w:val="25"/>
          <w:szCs w:val="25"/>
          <w:lang w:val="sk-SK"/>
        </w:rPr>
      </w:pPr>
      <w:r w:rsidRPr="00FF70D9">
        <w:rPr>
          <w:b/>
          <w:caps/>
          <w:spacing w:val="30"/>
          <w:sz w:val="25"/>
          <w:szCs w:val="25"/>
          <w:lang w:val="sk-SK"/>
        </w:rPr>
        <w:t>Doložka zlučiteľnosti</w:t>
      </w:r>
    </w:p>
    <w:p w:rsidR="00FF70D9" w:rsidRPr="00FF70D9" w:rsidRDefault="00FF70D9" w:rsidP="00FF70D9">
      <w:pPr>
        <w:jc w:val="center"/>
        <w:rPr>
          <w:b/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>právneho predpisu s právom Európskej únie </w:t>
      </w: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Default="00FF70D9" w:rsidP="0008246C">
      <w:pPr>
        <w:ind w:left="360" w:hanging="360"/>
        <w:jc w:val="both"/>
        <w:rPr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>1.</w:t>
      </w:r>
      <w:r w:rsidRPr="00FF70D9">
        <w:rPr>
          <w:b/>
          <w:sz w:val="25"/>
          <w:szCs w:val="25"/>
          <w:lang w:val="sk-SK"/>
        </w:rPr>
        <w:tab/>
        <w:t>Navrhovateľ právneho predpisu:</w:t>
      </w:r>
      <w:r w:rsidRPr="00FF70D9">
        <w:rPr>
          <w:sz w:val="25"/>
          <w:szCs w:val="25"/>
          <w:lang w:val="sk-SK"/>
        </w:rPr>
        <w:t xml:space="preserve"> Úrad pre normalizáciu, metrológiu a skúšobníctvo Slovenskej republiky </w:t>
      </w:r>
    </w:p>
    <w:p w:rsidR="0008246C" w:rsidRPr="00FF70D9" w:rsidRDefault="0008246C" w:rsidP="0008246C">
      <w:pPr>
        <w:ind w:left="360" w:hanging="360"/>
        <w:jc w:val="both"/>
        <w:rPr>
          <w:b/>
          <w:sz w:val="25"/>
          <w:szCs w:val="25"/>
          <w:lang w:val="sk-SK"/>
        </w:rPr>
      </w:pPr>
    </w:p>
    <w:p w:rsidR="00FF70D9" w:rsidRDefault="00FF70D9" w:rsidP="0008246C">
      <w:pPr>
        <w:pStyle w:val="Nadpis2"/>
        <w:spacing w:before="0" w:after="0"/>
        <w:ind w:left="426" w:hanging="426"/>
        <w:jc w:val="both"/>
        <w:rPr>
          <w:b w:val="0"/>
          <w:sz w:val="25"/>
          <w:szCs w:val="25"/>
        </w:rPr>
      </w:pPr>
      <w:r w:rsidRPr="00FF70D9">
        <w:rPr>
          <w:sz w:val="25"/>
          <w:szCs w:val="25"/>
        </w:rPr>
        <w:t>2.</w:t>
      </w:r>
      <w:r w:rsidRPr="00FF70D9">
        <w:rPr>
          <w:b w:val="0"/>
          <w:sz w:val="25"/>
          <w:szCs w:val="25"/>
        </w:rPr>
        <w:t xml:space="preserve">  </w:t>
      </w:r>
      <w:r w:rsidRPr="00FF70D9">
        <w:rPr>
          <w:sz w:val="25"/>
          <w:szCs w:val="25"/>
        </w:rPr>
        <w:t xml:space="preserve">Názov návrhu právneho predpisu: </w:t>
      </w:r>
      <w:r w:rsidRPr="00FF70D9">
        <w:rPr>
          <w:b w:val="0"/>
          <w:sz w:val="25"/>
          <w:szCs w:val="25"/>
        </w:rPr>
        <w:t>Návrh nariadenia vlá</w:t>
      </w:r>
      <w:r w:rsidR="0008246C">
        <w:rPr>
          <w:b w:val="0"/>
          <w:sz w:val="25"/>
          <w:szCs w:val="25"/>
        </w:rPr>
        <w:t xml:space="preserve">dy Slovenskej republiky, ktorým </w:t>
      </w:r>
      <w:r w:rsidRPr="00FF70D9">
        <w:rPr>
          <w:b w:val="0"/>
          <w:sz w:val="25"/>
          <w:szCs w:val="25"/>
        </w:rPr>
        <w:t xml:space="preserve">sa mení </w:t>
      </w:r>
      <w:r w:rsidRPr="00FF70D9">
        <w:rPr>
          <w:b w:val="0"/>
          <w:sz w:val="24"/>
          <w:szCs w:val="25"/>
        </w:rPr>
        <w:t xml:space="preserve">a dopĺňa </w:t>
      </w:r>
      <w:r w:rsidRPr="00FF70D9">
        <w:rPr>
          <w:b w:val="0"/>
          <w:sz w:val="25"/>
          <w:szCs w:val="25"/>
        </w:rPr>
        <w:t>nariadenie vlády Slovenskej republiky č. 262/2016 Z. z. o vybavení námorných lodí v znení nariadenia vlády Slovenskej republiky č. 327/2019 Z. z.</w:t>
      </w:r>
    </w:p>
    <w:p w:rsidR="0008246C" w:rsidRPr="0008246C" w:rsidRDefault="0008246C" w:rsidP="0008246C">
      <w:pPr>
        <w:rPr>
          <w:rFonts w:eastAsia="PalatinoLinotype-Roman"/>
          <w:lang w:val="sk-SK" w:eastAsia="en-US"/>
        </w:rPr>
      </w:pPr>
    </w:p>
    <w:p w:rsidR="00FF70D9" w:rsidRPr="00FF70D9" w:rsidRDefault="00FF70D9" w:rsidP="0008246C">
      <w:pPr>
        <w:ind w:left="360" w:hanging="360"/>
        <w:rPr>
          <w:b/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>3.</w:t>
      </w:r>
      <w:r w:rsidRPr="00FF70D9">
        <w:rPr>
          <w:b/>
          <w:sz w:val="25"/>
          <w:szCs w:val="25"/>
          <w:lang w:val="sk-SK"/>
        </w:rPr>
        <w:tab/>
        <w:t>Predmet návrhu právneho predpisu je upravený v práve Európskej únie:</w:t>
      </w:r>
    </w:p>
    <w:p w:rsidR="00FF70D9" w:rsidRPr="00FF70D9" w:rsidRDefault="00FF70D9" w:rsidP="00FF70D9">
      <w:pPr>
        <w:ind w:firstLine="360"/>
        <w:rPr>
          <w:sz w:val="25"/>
          <w:szCs w:val="25"/>
          <w:lang w:val="sk-SK"/>
        </w:rPr>
      </w:pPr>
    </w:p>
    <w:p w:rsidR="00FF70D9" w:rsidRPr="00F76497" w:rsidRDefault="00FF70D9" w:rsidP="00FF70D9">
      <w:pPr>
        <w:ind w:left="709" w:hanging="349"/>
        <w:rPr>
          <w:sz w:val="25"/>
          <w:szCs w:val="25"/>
          <w:lang w:val="sk-SK"/>
        </w:rPr>
      </w:pPr>
      <w:r w:rsidRPr="00F76497">
        <w:rPr>
          <w:sz w:val="25"/>
          <w:szCs w:val="25"/>
          <w:lang w:val="sk-SK"/>
        </w:rPr>
        <w:t>a)</w:t>
      </w:r>
      <w:r w:rsidRPr="00F76497">
        <w:rPr>
          <w:sz w:val="25"/>
          <w:szCs w:val="25"/>
          <w:lang w:val="sk-SK"/>
        </w:rPr>
        <w:tab/>
        <w:t xml:space="preserve">v primárnom práve </w:t>
      </w:r>
    </w:p>
    <w:p w:rsidR="00FF70D9" w:rsidRPr="00FF70D9" w:rsidRDefault="00FF70D9" w:rsidP="00FF70D9">
      <w:pPr>
        <w:ind w:left="851"/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708"/>
        <w:jc w:val="both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čl. 114 Zmluvy o fungovaní Európskej únie</w:t>
      </w:r>
    </w:p>
    <w:p w:rsidR="00FF70D9" w:rsidRPr="00FF70D9" w:rsidRDefault="00FF70D9" w:rsidP="00FF70D9">
      <w:pPr>
        <w:ind w:left="360"/>
        <w:jc w:val="both"/>
        <w:rPr>
          <w:sz w:val="25"/>
          <w:szCs w:val="25"/>
          <w:lang w:val="sk-SK"/>
        </w:rPr>
      </w:pPr>
    </w:p>
    <w:p w:rsidR="00FF70D9" w:rsidRPr="00F76497" w:rsidRDefault="00FF70D9" w:rsidP="00FF70D9">
      <w:pPr>
        <w:ind w:left="360"/>
        <w:jc w:val="both"/>
        <w:rPr>
          <w:sz w:val="25"/>
          <w:szCs w:val="25"/>
          <w:lang w:val="sk-SK"/>
        </w:rPr>
      </w:pPr>
      <w:r w:rsidRPr="00F76497">
        <w:rPr>
          <w:sz w:val="25"/>
          <w:szCs w:val="25"/>
          <w:lang w:val="sk-SK"/>
        </w:rPr>
        <w:t>b)</w:t>
      </w:r>
      <w:r w:rsidRPr="00F76497">
        <w:rPr>
          <w:sz w:val="25"/>
          <w:szCs w:val="25"/>
          <w:lang w:val="sk-SK"/>
        </w:rPr>
        <w:tab/>
        <w:t xml:space="preserve">v sekundárnom práve </w:t>
      </w:r>
    </w:p>
    <w:p w:rsidR="00FF70D9" w:rsidRPr="00FF70D9" w:rsidRDefault="00FF70D9" w:rsidP="00FF70D9">
      <w:pPr>
        <w:ind w:firstLine="360"/>
        <w:jc w:val="both"/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709"/>
        <w:jc w:val="both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Smernica Európskeho parlamentu a Rady 2014/90/EÚ z  23. júla 2014 o vybavení námorných lodí a o zrušení smernice Rady 96/98/ES (Ú. v. EÚ L 257, 28. 8. 2014) v platnom znení; gestor Úrad pre normalizáciu, metrológiu a skúšobníctvo Slovenskej republiky a spolugestor Ministerstvo dopravy, výst</w:t>
      </w:r>
      <w:bookmarkStart w:id="0" w:name="_GoBack"/>
      <w:bookmarkEnd w:id="0"/>
      <w:r w:rsidRPr="00FF70D9">
        <w:rPr>
          <w:sz w:val="25"/>
          <w:szCs w:val="25"/>
          <w:lang w:val="sk-SK"/>
        </w:rPr>
        <w:t>avby a regionálneho rozvoja Slovenskej republiky.</w:t>
      </w:r>
    </w:p>
    <w:p w:rsidR="00FF70D9" w:rsidRPr="00FF70D9" w:rsidRDefault="00FF70D9" w:rsidP="00FF70D9">
      <w:pPr>
        <w:ind w:left="709"/>
        <w:jc w:val="both"/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709"/>
        <w:jc w:val="both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Delegovaná smernica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(Ú. v. EÚ L 261/45, 22. 7. 2021); gestor Úrad pre normalizáciu, metrológiu a skúšobníctvo Slovenskej republiky a spolugestor Ministerstvo dopravy, výstavby a regionálneho rozvoja Slovenskej republiky.</w:t>
      </w:r>
    </w:p>
    <w:p w:rsidR="00FF70D9" w:rsidRPr="00FF70D9" w:rsidRDefault="00FF70D9" w:rsidP="00FF70D9">
      <w:pPr>
        <w:ind w:left="851"/>
        <w:jc w:val="both"/>
        <w:rPr>
          <w:sz w:val="25"/>
          <w:szCs w:val="25"/>
          <w:lang w:val="sk-SK"/>
        </w:rPr>
      </w:pPr>
    </w:p>
    <w:p w:rsidR="00FF70D9" w:rsidRPr="00F76497" w:rsidRDefault="00FF70D9" w:rsidP="00FF70D9">
      <w:pPr>
        <w:ind w:firstLine="284"/>
        <w:rPr>
          <w:sz w:val="25"/>
          <w:szCs w:val="25"/>
          <w:lang w:val="sk-SK"/>
        </w:rPr>
      </w:pPr>
      <w:r w:rsidRPr="00F76497">
        <w:rPr>
          <w:sz w:val="25"/>
          <w:szCs w:val="25"/>
          <w:lang w:val="sk-SK"/>
        </w:rPr>
        <w:t xml:space="preserve">c) </w:t>
      </w:r>
      <w:r w:rsidRPr="00F76497">
        <w:rPr>
          <w:sz w:val="25"/>
          <w:szCs w:val="25"/>
          <w:lang w:val="sk-SK"/>
        </w:rPr>
        <w:tab/>
        <w:t>v judikatúre Súdneho dvora Európskej únie</w:t>
      </w:r>
    </w:p>
    <w:p w:rsidR="00FF70D9" w:rsidRPr="00FF70D9" w:rsidRDefault="00FF70D9" w:rsidP="00FF70D9">
      <w:pPr>
        <w:ind w:firstLine="284"/>
        <w:rPr>
          <w:i/>
          <w:sz w:val="25"/>
          <w:szCs w:val="25"/>
          <w:lang w:val="sk-SK"/>
        </w:rPr>
      </w:pPr>
    </w:p>
    <w:p w:rsidR="00FF70D9" w:rsidRPr="00FF70D9" w:rsidRDefault="00FF70D9" w:rsidP="00FF70D9">
      <w:pPr>
        <w:ind w:firstLine="284"/>
        <w:rPr>
          <w:sz w:val="25"/>
          <w:szCs w:val="25"/>
          <w:lang w:val="sk-SK"/>
        </w:rPr>
      </w:pPr>
      <w:r w:rsidRPr="00FF70D9">
        <w:rPr>
          <w:i/>
          <w:sz w:val="25"/>
          <w:szCs w:val="25"/>
          <w:lang w:val="sk-SK"/>
        </w:rPr>
        <w:tab/>
      </w:r>
      <w:r w:rsidRPr="00FF70D9">
        <w:rPr>
          <w:sz w:val="25"/>
          <w:szCs w:val="25"/>
          <w:lang w:val="sk-SK"/>
        </w:rPr>
        <w:t>bezpredmetné</w:t>
      </w:r>
    </w:p>
    <w:p w:rsidR="00FF70D9" w:rsidRPr="00FF70D9" w:rsidRDefault="00FF70D9" w:rsidP="00FF70D9">
      <w:pPr>
        <w:rPr>
          <w:b/>
          <w:sz w:val="25"/>
          <w:szCs w:val="25"/>
          <w:lang w:val="sk-SK"/>
        </w:rPr>
      </w:pPr>
    </w:p>
    <w:p w:rsidR="00FF70D9" w:rsidRPr="00FF70D9" w:rsidRDefault="00FF70D9" w:rsidP="00FF70D9">
      <w:pPr>
        <w:ind w:left="360" w:hanging="360"/>
        <w:rPr>
          <w:b/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>4.</w:t>
      </w:r>
      <w:r w:rsidRPr="00FF70D9">
        <w:rPr>
          <w:b/>
          <w:sz w:val="25"/>
          <w:szCs w:val="25"/>
          <w:lang w:val="sk-SK"/>
        </w:rPr>
        <w:tab/>
        <w:t xml:space="preserve">Záväzky Slovenskej republiky vo vzťahu k Európskej únii: </w:t>
      </w: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709" w:hanging="349"/>
        <w:jc w:val="both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a)</w:t>
      </w:r>
      <w:r w:rsidRPr="00FF70D9">
        <w:rPr>
          <w:sz w:val="25"/>
          <w:szCs w:val="25"/>
          <w:lang w:val="sk-SK"/>
        </w:rPr>
        <w:tab/>
      </w:r>
      <w:r w:rsidRPr="00FF70D9">
        <w:rPr>
          <w:rFonts w:ascii="Times" w:hAnsi="Times" w:cs="Times"/>
          <w:sz w:val="25"/>
          <w:szCs w:val="25"/>
          <w:lang w:val="sk-SK"/>
        </w:rPr>
        <w:t>uviesť lehotu na prebranie príslušného lehota na prebratie smernice alebo lehota na implementáciu nariadenia alebo rozhodnutia</w:t>
      </w:r>
      <w:r w:rsidRPr="00FF70D9">
        <w:rPr>
          <w:sz w:val="25"/>
          <w:szCs w:val="25"/>
          <w:lang w:val="sk-SK"/>
        </w:rPr>
        <w:t xml:space="preserve"> </w:t>
      </w:r>
    </w:p>
    <w:p w:rsidR="00FF70D9" w:rsidRPr="00FF70D9" w:rsidRDefault="00FF70D9" w:rsidP="00FF70D9">
      <w:pPr>
        <w:ind w:left="720"/>
        <w:rPr>
          <w:sz w:val="25"/>
          <w:szCs w:val="25"/>
          <w:lang w:val="sk-SK"/>
        </w:rPr>
      </w:pPr>
    </w:p>
    <w:p w:rsidR="00FF70D9" w:rsidRDefault="00FF70D9" w:rsidP="00FF70D9">
      <w:pPr>
        <w:ind w:left="720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do 31. januára 2022</w:t>
      </w:r>
    </w:p>
    <w:p w:rsidR="0008246C" w:rsidRPr="00FF70D9" w:rsidRDefault="0008246C" w:rsidP="00FF70D9">
      <w:pPr>
        <w:ind w:left="720"/>
        <w:rPr>
          <w:sz w:val="25"/>
          <w:szCs w:val="25"/>
          <w:lang w:val="sk-SK"/>
        </w:rPr>
      </w:pP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Pr="00F76497" w:rsidRDefault="00FF70D9" w:rsidP="00FF70D9">
      <w:pPr>
        <w:ind w:left="709" w:hanging="349"/>
        <w:jc w:val="both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lastRenderedPageBreak/>
        <w:t>b)</w:t>
      </w:r>
      <w:r w:rsidRPr="00FF70D9">
        <w:rPr>
          <w:sz w:val="25"/>
          <w:szCs w:val="25"/>
          <w:lang w:val="sk-SK"/>
        </w:rPr>
        <w:tab/>
      </w:r>
      <w:r w:rsidRPr="00FF70D9">
        <w:rPr>
          <w:rFonts w:ascii="Times" w:hAnsi="Times" w:cs="Times"/>
          <w:sz w:val="25"/>
          <w:szCs w:val="25"/>
          <w:lang w:val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</w:t>
      </w:r>
      <w:r w:rsidR="0008246C">
        <w:rPr>
          <w:rFonts w:ascii="Times" w:hAnsi="Times" w:cs="Times"/>
          <w:sz w:val="25"/>
          <w:szCs w:val="25"/>
          <w:lang w:val="sk-SK"/>
        </w:rPr>
        <w:t> </w:t>
      </w:r>
      <w:r w:rsidRPr="00FF70D9">
        <w:rPr>
          <w:rFonts w:ascii="Times" w:hAnsi="Times" w:cs="Times"/>
          <w:sz w:val="25"/>
          <w:szCs w:val="25"/>
          <w:lang w:val="sk-SK"/>
        </w:rPr>
        <w:t xml:space="preserve">uvedením konkrétnych vytýkaných nedostatkov a požiadaviek na zabezpečenie nápravy so zreteľom </w:t>
      </w:r>
      <w:r w:rsidRPr="00F76497">
        <w:rPr>
          <w:rFonts w:ascii="Times" w:hAnsi="Times" w:cs="Times"/>
          <w:sz w:val="25"/>
          <w:szCs w:val="25"/>
          <w:lang w:val="sk-SK"/>
        </w:rPr>
        <w:t xml:space="preserve">na nariadenie Európskeho parlamentu a Rady (ES) č. 1049/2001 z </w:t>
      </w:r>
      <w:r w:rsidR="0008246C" w:rsidRPr="00F76497">
        <w:rPr>
          <w:rFonts w:ascii="Times" w:hAnsi="Times" w:cs="Times"/>
          <w:sz w:val="25"/>
          <w:szCs w:val="25"/>
          <w:lang w:val="sk-SK"/>
        </w:rPr>
        <w:t> </w:t>
      </w:r>
      <w:r w:rsidRPr="00F76497">
        <w:rPr>
          <w:rFonts w:ascii="Times" w:hAnsi="Times" w:cs="Times"/>
          <w:sz w:val="25"/>
          <w:szCs w:val="25"/>
          <w:lang w:val="sk-SK"/>
        </w:rPr>
        <w:t xml:space="preserve">30. mája 2001 o prístupe verejnosti k dokumentom Európskeho parlamentu, Rady a </w:t>
      </w:r>
      <w:r w:rsidR="0008246C" w:rsidRPr="00F76497">
        <w:rPr>
          <w:rFonts w:ascii="Times" w:hAnsi="Times" w:cs="Times"/>
          <w:sz w:val="25"/>
          <w:szCs w:val="25"/>
          <w:lang w:val="sk-SK"/>
        </w:rPr>
        <w:t> </w:t>
      </w:r>
      <w:r w:rsidRPr="00F76497">
        <w:rPr>
          <w:rFonts w:ascii="Times" w:hAnsi="Times" w:cs="Times"/>
          <w:sz w:val="25"/>
          <w:szCs w:val="25"/>
          <w:lang w:val="sk-SK"/>
        </w:rPr>
        <w:t xml:space="preserve">Komisie </w:t>
      </w:r>
    </w:p>
    <w:p w:rsidR="00FF70D9" w:rsidRPr="00FF70D9" w:rsidRDefault="00FF70D9" w:rsidP="00FF70D9">
      <w:pPr>
        <w:ind w:left="709" w:hanging="349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ab/>
      </w:r>
    </w:p>
    <w:p w:rsidR="00FF70D9" w:rsidRPr="00FF70D9" w:rsidRDefault="00FF70D9" w:rsidP="00FF70D9">
      <w:pPr>
        <w:ind w:left="709" w:hanging="349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ab/>
        <w:t>nebolo začaté konanie proti SR</w:t>
      </w:r>
    </w:p>
    <w:p w:rsidR="00FF70D9" w:rsidRPr="00FF70D9" w:rsidRDefault="00FF70D9" w:rsidP="00FF70D9">
      <w:pPr>
        <w:ind w:left="709" w:hanging="349"/>
        <w:rPr>
          <w:sz w:val="25"/>
          <w:szCs w:val="25"/>
          <w:lang w:val="sk-SK"/>
        </w:rPr>
      </w:pPr>
    </w:p>
    <w:p w:rsidR="00FF70D9" w:rsidRPr="00FF70D9" w:rsidRDefault="00FF70D9" w:rsidP="0008246C">
      <w:pPr>
        <w:ind w:left="705" w:hanging="279"/>
        <w:jc w:val="both"/>
        <w:rPr>
          <w:rFonts w:ascii="Times" w:hAnsi="Times" w:cs="Times"/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c)</w:t>
      </w:r>
      <w:r w:rsidRPr="00FF70D9">
        <w:rPr>
          <w:sz w:val="25"/>
          <w:szCs w:val="25"/>
          <w:lang w:val="sk-SK"/>
        </w:rPr>
        <w:tab/>
      </w:r>
      <w:r w:rsidRPr="00FF70D9">
        <w:rPr>
          <w:rFonts w:ascii="Times" w:hAnsi="Times" w:cs="Times"/>
          <w:sz w:val="25"/>
          <w:szCs w:val="25"/>
          <w:lang w:val="sk-SK"/>
        </w:rPr>
        <w:t xml:space="preserve">informácia o právnych predpisoch, v ktorých sú preberané smernice už prebraté spolu s </w:t>
      </w:r>
      <w:r w:rsidR="0008246C">
        <w:rPr>
          <w:rFonts w:ascii="Times" w:hAnsi="Times" w:cs="Times"/>
          <w:sz w:val="25"/>
          <w:szCs w:val="25"/>
          <w:lang w:val="sk-SK"/>
        </w:rPr>
        <w:t> </w:t>
      </w:r>
      <w:r w:rsidRPr="00FF70D9">
        <w:rPr>
          <w:rFonts w:ascii="Times" w:hAnsi="Times" w:cs="Times"/>
          <w:sz w:val="25"/>
          <w:szCs w:val="25"/>
          <w:lang w:val="sk-SK"/>
        </w:rPr>
        <w:t xml:space="preserve">uvedením rozsahu tohto prebratia </w:t>
      </w: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firstLine="708"/>
        <w:rPr>
          <w:sz w:val="25"/>
          <w:szCs w:val="25"/>
          <w:lang w:val="sk-SK"/>
        </w:rPr>
      </w:pPr>
      <w:r w:rsidRPr="00FF70D9">
        <w:rPr>
          <w:sz w:val="25"/>
          <w:szCs w:val="25"/>
          <w:lang w:val="sk-SK"/>
        </w:rPr>
        <w:t>bezpredmetné </w:t>
      </w:r>
    </w:p>
    <w:p w:rsidR="00FF70D9" w:rsidRPr="00FF70D9" w:rsidRDefault="00FF70D9" w:rsidP="00FF70D9">
      <w:pPr>
        <w:ind w:firstLine="708"/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360" w:hanging="360"/>
        <w:rPr>
          <w:b/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>5.</w:t>
      </w:r>
      <w:r w:rsidRPr="00FF70D9">
        <w:rPr>
          <w:b/>
          <w:sz w:val="25"/>
          <w:szCs w:val="25"/>
          <w:lang w:val="sk-SK"/>
        </w:rPr>
        <w:tab/>
        <w:t>Návrh právneho predpisu je zlučiteľný s právom Európskej únie:</w:t>
      </w:r>
    </w:p>
    <w:p w:rsidR="00FF70D9" w:rsidRPr="00FF70D9" w:rsidRDefault="00FF70D9" w:rsidP="00FF70D9">
      <w:pPr>
        <w:ind w:left="360" w:hanging="360"/>
        <w:rPr>
          <w:b/>
          <w:sz w:val="25"/>
          <w:szCs w:val="25"/>
          <w:lang w:val="sk-SK"/>
        </w:rPr>
      </w:pPr>
    </w:p>
    <w:p w:rsidR="00FF70D9" w:rsidRPr="00FF70D9" w:rsidRDefault="00FF70D9" w:rsidP="00FF70D9">
      <w:pPr>
        <w:ind w:left="360" w:hanging="360"/>
        <w:rPr>
          <w:sz w:val="25"/>
          <w:szCs w:val="25"/>
          <w:lang w:val="sk-SK"/>
        </w:rPr>
      </w:pPr>
      <w:r w:rsidRPr="00FF70D9">
        <w:rPr>
          <w:b/>
          <w:sz w:val="25"/>
          <w:szCs w:val="25"/>
          <w:lang w:val="sk-SK"/>
        </w:rPr>
        <w:tab/>
      </w:r>
      <w:r w:rsidRPr="00FF70D9">
        <w:rPr>
          <w:sz w:val="25"/>
          <w:szCs w:val="25"/>
          <w:lang w:val="sk-SK"/>
        </w:rPr>
        <w:t>úplne</w:t>
      </w:r>
    </w:p>
    <w:p w:rsidR="00FF70D9" w:rsidRPr="00FF70D9" w:rsidRDefault="00FF70D9" w:rsidP="00FF70D9">
      <w:pPr>
        <w:rPr>
          <w:sz w:val="25"/>
          <w:szCs w:val="25"/>
          <w:lang w:val="sk-SK"/>
        </w:rPr>
      </w:pPr>
    </w:p>
    <w:p w:rsidR="00FF70D9" w:rsidRPr="00FF70D9" w:rsidRDefault="00FF70D9" w:rsidP="00FF70D9">
      <w:pPr>
        <w:ind w:left="360" w:hanging="360"/>
        <w:rPr>
          <w:sz w:val="25"/>
          <w:szCs w:val="25"/>
          <w:lang w:val="sk-SK"/>
        </w:rPr>
      </w:pPr>
    </w:p>
    <w:p w:rsidR="00FF70D9" w:rsidRPr="00FF70D9" w:rsidRDefault="00FF70D9" w:rsidP="00FF70D9">
      <w:pPr>
        <w:tabs>
          <w:tab w:val="left" w:pos="360"/>
        </w:tabs>
        <w:ind w:left="360"/>
        <w:rPr>
          <w:sz w:val="25"/>
          <w:szCs w:val="25"/>
          <w:lang w:val="sk-SK"/>
        </w:rPr>
      </w:pPr>
    </w:p>
    <w:p w:rsidR="000178CF" w:rsidRPr="00FF70D9" w:rsidRDefault="000178CF">
      <w:pPr>
        <w:rPr>
          <w:lang w:val="sk-SK"/>
        </w:rPr>
      </w:pPr>
    </w:p>
    <w:sectPr w:rsidR="000178CF" w:rsidRPr="00FF70D9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EC" w:rsidRDefault="00661BEC" w:rsidP="00905184">
      <w:r>
        <w:separator/>
      </w:r>
    </w:p>
  </w:endnote>
  <w:endnote w:type="continuationSeparator" w:id="0">
    <w:p w:rsidR="00661BEC" w:rsidRDefault="00661BEC" w:rsidP="0090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Linotype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747879"/>
      <w:docPartObj>
        <w:docPartGallery w:val="Page Numbers (Bottom of Page)"/>
        <w:docPartUnique/>
      </w:docPartObj>
    </w:sdtPr>
    <w:sdtContent>
      <w:p w:rsidR="00905184" w:rsidRDefault="009051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184">
          <w:rPr>
            <w:noProof/>
            <w:lang w:val="sk-SK"/>
          </w:rPr>
          <w:t>2</w:t>
        </w:r>
        <w:r>
          <w:fldChar w:fldCharType="end"/>
        </w:r>
      </w:p>
    </w:sdtContent>
  </w:sdt>
  <w:p w:rsidR="00905184" w:rsidRDefault="009051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EC" w:rsidRDefault="00661BEC" w:rsidP="00905184">
      <w:r>
        <w:separator/>
      </w:r>
    </w:p>
  </w:footnote>
  <w:footnote w:type="continuationSeparator" w:id="0">
    <w:p w:rsidR="00661BEC" w:rsidRDefault="00661BEC" w:rsidP="0090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A2"/>
    <w:rsid w:val="000178CF"/>
    <w:rsid w:val="0008246C"/>
    <w:rsid w:val="000E6E5D"/>
    <w:rsid w:val="002C3BD7"/>
    <w:rsid w:val="00661BEC"/>
    <w:rsid w:val="006B72A2"/>
    <w:rsid w:val="00905184"/>
    <w:rsid w:val="00F7649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C1DF-0D79-48A9-B6A2-9B31393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7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70D9"/>
    <w:pPr>
      <w:keepNext/>
      <w:keepLines/>
      <w:widowControl/>
      <w:autoSpaceDE/>
      <w:autoSpaceDN/>
      <w:adjustRightInd/>
      <w:spacing w:before="240" w:after="120"/>
      <w:jc w:val="center"/>
      <w:outlineLvl w:val="1"/>
    </w:pPr>
    <w:rPr>
      <w:b/>
      <w:bCs/>
      <w:sz w:val="26"/>
      <w:szCs w:val="26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F70D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0824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051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518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Pta">
    <w:name w:val="footer"/>
    <w:basedOn w:val="Normlny"/>
    <w:link w:val="PtaChar"/>
    <w:uiPriority w:val="99"/>
    <w:unhideWhenUsed/>
    <w:rsid w:val="009051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5184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Tančiboková Pavla</cp:lastModifiedBy>
  <cp:revision>7</cp:revision>
  <dcterms:created xsi:type="dcterms:W3CDTF">2021-10-25T11:02:00Z</dcterms:created>
  <dcterms:modified xsi:type="dcterms:W3CDTF">2021-11-19T10:48:00Z</dcterms:modified>
</cp:coreProperties>
</file>