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8E4" w:rsidRDefault="002A18E4" w:rsidP="002A18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64979847"/>
      <w:r>
        <w:rPr>
          <w:rFonts w:ascii="Times New Roman" w:hAnsi="Times New Roman" w:cs="Times New Roman"/>
          <w:b/>
          <w:sz w:val="24"/>
          <w:szCs w:val="24"/>
        </w:rPr>
        <w:t>PREDKLADACIA SPRÁVA</w:t>
      </w:r>
    </w:p>
    <w:p w:rsidR="002A18E4" w:rsidRPr="00591015" w:rsidRDefault="002A18E4" w:rsidP="00FC059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bookmarkEnd w:id="0"/>
    <w:p w:rsidR="00FC0595" w:rsidRPr="007A5313" w:rsidRDefault="00FC0595" w:rsidP="007A5313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sk-SK"/>
        </w:rPr>
      </w:pPr>
      <w:r w:rsidRPr="007A531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Ministerstvo hospodárstva Slovenskej republiky predkladá </w:t>
      </w:r>
      <w:r w:rsidR="00591015" w:rsidRPr="007A531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na </w:t>
      </w:r>
      <w:r w:rsidR="00591015" w:rsidRPr="007A5313">
        <w:rPr>
          <w:rFonts w:ascii="Times New Roman" w:hAnsi="Times New Roman" w:cs="Times New Roman"/>
          <w:sz w:val="24"/>
          <w:szCs w:val="24"/>
        </w:rPr>
        <w:t xml:space="preserve">rokovanie Legislatívnej rady vlády Slovenskej republiky </w:t>
      </w:r>
      <w:r w:rsidRPr="007A531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materiál „Návrh zákona, ktorým sa  mení a dopĺňa zákon </w:t>
      </w:r>
      <w:r w:rsidR="00025138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7A531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č. 262/2014 Z. z. o pôsobnosti orgánov štátnej správy vo veciach prekurzorov výbušnín </w:t>
      </w:r>
      <w:r w:rsidR="00025138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7A5313">
        <w:rPr>
          <w:rFonts w:ascii="Times New Roman" w:eastAsia="Times New Roman" w:hAnsi="Times New Roman" w:cs="Times New Roman"/>
          <w:sz w:val="24"/>
          <w:szCs w:val="24"/>
          <w:lang w:eastAsia="sk-SK"/>
        </w:rPr>
        <w:t>a</w:t>
      </w:r>
      <w:r w:rsidR="0002513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7A5313">
        <w:rPr>
          <w:rFonts w:ascii="Times New Roman" w:eastAsia="Times New Roman" w:hAnsi="Times New Roman" w:cs="Times New Roman"/>
          <w:sz w:val="24"/>
          <w:szCs w:val="24"/>
          <w:lang w:eastAsia="sk-SK"/>
        </w:rPr>
        <w:t>o zmene a doplnení niektorých zákonov</w:t>
      </w:r>
      <w:r w:rsidRPr="007A5313">
        <w:rPr>
          <w:rFonts w:ascii="Times New Roman" w:eastAsia="Calibri" w:hAnsi="Times New Roman" w:cs="Times New Roman"/>
          <w:sz w:val="24"/>
          <w:szCs w:val="24"/>
          <w:lang w:eastAsia="sk-SK"/>
        </w:rPr>
        <w:t>“ v zmysle bodu C.1 uznesenia vlády SR č.</w:t>
      </w:r>
      <w:r w:rsidRPr="007A5313">
        <w:rPr>
          <w:sz w:val="24"/>
          <w:szCs w:val="24"/>
        </w:rPr>
        <w:t> </w:t>
      </w:r>
      <w:r w:rsidRPr="007A5313">
        <w:rPr>
          <w:rFonts w:ascii="Times New Roman" w:eastAsia="Calibri" w:hAnsi="Times New Roman" w:cs="Times New Roman"/>
          <w:sz w:val="24"/>
          <w:szCs w:val="24"/>
          <w:lang w:eastAsia="sk-SK"/>
        </w:rPr>
        <w:t>547/2020 k „Plánu legislatívnych úloh vlády SR na mesiace september až december 2020“ v znení bodu A.2 uznesenia vlády SR č. 787/2020.</w:t>
      </w:r>
    </w:p>
    <w:p w:rsidR="00FC0595" w:rsidRPr="007A5313" w:rsidRDefault="00FC0595" w:rsidP="007A5313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A5313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Cieľom materiálu je implementácia Nariadenia Európskeho parlamentu a Rady </w:t>
      </w:r>
      <w:r w:rsidRPr="007A531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(EÚ) 2019/1148 z 20. júna 2019 o uvádzaní prekurzorov výbušnín na trh a ich používaní, ktorým sa mení nariadenie (ES) </w:t>
      </w:r>
      <w:r w:rsidR="00B460A6" w:rsidRPr="007A531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č. </w:t>
      </w:r>
      <w:r w:rsidRPr="007A5313">
        <w:rPr>
          <w:rFonts w:ascii="Times New Roman" w:eastAsia="Times New Roman" w:hAnsi="Times New Roman" w:cs="Times New Roman"/>
          <w:sz w:val="24"/>
          <w:szCs w:val="24"/>
          <w:lang w:eastAsia="sk-SK"/>
        </w:rPr>
        <w:t>1907/2006 a ktorým sa zrušuje nariadenie (EÚ)</w:t>
      </w:r>
      <w:r w:rsidR="00B460A6" w:rsidRPr="007A531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č.</w:t>
      </w:r>
      <w:r w:rsidRPr="007A531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98/2013. </w:t>
      </w:r>
      <w:r w:rsidRPr="007A5313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Z nariadenia </w:t>
      </w:r>
      <w:r w:rsidRPr="007A531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(EÚ) 2019/1148 </w:t>
      </w:r>
      <w:r w:rsidRPr="007A5313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vyplývajú pre členské štáty povinnosti, splnenie ktorých tvorí právny rámec návrhu zákona. Nariadenie </w:t>
      </w:r>
      <w:r w:rsidRPr="007A531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(EÚ) 2019/1148 </w:t>
      </w:r>
      <w:r w:rsidRPr="007A5313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je </w:t>
      </w:r>
      <w:r w:rsidRPr="007A5313">
        <w:rPr>
          <w:rFonts w:ascii="Times New Roman" w:eastAsia="Times New Roman" w:hAnsi="Times New Roman" w:cs="Times New Roman"/>
          <w:sz w:val="24"/>
          <w:szCs w:val="24"/>
          <w:lang w:eastAsia="sk-SK"/>
        </w:rPr>
        <w:t>záväzné v celom rozsahu a priamo uplatniteľné vo všetkých členských štátoch EÚ, teda aj v SR, s účinnosťou od 1. februára 2021.</w:t>
      </w:r>
    </w:p>
    <w:p w:rsidR="00FC0595" w:rsidRPr="007A5313" w:rsidRDefault="00FC0595" w:rsidP="007A5313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A5313">
        <w:rPr>
          <w:rFonts w:ascii="Times New Roman" w:eastAsia="Times New Roman" w:hAnsi="Times New Roman" w:cs="Times New Roman"/>
          <w:sz w:val="24"/>
          <w:szCs w:val="24"/>
          <w:lang w:eastAsia="sk-SK"/>
        </w:rPr>
        <w:t>Navrhovaná legislatíva upravuje problémy aplikačnej praxe pri nejednotnom postupe uvádzania obmedzených prekurzoroch výbušnín na trh zavedením v zmysle čl. 5 ods. 1</w:t>
      </w:r>
      <w:r w:rsidRPr="007A5313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Nariadenia </w:t>
      </w:r>
      <w:r w:rsidR="00FF2E80" w:rsidRPr="007A531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(EÚ) </w:t>
      </w:r>
      <w:r w:rsidRPr="007A531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2019/1148 jednoznačného režimu zákazu pre širokú verejnosť. Určuje rozsah kompetencií jednotlivých orgánov štátnej správy v oblasti regulovaných prekurzorov výbušnín a zavádza nástroje na vynucovanie povinností. </w:t>
      </w:r>
    </w:p>
    <w:p w:rsidR="007A5313" w:rsidRDefault="009A7007" w:rsidP="007A5313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 w:rsidRPr="007A531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Navrhovaná legislatíva zároveň rieši presun kompetencií nad nadobúdaním obmedzených prekurzorov výbušnín a regulovaných prekurzorov výbušnín, keď sa pôvodné právomoci </w:t>
      </w:r>
      <w:r w:rsidR="00CA55A2" w:rsidRPr="007A531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Ministerstva hospodárstva SR a </w:t>
      </w:r>
      <w:r w:rsidRPr="007A5313">
        <w:rPr>
          <w:rFonts w:ascii="Times New Roman" w:eastAsia="Times New Roman" w:hAnsi="Times New Roman" w:cs="Times New Roman"/>
          <w:sz w:val="24"/>
          <w:szCs w:val="24"/>
          <w:lang w:eastAsia="sk-SK"/>
        </w:rPr>
        <w:t>Slovenskej obchodnej inšpekcie presúvajú na Hlavný banský úrad, vykonávajúci dohľad nad výbušninami v súvislosti s banskou a</w:t>
      </w:r>
      <w:r w:rsidR="002A18E4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Pr="007A531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ťažobnou </w:t>
      </w:r>
      <w:r w:rsidR="00CA55A2" w:rsidRPr="007A5313">
        <w:rPr>
          <w:rFonts w:ascii="Times New Roman" w:eastAsia="Times New Roman" w:hAnsi="Times New Roman" w:cs="Times New Roman"/>
          <w:sz w:val="24"/>
          <w:szCs w:val="24"/>
          <w:lang w:eastAsia="sk-SK"/>
        </w:rPr>
        <w:t>činnosťou. Presun kompetencií z Ministerstva hospodárstva Slovenskej republiky a</w:t>
      </w:r>
      <w:r w:rsidR="002A18E4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Pr="007A5313">
        <w:rPr>
          <w:rFonts w:ascii="Times New Roman" w:eastAsia="Times New Roman" w:hAnsi="Times New Roman" w:cs="Times New Roman"/>
          <w:sz w:val="24"/>
          <w:szCs w:val="24"/>
          <w:lang w:eastAsia="sk-SK"/>
        </w:rPr>
        <w:t>Slovenskej obchodnej inšpekcie na Hlavný banský úrad prispeje k právnej istote a k zvýšeniu informovanosti povinných hospodárskych subjektov o problematike výbušnín.</w:t>
      </w:r>
      <w:r w:rsidRPr="007A5313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</w:t>
      </w:r>
    </w:p>
    <w:p w:rsidR="00FC0595" w:rsidRPr="007A5313" w:rsidRDefault="00FC0595" w:rsidP="007A5313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A531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Návrh zákona nemá vplyv na rozpočet verejnej správy, má pozitívny aj negatívny vplyv na podnikateľské prostredie. Návrh zákona nemá vplyv na životné prostredie, služby verejnej správy pre občana, nemá </w:t>
      </w:r>
      <w:r w:rsidR="00E37D7B" w:rsidRPr="007A531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sociálne vplyvy, ani </w:t>
      </w:r>
      <w:r w:rsidRPr="007A5313">
        <w:rPr>
          <w:rFonts w:ascii="Times New Roman" w:eastAsia="Times New Roman" w:hAnsi="Times New Roman" w:cs="Times New Roman"/>
          <w:sz w:val="24"/>
          <w:szCs w:val="24"/>
          <w:lang w:eastAsia="sk-SK"/>
        </w:rPr>
        <w:t>vplyv na informatizáciu spoločnosti, manželstvo, rodičovstvo a rodinu.</w:t>
      </w:r>
    </w:p>
    <w:p w:rsidR="00FC0595" w:rsidRPr="007A5313" w:rsidRDefault="00FC0595" w:rsidP="007A5313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7A5313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Návrh zákona je v súlade s Ústavou Slovenskej republiky, ústavnými zákonmi a</w:t>
      </w:r>
      <w:r w:rsidR="002A18E4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 </w:t>
      </w:r>
      <w:r w:rsidRPr="007A5313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nálezmi Ústavného súdu Slovenskej republiky, so zákonmi a ostatnými všeobecne záväznými právnymi predpismi, medzinárodnými zmluvami, ktorými je Slovenská republika viazaná, ako</w:t>
      </w:r>
      <w:r w:rsidR="00973509" w:rsidRPr="007A5313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  <w:r w:rsidRPr="007A5313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aj s právom Európskej únie.</w:t>
      </w:r>
    </w:p>
    <w:p w:rsidR="0005145C" w:rsidRPr="007A5313" w:rsidRDefault="0005145C" w:rsidP="007A5313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7A5313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Návrh zákona </w:t>
      </w:r>
      <w:r w:rsidR="00CA55A2" w:rsidRPr="007A5313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nie je</w:t>
      </w:r>
      <w:r w:rsidRPr="007A5313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predmetom vnútrokomunitárneho pripomienkového konania.</w:t>
      </w:r>
    </w:p>
    <w:p w:rsidR="002A18E4" w:rsidRDefault="00FC0595" w:rsidP="002A18E4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7A5313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Dátum účinnosti zákona sa vzhľadom na dĺžku legislatívneho procesu navrhuje</w:t>
      </w:r>
      <w:r w:rsidRPr="007A5313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br/>
        <w:t xml:space="preserve">od 1. </w:t>
      </w:r>
      <w:r w:rsidR="00477AE0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m</w:t>
      </w:r>
      <w:r w:rsidRPr="007A5313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ar</w:t>
      </w:r>
      <w:r w:rsidR="00477AE0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c</w:t>
      </w:r>
      <w:bookmarkStart w:id="1" w:name="_GoBack"/>
      <w:bookmarkEnd w:id="1"/>
      <w:r w:rsidRPr="007A5313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a 2022.</w:t>
      </w:r>
      <w:r w:rsidR="002A18E4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</w:p>
    <w:p w:rsidR="00CA55A2" w:rsidRPr="002A18E4" w:rsidRDefault="00CA55A2" w:rsidP="002A18E4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7A5313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Návrh zákona bol predmetom medzirezortného pripomienkového konania a do </w:t>
      </w:r>
      <w:r w:rsidRPr="007A5313">
        <w:rPr>
          <w:rFonts w:ascii="Times New Roman" w:hAnsi="Times New Roman" w:cs="Times New Roman"/>
          <w:sz w:val="24"/>
          <w:szCs w:val="24"/>
        </w:rPr>
        <w:t xml:space="preserve">ďalšieho legislatívneho procesu sa predkladá bez rozporov. </w:t>
      </w:r>
    </w:p>
    <w:sectPr w:rsidR="00CA55A2" w:rsidRPr="002A18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595"/>
    <w:rsid w:val="00025138"/>
    <w:rsid w:val="0005145C"/>
    <w:rsid w:val="000C375B"/>
    <w:rsid w:val="002A18E4"/>
    <w:rsid w:val="002C4030"/>
    <w:rsid w:val="00390AE7"/>
    <w:rsid w:val="00477AE0"/>
    <w:rsid w:val="00591015"/>
    <w:rsid w:val="007A5313"/>
    <w:rsid w:val="007A6EC1"/>
    <w:rsid w:val="00973509"/>
    <w:rsid w:val="009A7007"/>
    <w:rsid w:val="00B460A6"/>
    <w:rsid w:val="00CA55A2"/>
    <w:rsid w:val="00E37D7B"/>
    <w:rsid w:val="00E662A0"/>
    <w:rsid w:val="00FC0595"/>
    <w:rsid w:val="00FF2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C059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C059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hospodárstva Slovenskej republiky</Company>
  <LinksUpToDate>false</LinksUpToDate>
  <CharactersWithSpaces>2871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</dc:creator>
  <cp:lastModifiedBy>Hajdu Ladislav</cp:lastModifiedBy>
  <cp:revision>3</cp:revision>
  <cp:lastPrinted>2021-10-18T09:53:00Z</cp:lastPrinted>
  <dcterms:created xsi:type="dcterms:W3CDTF">2021-10-15T06:04:00Z</dcterms:created>
  <dcterms:modified xsi:type="dcterms:W3CDTF">2021-10-18T09:59:00Z</dcterms:modified>
</cp:coreProperties>
</file>