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DE" w:rsidRPr="00CF38ED" w:rsidRDefault="00CD75DE" w:rsidP="00CD75DE">
      <w:pPr>
        <w:jc w:val="center"/>
        <w:rPr>
          <w:rFonts w:ascii="Times New Roman" w:eastAsia="Calibri" w:hAnsi="Times New Roman" w:cs="Times New Roman"/>
          <w:b/>
          <w:sz w:val="28"/>
          <w:szCs w:val="28"/>
        </w:rPr>
      </w:pPr>
      <w:r w:rsidRPr="00CF38ED">
        <w:rPr>
          <w:rFonts w:ascii="Times New Roman" w:eastAsia="Calibri" w:hAnsi="Times New Roman" w:cs="Times New Roman"/>
          <w:b/>
          <w:sz w:val="28"/>
          <w:szCs w:val="28"/>
        </w:rPr>
        <w:t>Analýza vplyvov na podnikateľské prostredie</w:t>
      </w:r>
    </w:p>
    <w:p w:rsidR="00CD75DE" w:rsidRPr="00CF38ED" w:rsidRDefault="00CD75DE" w:rsidP="00CD75DE">
      <w:pPr>
        <w:spacing w:after="0"/>
        <w:jc w:val="both"/>
        <w:rPr>
          <w:rFonts w:ascii="Times New Roman" w:eastAsia="Arial" w:hAnsi="Times New Roman" w:cs="Times New Roman"/>
          <w:bCs/>
          <w:sz w:val="24"/>
          <w:szCs w:val="24"/>
          <w:lang w:eastAsia="sk-SK"/>
        </w:rPr>
      </w:pPr>
      <w:r w:rsidRPr="00CF38ED">
        <w:rPr>
          <w:rFonts w:ascii="Times New Roman" w:eastAsia="Calibri" w:hAnsi="Times New Roman" w:cs="Times New Roman"/>
          <w:b/>
          <w:sz w:val="24"/>
          <w:szCs w:val="24"/>
        </w:rPr>
        <w:t xml:space="preserve">Názov materiálu: </w:t>
      </w:r>
      <w:r w:rsidRPr="00CF38ED">
        <w:rPr>
          <w:rFonts w:ascii="Times New Roman" w:eastAsia="Times New Roman" w:hAnsi="Times New Roman" w:cs="Times New Roman"/>
          <w:sz w:val="24"/>
          <w:szCs w:val="24"/>
          <w:lang w:eastAsia="sk-SK"/>
        </w:rPr>
        <w:t xml:space="preserve">Návrh zákona, ktorým sa mení a dopĺňa zákon č. 262/2014 Z. z. o pôsobnosti orgánov </w:t>
      </w:r>
      <w:r w:rsidRPr="00CF38ED">
        <w:rPr>
          <w:rFonts w:ascii="Times New Roman" w:eastAsia="Arial" w:hAnsi="Times New Roman" w:cs="Times New Roman"/>
          <w:bCs/>
          <w:sz w:val="24"/>
          <w:szCs w:val="24"/>
          <w:lang w:eastAsia="sk-SK"/>
        </w:rPr>
        <w:t>štátnej správy vo veciach prekurzorov výbušnín</w:t>
      </w:r>
      <w:bookmarkStart w:id="0" w:name="_GoBack"/>
      <w:bookmarkEnd w:id="0"/>
      <w:r w:rsidRPr="00CF38ED">
        <w:rPr>
          <w:rFonts w:ascii="Times New Roman" w:eastAsia="Arial" w:hAnsi="Times New Roman" w:cs="Times New Roman"/>
          <w:bCs/>
          <w:sz w:val="24"/>
          <w:szCs w:val="24"/>
          <w:lang w:eastAsia="sk-SK"/>
        </w:rPr>
        <w:t xml:space="preserve"> </w:t>
      </w:r>
      <w:r w:rsidRPr="002F35B5">
        <w:rPr>
          <w:rFonts w:ascii="Times New Roman" w:eastAsia="Arial" w:hAnsi="Times New Roman" w:cs="Times New Roman"/>
          <w:bCs/>
          <w:sz w:val="24"/>
          <w:szCs w:val="24"/>
          <w:lang w:eastAsia="sk-SK"/>
        </w:rPr>
        <w:t>a o zmene a doplnení niektorých zákonov</w:t>
      </w:r>
      <w:r w:rsidRPr="00CF38ED">
        <w:rPr>
          <w:rFonts w:ascii="Times New Roman" w:eastAsia="Arial" w:hAnsi="Times New Roman" w:cs="Times New Roman"/>
          <w:bCs/>
          <w:sz w:val="24"/>
          <w:szCs w:val="24"/>
          <w:lang w:eastAsia="sk-SK"/>
        </w:rPr>
        <w:t xml:space="preserve"> (ďalej len „</w:t>
      </w:r>
      <w:r w:rsidRPr="00CF38ED">
        <w:rPr>
          <w:rFonts w:ascii="Times New Roman" w:eastAsia="Times New Roman" w:hAnsi="Times New Roman" w:cs="Times New Roman"/>
          <w:sz w:val="24"/>
          <w:szCs w:val="24"/>
          <w:lang w:eastAsia="sk-SK"/>
        </w:rPr>
        <w:t>Návrh zákona, ktorým sa mení a dopĺňa zákon č. 262/2014 Z. z.“)</w:t>
      </w:r>
    </w:p>
    <w:p w:rsidR="00CD75DE" w:rsidRPr="00CF38ED" w:rsidRDefault="00CD75DE" w:rsidP="00CD75DE">
      <w:pPr>
        <w:spacing w:after="0"/>
        <w:jc w:val="both"/>
        <w:rPr>
          <w:rFonts w:ascii="Times New Roman" w:eastAsia="Arial" w:hAnsi="Times New Roman" w:cs="Times New Roman"/>
          <w:bCs/>
          <w:sz w:val="24"/>
          <w:szCs w:val="24"/>
          <w:lang w:eastAsia="sk-SK"/>
        </w:rPr>
      </w:pPr>
      <w:r w:rsidRPr="00CF38ED">
        <w:rPr>
          <w:rFonts w:ascii="Times New Roman" w:eastAsia="Calibri" w:hAnsi="Times New Roman" w:cs="Times New Roman"/>
          <w:b/>
          <w:sz w:val="24"/>
          <w:szCs w:val="24"/>
        </w:rPr>
        <w:t xml:space="preserve">Predkladateľ: </w:t>
      </w:r>
      <w:r w:rsidRPr="00CF38ED">
        <w:rPr>
          <w:rFonts w:ascii="Times New Roman" w:eastAsia="Arial" w:hAnsi="Times New Roman" w:cs="Times New Roman"/>
          <w:bCs/>
          <w:sz w:val="24"/>
          <w:szCs w:val="24"/>
          <w:lang w:eastAsia="sk-SK"/>
        </w:rPr>
        <w:t>Ministerstvo hospodárstva SR</w:t>
      </w:r>
    </w:p>
    <w:p w:rsidR="00F53AE8" w:rsidRDefault="00F53AE8" w:rsidP="00CD75DE">
      <w:pPr>
        <w:jc w:val="both"/>
        <w:rPr>
          <w:rFonts w:ascii="Times New Roman" w:eastAsia="Calibri" w:hAnsi="Times New Roman" w:cs="Times New Roman"/>
          <w:b/>
          <w:sz w:val="24"/>
          <w:szCs w:val="24"/>
        </w:rPr>
      </w:pPr>
    </w:p>
    <w:p w:rsidR="00CD75DE" w:rsidRPr="00CF38ED" w:rsidRDefault="00CD75DE" w:rsidP="00CD75DE">
      <w:pPr>
        <w:jc w:val="both"/>
        <w:rPr>
          <w:rFonts w:ascii="Times New Roman" w:eastAsia="Calibri" w:hAnsi="Times New Roman" w:cs="Times New Roman"/>
          <w:b/>
          <w:sz w:val="24"/>
          <w:szCs w:val="24"/>
        </w:rPr>
      </w:pPr>
      <w:r w:rsidRPr="00CF38ED">
        <w:rPr>
          <w:rFonts w:ascii="Times New Roman" w:eastAsia="Calibri" w:hAnsi="Times New Roman" w:cs="Times New Roman"/>
          <w:b/>
          <w:sz w:val="24"/>
          <w:szCs w:val="24"/>
        </w:rPr>
        <w:t>3.1 Náklady regulácie</w:t>
      </w:r>
    </w:p>
    <w:p w:rsidR="00CD75DE" w:rsidRPr="00CF38ED" w:rsidRDefault="00CD75DE" w:rsidP="00CD75DE">
      <w:pPr>
        <w:tabs>
          <w:tab w:val="left" w:pos="8025"/>
        </w:tabs>
        <w:rPr>
          <w:rFonts w:ascii="Times New Roman" w:eastAsia="Calibri" w:hAnsi="Times New Roman" w:cs="Times New Roman"/>
          <w:bCs/>
          <w:i/>
          <w:iCs/>
          <w:sz w:val="24"/>
          <w:szCs w:val="24"/>
        </w:rPr>
      </w:pPr>
      <w:r w:rsidRPr="00CF38ED">
        <w:rPr>
          <w:rFonts w:ascii="Times New Roman" w:eastAsia="Calibri" w:hAnsi="Times New Roman" w:cs="Times New Roman"/>
          <w:b/>
          <w:i/>
          <w:iCs/>
          <w:sz w:val="24"/>
          <w:szCs w:val="24"/>
        </w:rPr>
        <w:t xml:space="preserve">3.1.1 Súhrnná tabuľka nákladov regulácie </w:t>
      </w:r>
      <w:r w:rsidRPr="00CF38ED">
        <w:rPr>
          <w:rFonts w:ascii="Times New Roman" w:eastAsia="Calibri" w:hAnsi="Times New Roman" w:cs="Times New Roman"/>
          <w:b/>
          <w:i/>
          <w:iCs/>
          <w:sz w:val="24"/>
          <w:szCs w:val="24"/>
        </w:rPr>
        <w:tab/>
      </w:r>
    </w:p>
    <w:p w:rsidR="00CD75DE" w:rsidRPr="00CF38ED" w:rsidRDefault="00CD75DE" w:rsidP="00CD75DE">
      <w:pPr>
        <w:spacing w:after="0"/>
        <w:jc w:val="both"/>
        <w:rPr>
          <w:rFonts w:ascii="Times New Roman" w:eastAsia="Calibri" w:hAnsi="Times New Roman" w:cs="Times New Roman"/>
          <w:b/>
          <w:sz w:val="24"/>
          <w:szCs w:val="24"/>
        </w:rPr>
      </w:pPr>
    </w:p>
    <w:p w:rsidR="00CD75DE" w:rsidRPr="00CF38ED" w:rsidRDefault="00CD75DE" w:rsidP="00CD75DE">
      <w:pPr>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CD75DE" w:rsidRPr="00CF38ED" w:rsidRDefault="00CD75DE" w:rsidP="00CD75DE">
      <w:pPr>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6" w:history="1">
        <w:r w:rsidRPr="00CF38ED">
          <w:rPr>
            <w:rFonts w:ascii="Times New Roman" w:eastAsia="Calibri" w:hAnsi="Times New Roman" w:cs="Times New Roman"/>
            <w:i/>
            <w:color w:val="0563C1"/>
            <w:sz w:val="24"/>
            <w:szCs w:val="24"/>
            <w:u w:val="single"/>
          </w:rPr>
          <w:t>webovom sídle MH SR</w:t>
        </w:r>
      </w:hyperlink>
      <w:r w:rsidRPr="00CF38ED">
        <w:rPr>
          <w:rFonts w:ascii="Times New Roman" w:eastAsia="Calibri" w:hAnsi="Times New Roman" w:cs="Times New Roman"/>
          <w:i/>
          <w:sz w:val="24"/>
          <w:szCs w:val="24"/>
        </w:rPr>
        <w:t>, (ďalej len „Kalkulačka nákladov“):</w:t>
      </w:r>
    </w:p>
    <w:p w:rsidR="00CD75DE" w:rsidRPr="00CF38ED" w:rsidRDefault="00CD75DE" w:rsidP="00CD75DE">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CD75DE" w:rsidRPr="00CF38ED" w:rsidTr="008D3EB8">
        <w:tc>
          <w:tcPr>
            <w:tcW w:w="3681" w:type="dxa"/>
          </w:tcPr>
          <w:p w:rsidR="00CD75DE" w:rsidRPr="00CF38ED" w:rsidRDefault="00CD75DE" w:rsidP="008D3EB8">
            <w:pPr>
              <w:rPr>
                <w:rFonts w:ascii="Times New Roman" w:eastAsia="Calibri" w:hAnsi="Times New Roman" w:cs="Times New Roman"/>
                <w:b/>
                <w:bCs/>
                <w:i/>
                <w:sz w:val="20"/>
              </w:rPr>
            </w:pPr>
            <w:r w:rsidRPr="00CF38ED">
              <w:rPr>
                <w:rFonts w:ascii="Times New Roman" w:eastAsia="Calibri" w:hAnsi="Times New Roman" w:cs="Times New Roman"/>
                <w:b/>
                <w:bCs/>
                <w:i/>
                <w:sz w:val="20"/>
              </w:rPr>
              <w:t>TYP NÁKLADOV</w:t>
            </w:r>
          </w:p>
        </w:tc>
        <w:tc>
          <w:tcPr>
            <w:tcW w:w="2693" w:type="dxa"/>
            <w:shd w:val="clear" w:color="auto" w:fill="FFC000"/>
          </w:tcPr>
          <w:p w:rsidR="00CD75DE" w:rsidRPr="00CF38ED" w:rsidRDefault="00CD75DE" w:rsidP="008D3EB8">
            <w:pPr>
              <w:jc w:val="center"/>
              <w:rPr>
                <w:rFonts w:ascii="Times New Roman" w:eastAsia="Calibri" w:hAnsi="Times New Roman" w:cs="Times New Roman"/>
                <w:i/>
                <w:sz w:val="20"/>
              </w:rPr>
            </w:pPr>
            <w:r w:rsidRPr="00CF38ED">
              <w:rPr>
                <w:rFonts w:ascii="Times New Roman" w:eastAsia="Calibri" w:hAnsi="Times New Roman" w:cs="Times New Roman"/>
                <w:b/>
                <w:bCs/>
                <w:color w:val="000000"/>
                <w:sz w:val="20"/>
              </w:rPr>
              <w:t>Zvýšenie nákladov v € na PP</w:t>
            </w:r>
          </w:p>
        </w:tc>
        <w:tc>
          <w:tcPr>
            <w:tcW w:w="2693" w:type="dxa"/>
            <w:shd w:val="clear" w:color="auto" w:fill="92D050"/>
          </w:tcPr>
          <w:p w:rsidR="00CD75DE" w:rsidRPr="00CF38ED" w:rsidRDefault="00CD75DE" w:rsidP="008D3EB8">
            <w:pPr>
              <w:jc w:val="center"/>
              <w:rPr>
                <w:rFonts w:ascii="Times New Roman" w:eastAsia="Calibri" w:hAnsi="Times New Roman" w:cs="Times New Roman"/>
                <w:b/>
                <w:bCs/>
                <w:color w:val="000000"/>
                <w:sz w:val="20"/>
              </w:rPr>
            </w:pPr>
            <w:r w:rsidRPr="00CF38ED">
              <w:rPr>
                <w:rFonts w:ascii="Times New Roman" w:eastAsia="Calibri" w:hAnsi="Times New Roman" w:cs="Times New Roman"/>
                <w:b/>
                <w:bCs/>
                <w:color w:val="000000"/>
                <w:sz w:val="20"/>
              </w:rPr>
              <w:t>Zníženie nákladov v € na PP</w:t>
            </w:r>
          </w:p>
        </w:tc>
      </w:tr>
      <w:tr w:rsidR="00CD75DE" w:rsidRPr="00CF38ED" w:rsidTr="008D3EB8">
        <w:trPr>
          <w:trHeight w:val="227"/>
        </w:trPr>
        <w:tc>
          <w:tcPr>
            <w:tcW w:w="3681" w:type="dxa"/>
          </w:tcPr>
          <w:p w:rsidR="00CD75DE" w:rsidRPr="00CF38ED" w:rsidRDefault="00CD75DE" w:rsidP="008D3EB8">
            <w:pPr>
              <w:rPr>
                <w:rFonts w:ascii="Times New Roman" w:eastAsia="Calibri" w:hAnsi="Times New Roman" w:cs="Times New Roman"/>
                <w:i/>
                <w:iCs/>
                <w:sz w:val="20"/>
              </w:rPr>
            </w:pPr>
            <w:r w:rsidRPr="00CF38ED">
              <w:rPr>
                <w:rFonts w:ascii="Times New Roman" w:eastAsia="Calibri" w:hAnsi="Times New Roman" w:cs="Times New Roman"/>
                <w:i/>
                <w:iCs/>
                <w:color w:val="000000"/>
                <w:sz w:val="20"/>
              </w:rPr>
              <w:t>A. Dane, odvody, clá a poplatky</w:t>
            </w:r>
            <w:r w:rsidRPr="00CF38ED">
              <w:rPr>
                <w:rFonts w:ascii="Times New Roman" w:eastAsia="Calibri" w:hAnsi="Times New Roman" w:cs="Times New Roman"/>
                <w:sz w:val="24"/>
                <w:szCs w:val="24"/>
              </w:rPr>
              <w:t>,</w:t>
            </w:r>
            <w:r w:rsidRPr="00CF38ED">
              <w:rPr>
                <w:rFonts w:ascii="Times New Roman" w:eastAsia="Calibri" w:hAnsi="Times New Roman" w:cs="Times New Roman"/>
                <w:b/>
                <w:bCs/>
                <w:sz w:val="24"/>
                <w:szCs w:val="24"/>
              </w:rPr>
              <w:t xml:space="preserve"> </w:t>
            </w:r>
            <w:r w:rsidRPr="00CF38ED">
              <w:rPr>
                <w:rFonts w:ascii="Times New Roman" w:eastAsia="Calibri" w:hAnsi="Times New Roman" w:cs="Times New Roman"/>
                <w:i/>
                <w:iCs/>
                <w:color w:val="000000"/>
                <w:sz w:val="20"/>
              </w:rPr>
              <w:t xml:space="preserve">ktorých cieľom je znižovať negatívne </w:t>
            </w:r>
            <w:proofErr w:type="spellStart"/>
            <w:r w:rsidRPr="00CF38ED">
              <w:rPr>
                <w:rFonts w:ascii="Times New Roman" w:eastAsia="Calibri" w:hAnsi="Times New Roman" w:cs="Times New Roman"/>
                <w:i/>
                <w:iCs/>
                <w:color w:val="000000"/>
                <w:sz w:val="20"/>
              </w:rPr>
              <w:t>externality</w:t>
            </w:r>
            <w:proofErr w:type="spellEnd"/>
          </w:p>
        </w:tc>
        <w:tc>
          <w:tcPr>
            <w:tcW w:w="2693" w:type="dxa"/>
            <w:shd w:val="clear" w:color="auto" w:fill="FFC000"/>
          </w:tcPr>
          <w:p w:rsidR="00CD75DE" w:rsidRPr="00CF38ED" w:rsidRDefault="00CD75DE" w:rsidP="008D3EB8">
            <w:pPr>
              <w:jc w:val="center"/>
              <w:rPr>
                <w:rFonts w:ascii="Times New Roman" w:eastAsia="Calibri" w:hAnsi="Times New Roman" w:cs="Times New Roman"/>
                <w:i/>
                <w:sz w:val="20"/>
              </w:rPr>
            </w:pPr>
            <w:r w:rsidRPr="00CF38ED">
              <w:rPr>
                <w:rFonts w:ascii="Times New Roman" w:eastAsia="Calibri" w:hAnsi="Times New Roman" w:cs="Times New Roman"/>
                <w:i/>
                <w:sz w:val="20"/>
              </w:rPr>
              <w:t>0</w:t>
            </w:r>
          </w:p>
        </w:tc>
        <w:tc>
          <w:tcPr>
            <w:tcW w:w="2693" w:type="dxa"/>
            <w:shd w:val="clear" w:color="auto" w:fill="92D050"/>
          </w:tcPr>
          <w:p w:rsidR="00CD75DE" w:rsidRPr="00CF38ED" w:rsidRDefault="00CD75DE" w:rsidP="008D3EB8">
            <w:pPr>
              <w:jc w:val="center"/>
              <w:rPr>
                <w:rFonts w:ascii="Times New Roman" w:eastAsia="Calibri" w:hAnsi="Times New Roman" w:cs="Times New Roman"/>
                <w:i/>
                <w:sz w:val="20"/>
              </w:rPr>
            </w:pPr>
            <w:r w:rsidRPr="00CF38ED">
              <w:rPr>
                <w:rFonts w:ascii="Times New Roman" w:eastAsia="Calibri" w:hAnsi="Times New Roman" w:cs="Times New Roman"/>
                <w:i/>
                <w:sz w:val="20"/>
              </w:rPr>
              <w:t>0</w:t>
            </w:r>
          </w:p>
        </w:tc>
      </w:tr>
      <w:tr w:rsidR="00CD75DE" w:rsidRPr="00CF38ED" w:rsidTr="008D3EB8">
        <w:tc>
          <w:tcPr>
            <w:tcW w:w="3681" w:type="dxa"/>
          </w:tcPr>
          <w:p w:rsidR="00CD75DE" w:rsidRPr="00CF38ED" w:rsidRDefault="00CD75DE" w:rsidP="008D3EB8">
            <w:pPr>
              <w:rPr>
                <w:rFonts w:ascii="Times New Roman" w:eastAsia="Calibri" w:hAnsi="Times New Roman" w:cs="Times New Roman"/>
                <w:i/>
                <w:sz w:val="20"/>
              </w:rPr>
            </w:pPr>
            <w:r w:rsidRPr="00CF38ED">
              <w:rPr>
                <w:rFonts w:ascii="Times New Roman" w:eastAsia="Calibri" w:hAnsi="Times New Roman" w:cs="Times New Roman"/>
                <w:i/>
                <w:sz w:val="20"/>
              </w:rPr>
              <w:t>B. Iné poplatky</w:t>
            </w:r>
          </w:p>
        </w:tc>
        <w:tc>
          <w:tcPr>
            <w:tcW w:w="2693" w:type="dxa"/>
            <w:shd w:val="clear" w:color="auto" w:fill="FFC000"/>
          </w:tcPr>
          <w:p w:rsidR="00CD75DE" w:rsidRPr="00CF38ED" w:rsidRDefault="00CD75DE" w:rsidP="008D3EB8">
            <w:pPr>
              <w:jc w:val="center"/>
              <w:rPr>
                <w:rFonts w:ascii="Times New Roman" w:eastAsia="Calibri" w:hAnsi="Times New Roman" w:cs="Times New Roman"/>
                <w:i/>
                <w:sz w:val="20"/>
              </w:rPr>
            </w:pPr>
            <w:r w:rsidRPr="00CF38ED">
              <w:rPr>
                <w:rFonts w:ascii="Times New Roman" w:eastAsia="Calibri" w:hAnsi="Times New Roman" w:cs="Times New Roman"/>
                <w:i/>
                <w:sz w:val="20"/>
              </w:rPr>
              <w:t>0</w:t>
            </w:r>
          </w:p>
        </w:tc>
        <w:tc>
          <w:tcPr>
            <w:tcW w:w="2693" w:type="dxa"/>
            <w:shd w:val="clear" w:color="auto" w:fill="92D050"/>
          </w:tcPr>
          <w:p w:rsidR="00CD75DE" w:rsidRPr="00CF38ED" w:rsidRDefault="00CD75DE" w:rsidP="008D3EB8">
            <w:pPr>
              <w:jc w:val="center"/>
              <w:rPr>
                <w:rFonts w:ascii="Times New Roman" w:eastAsia="Calibri" w:hAnsi="Times New Roman" w:cs="Times New Roman"/>
                <w:i/>
                <w:sz w:val="20"/>
              </w:rPr>
            </w:pPr>
            <w:r w:rsidRPr="00CF38ED">
              <w:rPr>
                <w:rFonts w:ascii="Times New Roman" w:eastAsia="Calibri" w:hAnsi="Times New Roman" w:cs="Times New Roman"/>
                <w:i/>
                <w:sz w:val="20"/>
              </w:rPr>
              <w:t>0</w:t>
            </w:r>
          </w:p>
        </w:tc>
      </w:tr>
      <w:tr w:rsidR="00CD75DE" w:rsidRPr="00CF38ED" w:rsidTr="008D3EB8">
        <w:tc>
          <w:tcPr>
            <w:tcW w:w="3681" w:type="dxa"/>
          </w:tcPr>
          <w:p w:rsidR="00CD75DE" w:rsidRPr="00CF38ED" w:rsidRDefault="00CD75DE" w:rsidP="008D3EB8">
            <w:pPr>
              <w:rPr>
                <w:rFonts w:ascii="Times New Roman" w:eastAsia="Calibri" w:hAnsi="Times New Roman" w:cs="Times New Roman"/>
                <w:i/>
                <w:sz w:val="20"/>
              </w:rPr>
            </w:pPr>
            <w:r w:rsidRPr="00CF38ED">
              <w:rPr>
                <w:rFonts w:ascii="Times New Roman" w:eastAsia="Calibri" w:hAnsi="Times New Roman" w:cs="Times New Roman"/>
                <w:i/>
                <w:sz w:val="20"/>
              </w:rPr>
              <w:t>C. Nepriame finančné náklady</w:t>
            </w:r>
          </w:p>
        </w:tc>
        <w:tc>
          <w:tcPr>
            <w:tcW w:w="2693" w:type="dxa"/>
            <w:shd w:val="clear" w:color="auto" w:fill="FFC000"/>
          </w:tcPr>
          <w:p w:rsidR="00CD75DE" w:rsidRPr="000B36A0" w:rsidRDefault="000B36A0" w:rsidP="000B36A0">
            <w:pPr>
              <w:jc w:val="center"/>
              <w:rPr>
                <w:rFonts w:ascii="Times New Roman" w:hAnsi="Times New Roman" w:cs="Times New Roman"/>
                <w:bCs/>
                <w:i/>
                <w:color w:val="000000"/>
                <w:sz w:val="20"/>
                <w:szCs w:val="20"/>
              </w:rPr>
            </w:pPr>
            <w:r w:rsidRPr="000B36A0">
              <w:rPr>
                <w:rFonts w:ascii="Times New Roman" w:hAnsi="Times New Roman" w:cs="Times New Roman"/>
                <w:bCs/>
                <w:i/>
                <w:color w:val="000000"/>
                <w:sz w:val="20"/>
                <w:szCs w:val="20"/>
              </w:rPr>
              <w:t>223 209,7 €</w:t>
            </w:r>
          </w:p>
        </w:tc>
        <w:tc>
          <w:tcPr>
            <w:tcW w:w="2693" w:type="dxa"/>
            <w:shd w:val="clear" w:color="auto" w:fill="92D050"/>
          </w:tcPr>
          <w:p w:rsidR="00CD75DE" w:rsidRPr="00CF38ED" w:rsidRDefault="00CD75DE" w:rsidP="008D3EB8">
            <w:pPr>
              <w:jc w:val="center"/>
              <w:rPr>
                <w:rFonts w:ascii="Times New Roman" w:eastAsia="Calibri" w:hAnsi="Times New Roman" w:cs="Times New Roman"/>
                <w:i/>
                <w:sz w:val="20"/>
              </w:rPr>
            </w:pPr>
            <w:r>
              <w:rPr>
                <w:rFonts w:ascii="Times New Roman" w:eastAsia="Calibri" w:hAnsi="Times New Roman" w:cs="Times New Roman"/>
                <w:i/>
                <w:sz w:val="20"/>
              </w:rPr>
              <w:t>0</w:t>
            </w:r>
          </w:p>
        </w:tc>
      </w:tr>
      <w:tr w:rsidR="00CD75DE" w:rsidRPr="00CF38ED" w:rsidTr="008D3EB8">
        <w:tc>
          <w:tcPr>
            <w:tcW w:w="3681" w:type="dxa"/>
          </w:tcPr>
          <w:p w:rsidR="00CD75DE" w:rsidRPr="00CF38ED" w:rsidRDefault="00CD75DE" w:rsidP="008D3EB8">
            <w:pPr>
              <w:rPr>
                <w:rFonts w:ascii="Times New Roman" w:eastAsia="Calibri" w:hAnsi="Times New Roman" w:cs="Times New Roman"/>
                <w:i/>
                <w:sz w:val="20"/>
              </w:rPr>
            </w:pPr>
            <w:r w:rsidRPr="00CF38ED">
              <w:rPr>
                <w:rFonts w:ascii="Times New Roman" w:eastAsia="Calibri" w:hAnsi="Times New Roman" w:cs="Times New Roman"/>
                <w:i/>
                <w:sz w:val="20"/>
              </w:rPr>
              <w:t>D. Administratívne náklady</w:t>
            </w:r>
          </w:p>
        </w:tc>
        <w:tc>
          <w:tcPr>
            <w:tcW w:w="2693" w:type="dxa"/>
            <w:shd w:val="clear" w:color="auto" w:fill="FFC000"/>
          </w:tcPr>
          <w:p w:rsidR="00CD75DE" w:rsidRPr="00CF38ED" w:rsidRDefault="00CD75DE" w:rsidP="008D3EB8">
            <w:pPr>
              <w:jc w:val="center"/>
              <w:rPr>
                <w:rFonts w:ascii="Times New Roman" w:eastAsia="Calibri" w:hAnsi="Times New Roman" w:cs="Times New Roman"/>
                <w:i/>
                <w:sz w:val="20"/>
              </w:rPr>
            </w:pPr>
            <w:r w:rsidRPr="00CF38ED">
              <w:rPr>
                <w:rFonts w:ascii="Times New Roman" w:eastAsia="Calibri" w:hAnsi="Times New Roman" w:cs="Times New Roman"/>
                <w:i/>
                <w:sz w:val="20"/>
              </w:rPr>
              <w:t>0</w:t>
            </w:r>
          </w:p>
        </w:tc>
        <w:tc>
          <w:tcPr>
            <w:tcW w:w="2693" w:type="dxa"/>
            <w:shd w:val="clear" w:color="auto" w:fill="92D050"/>
          </w:tcPr>
          <w:p w:rsidR="00CD75DE" w:rsidRPr="00CF38ED" w:rsidRDefault="000B36A0" w:rsidP="000B36A0">
            <w:pPr>
              <w:jc w:val="center"/>
              <w:rPr>
                <w:rFonts w:ascii="Times New Roman" w:eastAsia="Calibri" w:hAnsi="Times New Roman" w:cs="Times New Roman"/>
                <w:i/>
                <w:sz w:val="20"/>
              </w:rPr>
            </w:pPr>
            <w:r>
              <w:rPr>
                <w:rFonts w:ascii="Times New Roman" w:eastAsia="Calibri" w:hAnsi="Times New Roman" w:cs="Times New Roman"/>
                <w:i/>
                <w:sz w:val="20"/>
              </w:rPr>
              <w:t>1  436,1</w:t>
            </w:r>
            <w:r w:rsidR="00CD75DE" w:rsidRPr="00EA4C8E">
              <w:rPr>
                <w:rFonts w:ascii="Times New Roman" w:eastAsia="Calibri" w:hAnsi="Times New Roman" w:cs="Times New Roman"/>
                <w:i/>
                <w:sz w:val="20"/>
              </w:rPr>
              <w:t xml:space="preserve"> €</w:t>
            </w:r>
          </w:p>
        </w:tc>
      </w:tr>
      <w:tr w:rsidR="00CD75DE" w:rsidRPr="00CF38ED" w:rsidTr="008D3EB8">
        <w:tc>
          <w:tcPr>
            <w:tcW w:w="3681" w:type="dxa"/>
          </w:tcPr>
          <w:p w:rsidR="00CD75DE" w:rsidRPr="00CF38ED" w:rsidRDefault="00CD75DE" w:rsidP="008D3EB8">
            <w:pPr>
              <w:rPr>
                <w:rFonts w:ascii="Times New Roman" w:eastAsia="Calibri" w:hAnsi="Times New Roman" w:cs="Times New Roman"/>
                <w:b/>
                <w:i/>
                <w:sz w:val="20"/>
              </w:rPr>
            </w:pPr>
            <w:r w:rsidRPr="00CF38ED">
              <w:rPr>
                <w:rFonts w:ascii="Times New Roman" w:eastAsia="Calibri" w:hAnsi="Times New Roman" w:cs="Times New Roman"/>
                <w:b/>
                <w:i/>
                <w:sz w:val="20"/>
              </w:rPr>
              <w:t>Spolu = A+B+C+D</w:t>
            </w:r>
          </w:p>
        </w:tc>
        <w:tc>
          <w:tcPr>
            <w:tcW w:w="2693" w:type="dxa"/>
            <w:shd w:val="clear" w:color="auto" w:fill="FFC000"/>
          </w:tcPr>
          <w:p w:rsidR="00CD75DE" w:rsidRPr="000B36A0" w:rsidRDefault="000B36A0" w:rsidP="008D3EB8">
            <w:pPr>
              <w:jc w:val="center"/>
              <w:rPr>
                <w:rFonts w:ascii="Times New Roman" w:eastAsia="Calibri" w:hAnsi="Times New Roman" w:cs="Times New Roman"/>
                <w:b/>
                <w:i/>
                <w:sz w:val="20"/>
              </w:rPr>
            </w:pPr>
            <w:r w:rsidRPr="000B36A0">
              <w:rPr>
                <w:rFonts w:ascii="Times New Roman" w:hAnsi="Times New Roman" w:cs="Times New Roman"/>
                <w:b/>
                <w:bCs/>
                <w:i/>
                <w:color w:val="000000"/>
                <w:sz w:val="20"/>
                <w:szCs w:val="20"/>
              </w:rPr>
              <w:t>223 209,7 €</w:t>
            </w:r>
          </w:p>
        </w:tc>
        <w:tc>
          <w:tcPr>
            <w:tcW w:w="2693" w:type="dxa"/>
            <w:shd w:val="clear" w:color="auto" w:fill="92D050"/>
          </w:tcPr>
          <w:p w:rsidR="00CD75DE" w:rsidRPr="00CF38ED" w:rsidRDefault="000B36A0" w:rsidP="008D3EB8">
            <w:pPr>
              <w:jc w:val="center"/>
              <w:rPr>
                <w:rFonts w:ascii="Times New Roman" w:eastAsia="Calibri" w:hAnsi="Times New Roman" w:cs="Times New Roman"/>
                <w:b/>
                <w:i/>
                <w:sz w:val="20"/>
              </w:rPr>
            </w:pPr>
            <w:r>
              <w:rPr>
                <w:rFonts w:ascii="Times New Roman" w:eastAsia="Calibri" w:hAnsi="Times New Roman" w:cs="Times New Roman"/>
                <w:b/>
                <w:i/>
                <w:sz w:val="20"/>
              </w:rPr>
              <w:t>1</w:t>
            </w:r>
            <w:r w:rsidR="00A5166D">
              <w:rPr>
                <w:rFonts w:ascii="Times New Roman" w:eastAsia="Calibri" w:hAnsi="Times New Roman" w:cs="Times New Roman"/>
                <w:b/>
                <w:i/>
                <w:sz w:val="20"/>
              </w:rPr>
              <w:t xml:space="preserve"> </w:t>
            </w:r>
            <w:r>
              <w:rPr>
                <w:rFonts w:ascii="Times New Roman" w:eastAsia="Calibri" w:hAnsi="Times New Roman" w:cs="Times New Roman"/>
                <w:b/>
                <w:i/>
                <w:sz w:val="20"/>
              </w:rPr>
              <w:t>436,1 €</w:t>
            </w:r>
          </w:p>
        </w:tc>
      </w:tr>
      <w:tr w:rsidR="00CD75DE" w:rsidRPr="00CF38ED" w:rsidTr="008D3EB8">
        <w:tc>
          <w:tcPr>
            <w:tcW w:w="3681" w:type="dxa"/>
          </w:tcPr>
          <w:p w:rsidR="00CD75DE" w:rsidRPr="00CF38ED" w:rsidRDefault="00CD75DE" w:rsidP="008D3EB8">
            <w:pPr>
              <w:rPr>
                <w:rFonts w:ascii="Times New Roman" w:eastAsia="Calibri" w:hAnsi="Times New Roman" w:cs="Times New Roman"/>
                <w:b/>
                <w:i/>
                <w:sz w:val="20"/>
              </w:rPr>
            </w:pPr>
            <w:r w:rsidRPr="00CF38ED">
              <w:rPr>
                <w:rFonts w:ascii="Times New Roman" w:eastAsia="Calibri" w:hAnsi="Times New Roman" w:cs="Times New Roman"/>
                <w:b/>
                <w:i/>
                <w:sz w:val="20"/>
              </w:rPr>
              <w:t xml:space="preserve"> z toho</w:t>
            </w:r>
          </w:p>
        </w:tc>
        <w:tc>
          <w:tcPr>
            <w:tcW w:w="2693" w:type="dxa"/>
            <w:shd w:val="clear" w:color="auto" w:fill="FFC000"/>
          </w:tcPr>
          <w:p w:rsidR="00CD75DE" w:rsidRPr="00CF38ED" w:rsidRDefault="00CD75DE" w:rsidP="008D3EB8">
            <w:pPr>
              <w:jc w:val="center"/>
              <w:rPr>
                <w:rFonts w:ascii="Times New Roman" w:eastAsia="Calibri" w:hAnsi="Times New Roman" w:cs="Times New Roman"/>
                <w:b/>
                <w:i/>
                <w:sz w:val="20"/>
              </w:rPr>
            </w:pPr>
          </w:p>
        </w:tc>
        <w:tc>
          <w:tcPr>
            <w:tcW w:w="2693" w:type="dxa"/>
            <w:shd w:val="clear" w:color="auto" w:fill="92D050"/>
          </w:tcPr>
          <w:p w:rsidR="00CD75DE" w:rsidRPr="00CF38ED" w:rsidRDefault="00CD75DE" w:rsidP="008D3EB8">
            <w:pPr>
              <w:jc w:val="center"/>
              <w:rPr>
                <w:rFonts w:ascii="Times New Roman" w:eastAsia="Calibri" w:hAnsi="Times New Roman" w:cs="Times New Roman"/>
                <w:b/>
                <w:i/>
                <w:sz w:val="20"/>
              </w:rPr>
            </w:pPr>
          </w:p>
        </w:tc>
      </w:tr>
      <w:tr w:rsidR="00CD75DE" w:rsidRPr="00CF38ED" w:rsidTr="008D3EB8">
        <w:tc>
          <w:tcPr>
            <w:tcW w:w="3681" w:type="dxa"/>
          </w:tcPr>
          <w:p w:rsidR="00CD75DE" w:rsidRPr="00CF38ED" w:rsidRDefault="00CD75DE" w:rsidP="008D3EB8">
            <w:pPr>
              <w:rPr>
                <w:rFonts w:ascii="Times New Roman" w:eastAsia="Calibri" w:hAnsi="Times New Roman" w:cs="Times New Roman"/>
                <w:i/>
                <w:sz w:val="20"/>
              </w:rPr>
            </w:pPr>
            <w:r w:rsidRPr="00CF38ED">
              <w:rPr>
                <w:rFonts w:ascii="Times New Roman" w:eastAsia="Calibri" w:hAnsi="Times New Roman" w:cs="Times New Roman"/>
                <w:i/>
                <w:sz w:val="20"/>
              </w:rPr>
              <w:t xml:space="preserve">E. Vplyv na </w:t>
            </w:r>
            <w:proofErr w:type="spellStart"/>
            <w:r w:rsidRPr="00CF38ED">
              <w:rPr>
                <w:rFonts w:ascii="Times New Roman" w:eastAsia="Calibri" w:hAnsi="Times New Roman" w:cs="Times New Roman"/>
                <w:i/>
                <w:sz w:val="20"/>
              </w:rPr>
              <w:t>mikro</w:t>
            </w:r>
            <w:proofErr w:type="spellEnd"/>
            <w:r w:rsidRPr="00CF38ED">
              <w:rPr>
                <w:rFonts w:ascii="Times New Roman" w:eastAsia="Calibri" w:hAnsi="Times New Roman" w:cs="Times New Roman"/>
                <w:i/>
                <w:sz w:val="20"/>
              </w:rPr>
              <w:t>, malé a stredné podniky</w:t>
            </w:r>
          </w:p>
        </w:tc>
        <w:tc>
          <w:tcPr>
            <w:tcW w:w="2693" w:type="dxa"/>
            <w:shd w:val="clear" w:color="auto" w:fill="FFC000"/>
          </w:tcPr>
          <w:p w:rsidR="00CD75DE" w:rsidRPr="00CF38ED" w:rsidRDefault="00CD75DE" w:rsidP="008D3EB8">
            <w:pPr>
              <w:jc w:val="center"/>
              <w:rPr>
                <w:rFonts w:ascii="Times New Roman" w:eastAsia="Calibri" w:hAnsi="Times New Roman" w:cs="Times New Roman"/>
                <w:b/>
                <w:i/>
                <w:sz w:val="20"/>
              </w:rPr>
            </w:pPr>
            <w:r w:rsidRPr="00CF38ED">
              <w:rPr>
                <w:rFonts w:ascii="Times New Roman" w:eastAsia="Calibri" w:hAnsi="Times New Roman" w:cs="Times New Roman"/>
                <w:i/>
                <w:sz w:val="20"/>
              </w:rPr>
              <w:t>0</w:t>
            </w:r>
          </w:p>
        </w:tc>
        <w:tc>
          <w:tcPr>
            <w:tcW w:w="2693" w:type="dxa"/>
            <w:shd w:val="clear" w:color="auto" w:fill="92D050"/>
          </w:tcPr>
          <w:p w:rsidR="00CD75DE" w:rsidRPr="00CF38ED" w:rsidRDefault="00CD75DE" w:rsidP="008D3EB8">
            <w:pPr>
              <w:jc w:val="center"/>
              <w:rPr>
                <w:rFonts w:ascii="Times New Roman" w:eastAsia="Calibri" w:hAnsi="Times New Roman" w:cs="Times New Roman"/>
                <w:b/>
                <w:i/>
                <w:sz w:val="20"/>
              </w:rPr>
            </w:pPr>
            <w:r w:rsidRPr="00CF38ED">
              <w:rPr>
                <w:rFonts w:ascii="Times New Roman" w:eastAsia="Calibri" w:hAnsi="Times New Roman" w:cs="Times New Roman"/>
                <w:i/>
                <w:sz w:val="20"/>
              </w:rPr>
              <w:t>0</w:t>
            </w:r>
          </w:p>
        </w:tc>
      </w:tr>
      <w:tr w:rsidR="00CD75DE" w:rsidRPr="00CF38ED" w:rsidTr="008D3EB8">
        <w:tc>
          <w:tcPr>
            <w:tcW w:w="3681" w:type="dxa"/>
          </w:tcPr>
          <w:p w:rsidR="00CD75DE" w:rsidRPr="00CF38ED" w:rsidRDefault="00CD75DE" w:rsidP="008D3EB8">
            <w:pPr>
              <w:rPr>
                <w:rFonts w:ascii="Times New Roman" w:eastAsia="Calibri" w:hAnsi="Times New Roman" w:cs="Times New Roman"/>
                <w:i/>
                <w:sz w:val="20"/>
              </w:rPr>
            </w:pPr>
            <w:r w:rsidRPr="00CF38ED">
              <w:rPr>
                <w:rFonts w:ascii="Times New Roman" w:eastAsia="Calibri" w:hAnsi="Times New Roman" w:cs="Times New Roman"/>
                <w:i/>
                <w:sz w:val="20"/>
              </w:rPr>
              <w:t>F. Úplná harmonizácia práva EÚ</w:t>
            </w:r>
          </w:p>
        </w:tc>
        <w:tc>
          <w:tcPr>
            <w:tcW w:w="2693" w:type="dxa"/>
            <w:shd w:val="clear" w:color="auto" w:fill="FFC000"/>
          </w:tcPr>
          <w:p w:rsidR="00CD75DE" w:rsidRPr="000B36A0" w:rsidRDefault="000B36A0" w:rsidP="008D3EB8">
            <w:pPr>
              <w:jc w:val="center"/>
              <w:rPr>
                <w:rFonts w:ascii="Times New Roman" w:eastAsia="Calibri" w:hAnsi="Times New Roman" w:cs="Times New Roman"/>
                <w:i/>
                <w:sz w:val="20"/>
              </w:rPr>
            </w:pPr>
            <w:r w:rsidRPr="000B36A0">
              <w:rPr>
                <w:rFonts w:ascii="Times New Roman" w:hAnsi="Times New Roman" w:cs="Times New Roman"/>
                <w:bCs/>
                <w:i/>
                <w:color w:val="000000"/>
                <w:sz w:val="20"/>
                <w:szCs w:val="20"/>
              </w:rPr>
              <w:t>223 209,7 €</w:t>
            </w:r>
          </w:p>
        </w:tc>
        <w:tc>
          <w:tcPr>
            <w:tcW w:w="2693" w:type="dxa"/>
            <w:shd w:val="clear" w:color="auto" w:fill="92D050"/>
          </w:tcPr>
          <w:p w:rsidR="00CD75DE" w:rsidRPr="00CF38ED" w:rsidRDefault="000B36A0" w:rsidP="000B36A0">
            <w:pPr>
              <w:jc w:val="center"/>
              <w:rPr>
                <w:rFonts w:ascii="Times New Roman" w:eastAsia="Calibri" w:hAnsi="Times New Roman" w:cs="Times New Roman"/>
                <w:b/>
                <w:i/>
                <w:sz w:val="20"/>
              </w:rPr>
            </w:pPr>
            <w:r>
              <w:rPr>
                <w:rFonts w:ascii="Times New Roman" w:eastAsia="Calibri" w:hAnsi="Times New Roman" w:cs="Times New Roman"/>
                <w:i/>
                <w:sz w:val="20"/>
              </w:rPr>
              <w:t>1</w:t>
            </w:r>
            <w:r w:rsidR="00A5166D">
              <w:rPr>
                <w:rFonts w:ascii="Times New Roman" w:eastAsia="Calibri" w:hAnsi="Times New Roman" w:cs="Times New Roman"/>
                <w:i/>
                <w:sz w:val="20"/>
              </w:rPr>
              <w:t xml:space="preserve"> </w:t>
            </w:r>
            <w:r>
              <w:rPr>
                <w:rFonts w:ascii="Times New Roman" w:eastAsia="Calibri" w:hAnsi="Times New Roman" w:cs="Times New Roman"/>
                <w:i/>
                <w:sz w:val="20"/>
              </w:rPr>
              <w:t>436,1 €</w:t>
            </w:r>
          </w:p>
        </w:tc>
      </w:tr>
      <w:tr w:rsidR="00CD75DE" w:rsidRPr="00CF38ED" w:rsidTr="008D3EB8">
        <w:tc>
          <w:tcPr>
            <w:tcW w:w="9067" w:type="dxa"/>
            <w:gridSpan w:val="3"/>
            <w:shd w:val="clear" w:color="auto" w:fill="auto"/>
          </w:tcPr>
          <w:p w:rsidR="00CD75DE" w:rsidRPr="00CF38ED" w:rsidRDefault="00CD75DE" w:rsidP="008D3EB8">
            <w:pPr>
              <w:jc w:val="center"/>
              <w:rPr>
                <w:rFonts w:ascii="Times New Roman" w:eastAsia="Calibri" w:hAnsi="Times New Roman" w:cs="Times New Roman"/>
                <w:b/>
                <w:bCs/>
                <w:i/>
                <w:sz w:val="20"/>
              </w:rPr>
            </w:pPr>
          </w:p>
        </w:tc>
      </w:tr>
      <w:tr w:rsidR="00CD75DE" w:rsidRPr="00CF38ED" w:rsidTr="008D3EB8">
        <w:tc>
          <w:tcPr>
            <w:tcW w:w="3681" w:type="dxa"/>
          </w:tcPr>
          <w:p w:rsidR="00CD75DE" w:rsidRPr="00CF38ED" w:rsidRDefault="00CD75DE" w:rsidP="008D3EB8">
            <w:pPr>
              <w:rPr>
                <w:rFonts w:ascii="Times New Roman" w:eastAsia="Calibri" w:hAnsi="Times New Roman" w:cs="Times New Roman"/>
                <w:b/>
                <w:i/>
                <w:sz w:val="20"/>
              </w:rPr>
            </w:pPr>
            <w:r w:rsidRPr="00CF38ED">
              <w:rPr>
                <w:rFonts w:ascii="Times New Roman" w:eastAsia="Calibri" w:hAnsi="Times New Roman" w:cs="Times New Roman"/>
                <w:b/>
                <w:bCs/>
                <w:i/>
                <w:sz w:val="20"/>
              </w:rPr>
              <w:t>VÝPOČET mechanizmu znižovania byrokracie a nákladov</w:t>
            </w:r>
          </w:p>
        </w:tc>
        <w:tc>
          <w:tcPr>
            <w:tcW w:w="2693" w:type="dxa"/>
            <w:shd w:val="clear" w:color="auto" w:fill="FFC000"/>
          </w:tcPr>
          <w:p w:rsidR="00CD75DE" w:rsidRPr="00CF38ED" w:rsidRDefault="00CD75DE" w:rsidP="008D3EB8">
            <w:pPr>
              <w:jc w:val="center"/>
              <w:rPr>
                <w:rFonts w:ascii="Times New Roman" w:eastAsia="Calibri" w:hAnsi="Times New Roman" w:cs="Times New Roman"/>
                <w:b/>
                <w:bCs/>
                <w:i/>
                <w:sz w:val="20"/>
              </w:rPr>
            </w:pPr>
            <w:r w:rsidRPr="00CF38ED">
              <w:rPr>
                <w:rFonts w:ascii="Times New Roman" w:eastAsia="Calibri" w:hAnsi="Times New Roman" w:cs="Times New Roman"/>
                <w:b/>
                <w:bCs/>
                <w:i/>
                <w:sz w:val="20"/>
              </w:rPr>
              <w:t>IN</w:t>
            </w:r>
          </w:p>
        </w:tc>
        <w:tc>
          <w:tcPr>
            <w:tcW w:w="2693" w:type="dxa"/>
            <w:shd w:val="clear" w:color="auto" w:fill="92D050"/>
          </w:tcPr>
          <w:p w:rsidR="00CD75DE" w:rsidRPr="00CF38ED" w:rsidRDefault="00CD75DE" w:rsidP="008D3EB8">
            <w:pPr>
              <w:jc w:val="center"/>
              <w:rPr>
                <w:rFonts w:ascii="Times New Roman" w:eastAsia="Calibri" w:hAnsi="Times New Roman" w:cs="Times New Roman"/>
                <w:b/>
                <w:bCs/>
                <w:i/>
                <w:sz w:val="20"/>
              </w:rPr>
            </w:pPr>
            <w:r w:rsidRPr="00CF38ED">
              <w:rPr>
                <w:rFonts w:ascii="Times New Roman" w:eastAsia="Calibri" w:hAnsi="Times New Roman" w:cs="Times New Roman"/>
                <w:b/>
                <w:bCs/>
                <w:i/>
                <w:sz w:val="20"/>
              </w:rPr>
              <w:t>OUT</w:t>
            </w:r>
          </w:p>
        </w:tc>
      </w:tr>
      <w:tr w:rsidR="00CD75DE" w:rsidRPr="00CF38ED" w:rsidTr="008D3EB8">
        <w:tc>
          <w:tcPr>
            <w:tcW w:w="3681" w:type="dxa"/>
          </w:tcPr>
          <w:p w:rsidR="00CD75DE" w:rsidRPr="00CF38ED" w:rsidRDefault="00CD75DE" w:rsidP="008D3EB8">
            <w:pPr>
              <w:rPr>
                <w:rFonts w:ascii="Times New Roman" w:eastAsia="Calibri" w:hAnsi="Times New Roman" w:cs="Times New Roman"/>
                <w:b/>
                <w:i/>
                <w:sz w:val="20"/>
              </w:rPr>
            </w:pPr>
            <w:r w:rsidRPr="00CF38ED">
              <w:rPr>
                <w:rFonts w:ascii="Times New Roman" w:eastAsia="Calibri" w:hAnsi="Times New Roman" w:cs="Times New Roman"/>
                <w:b/>
                <w:i/>
                <w:sz w:val="20"/>
              </w:rPr>
              <w:t>G. Náklady okrem výnimiek = B+C+D-F</w:t>
            </w:r>
          </w:p>
        </w:tc>
        <w:tc>
          <w:tcPr>
            <w:tcW w:w="2693" w:type="dxa"/>
            <w:shd w:val="clear" w:color="auto" w:fill="FFC000"/>
          </w:tcPr>
          <w:p w:rsidR="00CD75DE" w:rsidRPr="00EA4C8E" w:rsidRDefault="000B36A0" w:rsidP="008D3EB8">
            <w:pPr>
              <w:jc w:val="center"/>
              <w:rPr>
                <w:rFonts w:ascii="Times New Roman" w:eastAsia="Calibri" w:hAnsi="Times New Roman" w:cs="Times New Roman"/>
                <w:b/>
                <w:bCs/>
                <w:i/>
                <w:sz w:val="20"/>
              </w:rPr>
            </w:pPr>
            <w:r>
              <w:rPr>
                <w:rFonts w:ascii="Times New Roman" w:eastAsia="Calibri" w:hAnsi="Times New Roman" w:cs="Times New Roman"/>
                <w:b/>
                <w:bCs/>
                <w:i/>
                <w:sz w:val="20"/>
              </w:rPr>
              <w:t>0</w:t>
            </w:r>
          </w:p>
        </w:tc>
        <w:tc>
          <w:tcPr>
            <w:tcW w:w="2693" w:type="dxa"/>
            <w:shd w:val="clear" w:color="auto" w:fill="92D050"/>
          </w:tcPr>
          <w:p w:rsidR="00CD75DE" w:rsidRPr="00EA4C8E" w:rsidRDefault="000B36A0" w:rsidP="000B36A0">
            <w:pPr>
              <w:jc w:val="center"/>
              <w:rPr>
                <w:rFonts w:ascii="Times New Roman" w:eastAsia="Calibri" w:hAnsi="Times New Roman" w:cs="Times New Roman"/>
                <w:b/>
                <w:bCs/>
                <w:i/>
                <w:sz w:val="20"/>
              </w:rPr>
            </w:pPr>
            <w:r>
              <w:rPr>
                <w:rFonts w:ascii="Times New Roman" w:eastAsia="Calibri" w:hAnsi="Times New Roman" w:cs="Times New Roman"/>
                <w:b/>
                <w:bCs/>
                <w:i/>
                <w:sz w:val="20"/>
              </w:rPr>
              <w:t>0</w:t>
            </w:r>
          </w:p>
        </w:tc>
      </w:tr>
    </w:tbl>
    <w:p w:rsidR="00CD75DE" w:rsidRPr="00CF38ED" w:rsidRDefault="00CD75DE" w:rsidP="00CD75DE">
      <w:pPr>
        <w:spacing w:after="0"/>
        <w:rPr>
          <w:rFonts w:ascii="Times New Roman" w:eastAsia="Calibri" w:hAnsi="Times New Roman" w:cs="Times New Roman"/>
          <w:i/>
        </w:rPr>
      </w:pPr>
    </w:p>
    <w:p w:rsidR="00CD75DE" w:rsidRPr="00CF38ED" w:rsidRDefault="00CD75DE" w:rsidP="00CD75DE">
      <w:pPr>
        <w:spacing w:after="0"/>
        <w:rPr>
          <w:rFonts w:ascii="Times New Roman" w:eastAsia="Calibri" w:hAnsi="Times New Roman" w:cs="Times New Roman"/>
          <w:i/>
        </w:rPr>
      </w:pPr>
    </w:p>
    <w:p w:rsidR="00CD75DE" w:rsidRPr="00CF38ED" w:rsidRDefault="00CD75DE" w:rsidP="00CD75DE">
      <w:pPr>
        <w:rPr>
          <w:rFonts w:ascii="Times New Roman" w:eastAsia="Calibri" w:hAnsi="Times New Roman" w:cs="Times New Roman"/>
          <w:b/>
          <w:sz w:val="24"/>
          <w:szCs w:val="24"/>
        </w:rPr>
      </w:pPr>
    </w:p>
    <w:p w:rsidR="00CD75DE" w:rsidRPr="00CF38ED" w:rsidRDefault="00CD75DE" w:rsidP="00CD75DE">
      <w:pPr>
        <w:rPr>
          <w:rFonts w:ascii="Times New Roman" w:eastAsia="Calibri" w:hAnsi="Times New Roman" w:cs="Times New Roman"/>
          <w:b/>
          <w:sz w:val="24"/>
          <w:szCs w:val="24"/>
        </w:rPr>
        <w:sectPr w:rsidR="00CD75DE" w:rsidRPr="00CF38ED" w:rsidSect="00AB3845">
          <w:pgSz w:w="11906" w:h="16838"/>
          <w:pgMar w:top="993" w:right="1417" w:bottom="1417" w:left="1417" w:header="708" w:footer="708" w:gutter="0"/>
          <w:pgNumType w:start="1"/>
          <w:cols w:space="708"/>
          <w:docGrid w:linePitch="360"/>
        </w:sectPr>
      </w:pPr>
    </w:p>
    <w:p w:rsidR="00CD75DE" w:rsidRPr="00CF38ED" w:rsidRDefault="00CD75DE" w:rsidP="00CD75DE">
      <w:pPr>
        <w:rPr>
          <w:rFonts w:ascii="Times New Roman" w:eastAsia="Calibri" w:hAnsi="Times New Roman" w:cs="Times New Roman"/>
          <w:b/>
          <w:i/>
          <w:iCs/>
          <w:sz w:val="24"/>
          <w:szCs w:val="24"/>
        </w:rPr>
      </w:pPr>
      <w:r w:rsidRPr="00CF38ED">
        <w:rPr>
          <w:rFonts w:ascii="Times New Roman" w:eastAsia="Calibri" w:hAnsi="Times New Roman" w:cs="Times New Roman"/>
          <w:b/>
          <w:i/>
          <w:iCs/>
          <w:sz w:val="24"/>
          <w:szCs w:val="24"/>
        </w:rPr>
        <w:lastRenderedPageBreak/>
        <w:t>3.1.2 Výpočty vplyvov jednotlivých regulácií na zmeny v nákladoch podnikateľov</w:t>
      </w:r>
    </w:p>
    <w:p w:rsidR="00CD75DE" w:rsidRPr="00CF38ED" w:rsidRDefault="00CD75DE" w:rsidP="00CD75DE">
      <w:pPr>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Tabuľka č. 2: Výpočet vplyvov jednotlivých regulácií (nahraďte rovnakou tabuľkou po vyplnení Kalkulačky nákladov):</w:t>
      </w:r>
    </w:p>
    <w:tbl>
      <w:tblPr>
        <w:tblW w:w="13892" w:type="dxa"/>
        <w:tblCellMar>
          <w:left w:w="70" w:type="dxa"/>
          <w:right w:w="70" w:type="dxa"/>
        </w:tblCellMar>
        <w:tblLook w:val="04A0" w:firstRow="1" w:lastRow="0" w:firstColumn="1" w:lastColumn="0" w:noHBand="0" w:noVBand="1"/>
      </w:tblPr>
      <w:tblGrid>
        <w:gridCol w:w="452"/>
        <w:gridCol w:w="1618"/>
        <w:gridCol w:w="790"/>
        <w:gridCol w:w="1129"/>
        <w:gridCol w:w="1072"/>
        <w:gridCol w:w="934"/>
        <w:gridCol w:w="1613"/>
        <w:gridCol w:w="991"/>
        <w:gridCol w:w="1037"/>
        <w:gridCol w:w="854"/>
        <w:gridCol w:w="1134"/>
        <w:gridCol w:w="2268"/>
      </w:tblGrid>
      <w:tr w:rsidR="00CD75DE" w:rsidRPr="00CF38ED" w:rsidTr="008D3EB8">
        <w:trPr>
          <w:trHeight w:val="315"/>
        </w:trPr>
        <w:tc>
          <w:tcPr>
            <w:tcW w:w="11624" w:type="dxa"/>
            <w:gridSpan w:val="11"/>
            <w:tcBorders>
              <w:top w:val="nil"/>
              <w:left w:val="nil"/>
              <w:bottom w:val="nil"/>
              <w:right w:val="nil"/>
            </w:tcBorders>
            <w:shd w:val="clear" w:color="auto" w:fill="auto"/>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4"/>
                <w:szCs w:val="24"/>
                <w:lang w:eastAsia="sk-SK"/>
              </w:rPr>
            </w:pPr>
            <w:r w:rsidRPr="00CF38ED">
              <w:rPr>
                <w:rFonts w:ascii="Times New Roman" w:eastAsia="Times New Roman" w:hAnsi="Times New Roman" w:cs="Times New Roman"/>
                <w:b/>
                <w:bCs/>
                <w:color w:val="000000"/>
                <w:sz w:val="24"/>
                <w:szCs w:val="24"/>
                <w:lang w:eastAsia="sk-SK"/>
              </w:rPr>
              <w:t xml:space="preserve">Tabuľka č. 2: Výpočet vplyvov jednotlivých regulácií </w:t>
            </w:r>
          </w:p>
        </w:tc>
        <w:tc>
          <w:tcPr>
            <w:tcW w:w="2268" w:type="dxa"/>
            <w:tcBorders>
              <w:top w:val="nil"/>
              <w:left w:val="nil"/>
              <w:bottom w:val="nil"/>
              <w:right w:val="nil"/>
            </w:tcBorders>
            <w:shd w:val="clear" w:color="auto" w:fill="auto"/>
            <w:noWrap/>
            <w:vAlign w:val="bottom"/>
            <w:hideMark/>
          </w:tcPr>
          <w:p w:rsidR="00CD75DE" w:rsidRPr="00CF38ED" w:rsidRDefault="00CD75DE" w:rsidP="008D3EB8">
            <w:pPr>
              <w:spacing w:after="0" w:line="240" w:lineRule="auto"/>
              <w:rPr>
                <w:rFonts w:ascii="Times New Roman" w:eastAsia="Times New Roman" w:hAnsi="Times New Roman" w:cs="Times New Roman"/>
                <w:b/>
                <w:bCs/>
                <w:color w:val="000000"/>
                <w:sz w:val="24"/>
                <w:szCs w:val="24"/>
                <w:lang w:eastAsia="sk-SK"/>
              </w:rPr>
            </w:pPr>
          </w:p>
        </w:tc>
      </w:tr>
      <w:tr w:rsidR="00CD75DE" w:rsidRPr="00CF38ED" w:rsidTr="008D3EB8">
        <w:trPr>
          <w:trHeight w:val="450"/>
        </w:trPr>
        <w:tc>
          <w:tcPr>
            <w:tcW w:w="45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CF38ED">
              <w:rPr>
                <w:rFonts w:ascii="Times New Roman" w:eastAsia="Times New Roman" w:hAnsi="Times New Roman" w:cs="Times New Roman"/>
                <w:b/>
                <w:bCs/>
                <w:color w:val="000000"/>
                <w:sz w:val="20"/>
                <w:szCs w:val="20"/>
                <w:lang w:eastAsia="sk-SK"/>
              </w:rPr>
              <w:t>P.č</w:t>
            </w:r>
            <w:proofErr w:type="spellEnd"/>
            <w:r w:rsidRPr="00CF38ED">
              <w:rPr>
                <w:rFonts w:ascii="Times New Roman" w:eastAsia="Times New Roman" w:hAnsi="Times New Roman" w:cs="Times New Roman"/>
                <w:b/>
                <w:bCs/>
                <w:color w:val="000000"/>
                <w:sz w:val="20"/>
                <w:szCs w:val="20"/>
                <w:lang w:eastAsia="sk-SK"/>
              </w:rPr>
              <w:t>.</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 xml:space="preserve">Zrozumiteľný a stručný opis regulácie </w:t>
            </w:r>
            <w:r w:rsidRPr="00CF38ED">
              <w:rPr>
                <w:rFonts w:ascii="Times New Roman" w:eastAsia="Times New Roman" w:hAnsi="Times New Roman" w:cs="Times New Roman"/>
                <w:b/>
                <w:bCs/>
                <w:color w:val="000000"/>
                <w:sz w:val="20"/>
                <w:szCs w:val="20"/>
                <w:lang w:eastAsia="sk-SK"/>
              </w:rPr>
              <w:br/>
              <w:t>(dôvod zvýšenia/zníženia nákladov na PP)</w:t>
            </w:r>
          </w:p>
        </w:tc>
        <w:tc>
          <w:tcPr>
            <w:tcW w:w="79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Číslo normy</w:t>
            </w:r>
            <w:r w:rsidRPr="00CF38ED">
              <w:rPr>
                <w:rFonts w:ascii="Times New Roman" w:eastAsia="Times New Roman" w:hAnsi="Times New Roman" w:cs="Times New Roman"/>
                <w:b/>
                <w:bCs/>
                <w:color w:val="000000"/>
                <w:sz w:val="20"/>
                <w:szCs w:val="20"/>
                <w:lang w:eastAsia="sk-SK"/>
              </w:rPr>
              <w:br/>
            </w:r>
            <w:r w:rsidRPr="00CF38ED">
              <w:rPr>
                <w:rFonts w:ascii="Times New Roman" w:eastAsia="Times New Roman" w:hAnsi="Times New Roman" w:cs="Times New Roman"/>
                <w:color w:val="000000"/>
                <w:sz w:val="18"/>
                <w:szCs w:val="18"/>
                <w:lang w:eastAsia="sk-SK"/>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Lokalizácia</w:t>
            </w:r>
            <w:r w:rsidRPr="00CF38ED">
              <w:rPr>
                <w:rFonts w:ascii="Times New Roman" w:eastAsia="Times New Roman" w:hAnsi="Times New Roman" w:cs="Times New Roman"/>
                <w:b/>
                <w:bCs/>
                <w:color w:val="000000"/>
                <w:sz w:val="20"/>
                <w:szCs w:val="20"/>
                <w:lang w:eastAsia="sk-SK"/>
              </w:rPr>
              <w:br/>
            </w:r>
            <w:r w:rsidRPr="00CF38ED">
              <w:rPr>
                <w:rFonts w:ascii="Times New Roman" w:eastAsia="Times New Roman" w:hAnsi="Times New Roman" w:cs="Times New Roman"/>
                <w:b/>
                <w:bCs/>
                <w:color w:val="000000"/>
                <w:sz w:val="18"/>
                <w:szCs w:val="18"/>
                <w:lang w:eastAsia="sk-SK"/>
              </w:rPr>
              <w:t>(§, ods.)</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 xml:space="preserve">Pôvod regulácie: </w:t>
            </w:r>
            <w:r w:rsidRPr="00CF38ED">
              <w:rPr>
                <w:rFonts w:ascii="Times New Roman" w:eastAsia="Times New Roman" w:hAnsi="Times New Roman" w:cs="Times New Roman"/>
                <w:b/>
                <w:bCs/>
                <w:color w:val="000000"/>
                <w:sz w:val="20"/>
                <w:szCs w:val="20"/>
                <w:lang w:eastAsia="sk-SK"/>
              </w:rPr>
              <w:br/>
            </w:r>
            <w:r w:rsidRPr="00CF38ED">
              <w:rPr>
                <w:rFonts w:ascii="Times New Roman" w:eastAsia="Times New Roman" w:hAnsi="Times New Roman" w:cs="Times New Roman"/>
                <w:color w:val="000000"/>
                <w:sz w:val="18"/>
                <w:szCs w:val="18"/>
                <w:lang w:eastAsia="sk-SK"/>
              </w:rPr>
              <w:t xml:space="preserve">SR/EÚ úplná </w:t>
            </w:r>
            <w:proofErr w:type="spellStart"/>
            <w:r w:rsidRPr="00CF38ED">
              <w:rPr>
                <w:rFonts w:ascii="Times New Roman" w:eastAsia="Times New Roman" w:hAnsi="Times New Roman" w:cs="Times New Roman"/>
                <w:color w:val="000000"/>
                <w:sz w:val="18"/>
                <w:szCs w:val="18"/>
                <w:lang w:eastAsia="sk-SK"/>
              </w:rPr>
              <w:t>harm</w:t>
            </w:r>
            <w:proofErr w:type="spellEnd"/>
            <w:r w:rsidRPr="00CF38ED">
              <w:rPr>
                <w:rFonts w:ascii="Times New Roman" w:eastAsia="Times New Roman" w:hAnsi="Times New Roman" w:cs="Times New Roman"/>
                <w:color w:val="000000"/>
                <w:sz w:val="18"/>
                <w:szCs w:val="18"/>
                <w:lang w:eastAsia="sk-SK"/>
              </w:rPr>
              <w:t xml:space="preserve">./EÚ </w:t>
            </w:r>
            <w:proofErr w:type="spellStart"/>
            <w:r w:rsidRPr="00CF38ED">
              <w:rPr>
                <w:rFonts w:ascii="Times New Roman" w:eastAsia="Times New Roman" w:hAnsi="Times New Roman" w:cs="Times New Roman"/>
                <w:color w:val="000000"/>
                <w:sz w:val="18"/>
                <w:szCs w:val="18"/>
                <w:lang w:eastAsia="sk-SK"/>
              </w:rPr>
              <w:t>harm</w:t>
            </w:r>
            <w:proofErr w:type="spellEnd"/>
            <w:r w:rsidRPr="00CF38ED">
              <w:rPr>
                <w:rFonts w:ascii="Times New Roman" w:eastAsia="Times New Roman" w:hAnsi="Times New Roman" w:cs="Times New Roman"/>
                <w:color w:val="000000"/>
                <w:sz w:val="18"/>
                <w:szCs w:val="18"/>
                <w:lang w:eastAsia="sk-SK"/>
              </w:rPr>
              <w:t>. s možnosťou voľby</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Účinnosť regulácie</w:t>
            </w:r>
          </w:p>
        </w:tc>
        <w:tc>
          <w:tcPr>
            <w:tcW w:w="161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 xml:space="preserve">Kategória </w:t>
            </w:r>
            <w:proofErr w:type="spellStart"/>
            <w:r w:rsidRPr="00CF38ED">
              <w:rPr>
                <w:rFonts w:ascii="Times New Roman" w:eastAsia="Times New Roman" w:hAnsi="Times New Roman" w:cs="Times New Roman"/>
                <w:b/>
                <w:bCs/>
                <w:color w:val="000000"/>
                <w:sz w:val="20"/>
                <w:szCs w:val="20"/>
                <w:lang w:eastAsia="sk-SK"/>
              </w:rPr>
              <w:t>dotk</w:t>
            </w:r>
            <w:proofErr w:type="spellEnd"/>
            <w:r w:rsidRPr="00CF38ED">
              <w:rPr>
                <w:rFonts w:ascii="Times New Roman" w:eastAsia="Times New Roman" w:hAnsi="Times New Roman" w:cs="Times New Roman"/>
                <w:b/>
                <w:bCs/>
                <w:color w:val="000000"/>
                <w:sz w:val="20"/>
                <w:szCs w:val="20"/>
                <w:lang w:eastAsia="sk-SK"/>
              </w:rPr>
              <w:t>. subjektov</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 xml:space="preserve">Počet subjektov spolu </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Počet subjektov MSP</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Vplyv na 1 podnik. v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 xml:space="preserve">Vplyv na kategóriu </w:t>
            </w:r>
            <w:proofErr w:type="spellStart"/>
            <w:r w:rsidRPr="00CF38ED">
              <w:rPr>
                <w:rFonts w:ascii="Times New Roman" w:eastAsia="Times New Roman" w:hAnsi="Times New Roman" w:cs="Times New Roman"/>
                <w:b/>
                <w:bCs/>
                <w:color w:val="000000"/>
                <w:sz w:val="20"/>
                <w:szCs w:val="20"/>
                <w:lang w:eastAsia="sk-SK"/>
              </w:rPr>
              <w:t>dotk</w:t>
            </w:r>
            <w:proofErr w:type="spellEnd"/>
            <w:r w:rsidRPr="00CF38ED">
              <w:rPr>
                <w:rFonts w:ascii="Times New Roman" w:eastAsia="Times New Roman" w:hAnsi="Times New Roman" w:cs="Times New Roman"/>
                <w:b/>
                <w:bCs/>
                <w:color w:val="000000"/>
                <w:sz w:val="20"/>
                <w:szCs w:val="20"/>
                <w:lang w:eastAsia="sk-SK"/>
              </w:rPr>
              <w:t>. subjektov v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D75DE" w:rsidRPr="00CF38ED" w:rsidRDefault="00CD75DE" w:rsidP="008D3EB8">
            <w:pPr>
              <w:spacing w:after="0" w:line="240" w:lineRule="auto"/>
              <w:jc w:val="center"/>
              <w:rPr>
                <w:rFonts w:ascii="Times New Roman" w:eastAsia="Times New Roman" w:hAnsi="Times New Roman" w:cs="Times New Roman"/>
                <w:b/>
                <w:bCs/>
                <w:color w:val="000000"/>
                <w:sz w:val="20"/>
                <w:szCs w:val="20"/>
                <w:lang w:eastAsia="sk-SK"/>
              </w:rPr>
            </w:pPr>
            <w:r w:rsidRPr="00CF38ED">
              <w:rPr>
                <w:rFonts w:ascii="Times New Roman" w:eastAsia="Times New Roman" w:hAnsi="Times New Roman" w:cs="Times New Roman"/>
                <w:b/>
                <w:bCs/>
                <w:color w:val="000000"/>
                <w:sz w:val="20"/>
                <w:szCs w:val="20"/>
                <w:lang w:eastAsia="sk-SK"/>
              </w:rPr>
              <w:t>Druh vplyvu</w:t>
            </w:r>
            <w:r w:rsidRPr="00CF38ED">
              <w:rPr>
                <w:rFonts w:ascii="Times New Roman" w:eastAsia="Times New Roman" w:hAnsi="Times New Roman" w:cs="Times New Roman"/>
                <w:b/>
                <w:bCs/>
                <w:color w:val="000000"/>
                <w:sz w:val="20"/>
                <w:szCs w:val="20"/>
                <w:lang w:eastAsia="sk-SK"/>
              </w:rPr>
              <w:br/>
            </w:r>
            <w:r w:rsidRPr="00CF38ED">
              <w:rPr>
                <w:rFonts w:ascii="Times New Roman" w:eastAsia="Times New Roman" w:hAnsi="Times New Roman" w:cs="Times New Roman"/>
                <w:color w:val="000000"/>
                <w:sz w:val="18"/>
                <w:szCs w:val="18"/>
                <w:lang w:eastAsia="sk-SK"/>
              </w:rPr>
              <w:t xml:space="preserve">In (zvyšuje náklady) / </w:t>
            </w:r>
            <w:r w:rsidRPr="00CF38ED">
              <w:rPr>
                <w:rFonts w:ascii="Times New Roman" w:eastAsia="Times New Roman" w:hAnsi="Times New Roman" w:cs="Times New Roman"/>
                <w:color w:val="000000"/>
                <w:sz w:val="18"/>
                <w:szCs w:val="18"/>
                <w:lang w:eastAsia="sk-SK"/>
              </w:rPr>
              <w:br/>
            </w:r>
            <w:proofErr w:type="spellStart"/>
            <w:r w:rsidRPr="00CF38ED">
              <w:rPr>
                <w:rFonts w:ascii="Times New Roman" w:eastAsia="Times New Roman" w:hAnsi="Times New Roman" w:cs="Times New Roman"/>
                <w:color w:val="000000"/>
                <w:sz w:val="18"/>
                <w:szCs w:val="18"/>
                <w:lang w:eastAsia="sk-SK"/>
              </w:rPr>
              <w:t>Out</w:t>
            </w:r>
            <w:proofErr w:type="spellEnd"/>
            <w:r w:rsidRPr="00CF38ED">
              <w:rPr>
                <w:rFonts w:ascii="Times New Roman" w:eastAsia="Times New Roman" w:hAnsi="Times New Roman" w:cs="Times New Roman"/>
                <w:color w:val="000000"/>
                <w:sz w:val="18"/>
                <w:szCs w:val="18"/>
                <w:lang w:eastAsia="sk-SK"/>
              </w:rPr>
              <w:t xml:space="preserve"> (znižuje náklady)</w:t>
            </w:r>
          </w:p>
        </w:tc>
      </w:tr>
      <w:tr w:rsidR="00CD75DE" w:rsidRPr="00CF38ED" w:rsidTr="008D3EB8">
        <w:trPr>
          <w:trHeight w:val="45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r>
      <w:tr w:rsidR="00CD75DE" w:rsidRPr="00CF38ED" w:rsidTr="008D3EB8">
        <w:trPr>
          <w:trHeight w:val="45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r>
      <w:tr w:rsidR="00CD75DE" w:rsidRPr="00CF38ED" w:rsidTr="008D3EB8">
        <w:trPr>
          <w:trHeight w:val="45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r>
      <w:tr w:rsidR="00CD75DE" w:rsidRPr="00CF38ED" w:rsidTr="008D3EB8">
        <w:trPr>
          <w:trHeight w:val="45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r>
      <w:tr w:rsidR="00CD75DE" w:rsidRPr="00CF38ED" w:rsidTr="008D3EB8">
        <w:trPr>
          <w:trHeight w:val="688"/>
        </w:trPr>
        <w:tc>
          <w:tcPr>
            <w:tcW w:w="45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D75DE" w:rsidRPr="00CF38ED" w:rsidRDefault="00CD75DE" w:rsidP="008D3EB8">
            <w:pPr>
              <w:spacing w:after="0" w:line="240" w:lineRule="auto"/>
              <w:rPr>
                <w:rFonts w:ascii="Times New Roman" w:eastAsia="Times New Roman" w:hAnsi="Times New Roman" w:cs="Times New Roman"/>
                <w:b/>
                <w:bCs/>
                <w:color w:val="000000"/>
                <w:sz w:val="20"/>
                <w:szCs w:val="20"/>
                <w:lang w:eastAsia="sk-SK"/>
              </w:rPr>
            </w:pPr>
          </w:p>
        </w:tc>
      </w:tr>
      <w:tr w:rsidR="00CD75DE" w:rsidRPr="00CF38ED" w:rsidTr="008D3EB8">
        <w:trPr>
          <w:trHeight w:val="25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1</w:t>
            </w:r>
          </w:p>
        </w:tc>
        <w:tc>
          <w:tcPr>
            <w:tcW w:w="1618"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 xml:space="preserve">zvýšené náklady na transport, skladovanie a manipuláciu v dôsledku zákazu predaja obmedzených prekurzorov výbušnín pre členov širokej verejnosti </w:t>
            </w:r>
          </w:p>
        </w:tc>
        <w:tc>
          <w:tcPr>
            <w:tcW w:w="790"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sz w:val="16"/>
                <w:szCs w:val="16"/>
                <w:lang w:eastAsia="sk-SK"/>
              </w:rPr>
            </w:pPr>
            <w:r w:rsidRPr="00CF38ED">
              <w:rPr>
                <w:rFonts w:ascii="Times New Roman" w:eastAsia="Times New Roman" w:hAnsi="Times New Roman" w:cs="Times New Roman"/>
                <w:sz w:val="16"/>
                <w:szCs w:val="16"/>
                <w:lang w:eastAsia="sk-SK"/>
              </w:rPr>
              <w:t>Návrh zákona, ktorým sa mení a dopĺňa zákon č. 262/2014 Z. z.</w:t>
            </w:r>
          </w:p>
        </w:tc>
        <w:tc>
          <w:tcPr>
            <w:tcW w:w="1129"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sz w:val="16"/>
                <w:szCs w:val="16"/>
                <w:lang w:eastAsia="sk-SK"/>
              </w:rPr>
            </w:pPr>
            <w:r w:rsidRPr="00CF38ED">
              <w:rPr>
                <w:rFonts w:ascii="Times New Roman" w:eastAsia="Times New Roman" w:hAnsi="Times New Roman" w:cs="Times New Roman"/>
                <w:sz w:val="16"/>
                <w:szCs w:val="16"/>
                <w:lang w:eastAsia="sk-SK"/>
              </w:rPr>
              <w:t>§7 ods. 1</w:t>
            </w:r>
          </w:p>
        </w:tc>
        <w:tc>
          <w:tcPr>
            <w:tcW w:w="1072"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EÚ úplná harmonizácia</w:t>
            </w:r>
          </w:p>
        </w:tc>
        <w:tc>
          <w:tcPr>
            <w:tcW w:w="934"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1.1.2022</w:t>
            </w:r>
          </w:p>
        </w:tc>
        <w:tc>
          <w:tcPr>
            <w:tcW w:w="1613"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 xml:space="preserve">Predajcovia </w:t>
            </w:r>
            <w:r w:rsidRPr="00CF38ED">
              <w:rPr>
                <w:rFonts w:ascii="Times New Roman" w:eastAsia="Times New Roman" w:hAnsi="Times New Roman" w:cs="Times New Roman"/>
                <w:color w:val="000000"/>
                <w:sz w:val="16"/>
                <w:szCs w:val="16"/>
                <w:lang w:eastAsia="sk-SK"/>
              </w:rPr>
              <w:t>prekurzorov výbušnín</w:t>
            </w:r>
          </w:p>
        </w:tc>
        <w:tc>
          <w:tcPr>
            <w:tcW w:w="991"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100</w:t>
            </w:r>
          </w:p>
        </w:tc>
        <w:tc>
          <w:tcPr>
            <w:tcW w:w="1037"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N</w:t>
            </w:r>
          </w:p>
        </w:tc>
        <w:tc>
          <w:tcPr>
            <w:tcW w:w="854"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2 232,09 €</w:t>
            </w:r>
          </w:p>
        </w:tc>
        <w:tc>
          <w:tcPr>
            <w:tcW w:w="1134" w:type="dxa"/>
            <w:tcBorders>
              <w:top w:val="nil"/>
              <w:left w:val="nil"/>
              <w:bottom w:val="single" w:sz="4" w:space="0" w:color="auto"/>
              <w:right w:val="single" w:sz="4" w:space="0" w:color="auto"/>
            </w:tcBorders>
            <w:shd w:val="clear" w:color="auto" w:fill="auto"/>
            <w:vAlign w:val="center"/>
            <w:hideMark/>
          </w:tcPr>
          <w:p w:rsidR="00CD75DE" w:rsidRPr="00CF38ED" w:rsidRDefault="000B36A0" w:rsidP="008D3EB8">
            <w:pPr>
              <w:spacing w:after="0" w:line="240" w:lineRule="auto"/>
              <w:jc w:val="center"/>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223 209,7</w:t>
            </w:r>
            <w:r w:rsidR="00CD75DE" w:rsidRPr="00E76970">
              <w:rPr>
                <w:rFonts w:ascii="Times New Roman" w:eastAsia="Times New Roman" w:hAnsi="Times New Roman" w:cs="Times New Roman"/>
                <w:color w:val="000000"/>
                <w:sz w:val="16"/>
                <w:szCs w:val="16"/>
                <w:lang w:eastAsia="sk-SK"/>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In (zvyšuje náklady)</w:t>
            </w:r>
          </w:p>
        </w:tc>
      </w:tr>
      <w:tr w:rsidR="00CD75DE" w:rsidRPr="00CF38ED" w:rsidTr="008D3EB8">
        <w:trPr>
          <w:trHeight w:val="255"/>
        </w:trPr>
        <w:tc>
          <w:tcPr>
            <w:tcW w:w="452" w:type="dxa"/>
            <w:tcBorders>
              <w:top w:val="nil"/>
              <w:left w:val="single" w:sz="4" w:space="0" w:color="auto"/>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2</w:t>
            </w:r>
          </w:p>
        </w:tc>
        <w:tc>
          <w:tcPr>
            <w:tcW w:w="1618"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znížené administratívne náklady spojené so zrušením povinnosti archivácie po dobu 18 mesiacov</w:t>
            </w:r>
            <w:r w:rsidRPr="00CF38ED">
              <w:rPr>
                <w:rFonts w:ascii="Times New Roman" w:eastAsia="Times New Roman" w:hAnsi="Times New Roman" w:cs="Times New Roman"/>
                <w:color w:val="000000"/>
                <w:sz w:val="16"/>
                <w:szCs w:val="16"/>
                <w:lang w:eastAsia="sk-SK"/>
              </w:rPr>
              <w:t xml:space="preserve"> </w:t>
            </w:r>
          </w:p>
        </w:tc>
        <w:tc>
          <w:tcPr>
            <w:tcW w:w="790"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sz w:val="16"/>
                <w:szCs w:val="16"/>
                <w:lang w:eastAsia="sk-SK"/>
              </w:rPr>
            </w:pPr>
            <w:r w:rsidRPr="00CF38ED">
              <w:rPr>
                <w:rFonts w:ascii="Times New Roman" w:eastAsia="Times New Roman" w:hAnsi="Times New Roman" w:cs="Times New Roman"/>
                <w:sz w:val="16"/>
                <w:szCs w:val="16"/>
                <w:lang w:eastAsia="sk-SK"/>
              </w:rPr>
              <w:t>Návrh zákona, ktorým sa mení a dopĺňa zákon č. 262/2014 Z. z.</w:t>
            </w:r>
          </w:p>
        </w:tc>
        <w:tc>
          <w:tcPr>
            <w:tcW w:w="1129"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sz w:val="16"/>
                <w:szCs w:val="16"/>
                <w:lang w:eastAsia="sk-SK"/>
              </w:rPr>
            </w:pPr>
            <w:r w:rsidRPr="00CF38ED">
              <w:rPr>
                <w:rFonts w:ascii="Times New Roman" w:eastAsia="Times New Roman" w:hAnsi="Times New Roman" w:cs="Times New Roman"/>
                <w:sz w:val="16"/>
                <w:szCs w:val="16"/>
                <w:lang w:eastAsia="sk-SK"/>
              </w:rPr>
              <w:t>§7 ods. 1</w:t>
            </w:r>
          </w:p>
        </w:tc>
        <w:tc>
          <w:tcPr>
            <w:tcW w:w="1072"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EÚ úplná harmonizácia</w:t>
            </w:r>
          </w:p>
        </w:tc>
        <w:tc>
          <w:tcPr>
            <w:tcW w:w="934"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sz w:val="16"/>
                <w:szCs w:val="16"/>
                <w:lang w:eastAsia="sk-SK"/>
              </w:rPr>
            </w:pPr>
            <w:r w:rsidRPr="00CF38ED">
              <w:rPr>
                <w:rFonts w:ascii="Times New Roman" w:eastAsia="Times New Roman" w:hAnsi="Times New Roman" w:cs="Times New Roman"/>
                <w:sz w:val="16"/>
                <w:szCs w:val="16"/>
                <w:lang w:eastAsia="sk-SK"/>
              </w:rPr>
              <w:t>1.1.202</w:t>
            </w:r>
            <w:r>
              <w:rPr>
                <w:rFonts w:ascii="Times New Roman" w:eastAsia="Times New Roman" w:hAnsi="Times New Roman" w:cs="Times New Roman"/>
                <w:sz w:val="16"/>
                <w:szCs w:val="16"/>
                <w:lang w:eastAsia="sk-SK"/>
              </w:rPr>
              <w:t>2</w:t>
            </w:r>
          </w:p>
        </w:tc>
        <w:tc>
          <w:tcPr>
            <w:tcW w:w="1613"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Predajcovia prekurzorov výbušnín</w:t>
            </w:r>
          </w:p>
        </w:tc>
        <w:tc>
          <w:tcPr>
            <w:tcW w:w="991"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100</w:t>
            </w:r>
          </w:p>
        </w:tc>
        <w:tc>
          <w:tcPr>
            <w:tcW w:w="1037"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r w:rsidRPr="00CF38ED">
              <w:rPr>
                <w:rFonts w:ascii="Times New Roman" w:eastAsia="Times New Roman" w:hAnsi="Times New Roman" w:cs="Times New Roman"/>
                <w:color w:val="000000"/>
                <w:sz w:val="16"/>
                <w:szCs w:val="16"/>
                <w:lang w:eastAsia="sk-SK"/>
              </w:rPr>
              <w:t>N</w:t>
            </w:r>
          </w:p>
        </w:tc>
        <w:tc>
          <w:tcPr>
            <w:tcW w:w="854" w:type="dxa"/>
            <w:tcBorders>
              <w:top w:val="nil"/>
              <w:left w:val="nil"/>
              <w:bottom w:val="single" w:sz="4" w:space="0" w:color="auto"/>
              <w:right w:val="single" w:sz="4" w:space="0" w:color="auto"/>
            </w:tcBorders>
            <w:shd w:val="clear" w:color="auto" w:fill="auto"/>
            <w:vAlign w:val="center"/>
            <w:hideMark/>
          </w:tcPr>
          <w:p w:rsidR="00CD75DE" w:rsidRPr="00CF38ED" w:rsidRDefault="000B36A0" w:rsidP="008D3EB8">
            <w:pPr>
              <w:spacing w:after="0" w:line="240" w:lineRule="auto"/>
              <w:jc w:val="center"/>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14,36</w:t>
            </w:r>
            <w:r w:rsidR="00CD75DE">
              <w:rPr>
                <w:rFonts w:ascii="Times New Roman" w:eastAsia="Times New Roman" w:hAnsi="Times New Roman" w:cs="Times New Roman"/>
                <w:color w:val="000000"/>
                <w:sz w:val="16"/>
                <w:szCs w:val="16"/>
                <w:lang w:eastAsia="sk-SK"/>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75DE" w:rsidRPr="00CF38ED" w:rsidRDefault="000B36A0" w:rsidP="008D3EB8">
            <w:pPr>
              <w:spacing w:after="0" w:line="240" w:lineRule="auto"/>
              <w:jc w:val="center"/>
              <w:rPr>
                <w:rFonts w:ascii="Times New Roman" w:eastAsia="Times New Roman" w:hAnsi="Times New Roman" w:cs="Times New Roman"/>
                <w:color w:val="000000"/>
                <w:sz w:val="16"/>
                <w:szCs w:val="16"/>
                <w:lang w:eastAsia="sk-SK"/>
              </w:rPr>
            </w:pPr>
            <w:r>
              <w:rPr>
                <w:rFonts w:ascii="Times New Roman" w:eastAsia="Times New Roman" w:hAnsi="Times New Roman" w:cs="Times New Roman"/>
                <w:color w:val="000000"/>
                <w:sz w:val="16"/>
                <w:szCs w:val="16"/>
                <w:lang w:eastAsia="sk-SK"/>
              </w:rPr>
              <w:t>1  436,1</w:t>
            </w:r>
            <w:r w:rsidR="00CD75DE">
              <w:rPr>
                <w:rFonts w:ascii="Times New Roman" w:eastAsia="Times New Roman" w:hAnsi="Times New Roman" w:cs="Times New Roman"/>
                <w:color w:val="000000"/>
                <w:sz w:val="16"/>
                <w:szCs w:val="16"/>
                <w:lang w:eastAsia="sk-SK"/>
              </w:rPr>
              <w:t>0 €</w:t>
            </w:r>
          </w:p>
        </w:tc>
        <w:tc>
          <w:tcPr>
            <w:tcW w:w="2268" w:type="dxa"/>
            <w:tcBorders>
              <w:top w:val="nil"/>
              <w:left w:val="nil"/>
              <w:bottom w:val="single" w:sz="4" w:space="0" w:color="auto"/>
              <w:right w:val="single" w:sz="4" w:space="0" w:color="auto"/>
            </w:tcBorders>
            <w:shd w:val="clear" w:color="auto" w:fill="auto"/>
            <w:vAlign w:val="center"/>
            <w:hideMark/>
          </w:tcPr>
          <w:p w:rsidR="00CD75DE" w:rsidRPr="00CF38ED" w:rsidRDefault="00CD75DE" w:rsidP="008D3EB8">
            <w:pPr>
              <w:spacing w:after="0" w:line="240" w:lineRule="auto"/>
              <w:jc w:val="center"/>
              <w:rPr>
                <w:rFonts w:ascii="Times New Roman" w:eastAsia="Times New Roman" w:hAnsi="Times New Roman" w:cs="Times New Roman"/>
                <w:color w:val="000000"/>
                <w:sz w:val="16"/>
                <w:szCs w:val="16"/>
                <w:lang w:eastAsia="sk-SK"/>
              </w:rPr>
            </w:pPr>
            <w:proofErr w:type="spellStart"/>
            <w:r>
              <w:rPr>
                <w:rFonts w:ascii="Times New Roman" w:eastAsia="Times New Roman" w:hAnsi="Times New Roman" w:cs="Times New Roman"/>
                <w:color w:val="000000"/>
                <w:sz w:val="16"/>
                <w:szCs w:val="16"/>
                <w:lang w:eastAsia="sk-SK"/>
              </w:rPr>
              <w:t>Out</w:t>
            </w:r>
            <w:proofErr w:type="spellEnd"/>
            <w:r w:rsidRPr="00CF38ED">
              <w:rPr>
                <w:rFonts w:ascii="Times New Roman" w:eastAsia="Times New Roman" w:hAnsi="Times New Roman" w:cs="Times New Roman"/>
                <w:color w:val="000000"/>
                <w:sz w:val="16"/>
                <w:szCs w:val="16"/>
                <w:lang w:eastAsia="sk-SK"/>
              </w:rPr>
              <w:t xml:space="preserve"> (z</w:t>
            </w:r>
            <w:r>
              <w:rPr>
                <w:rFonts w:ascii="Times New Roman" w:eastAsia="Times New Roman" w:hAnsi="Times New Roman" w:cs="Times New Roman"/>
                <w:color w:val="000000"/>
                <w:sz w:val="16"/>
                <w:szCs w:val="16"/>
                <w:lang w:eastAsia="sk-SK"/>
              </w:rPr>
              <w:t>nižuje</w:t>
            </w:r>
            <w:r w:rsidRPr="00CF38ED">
              <w:rPr>
                <w:rFonts w:ascii="Times New Roman" w:eastAsia="Times New Roman" w:hAnsi="Times New Roman" w:cs="Times New Roman"/>
                <w:color w:val="000000"/>
                <w:sz w:val="16"/>
                <w:szCs w:val="16"/>
                <w:lang w:eastAsia="sk-SK"/>
              </w:rPr>
              <w:t xml:space="preserve"> náklady)</w:t>
            </w:r>
          </w:p>
        </w:tc>
      </w:tr>
    </w:tbl>
    <w:p w:rsidR="00CD75DE" w:rsidRPr="00CF38ED" w:rsidRDefault="00CD75DE" w:rsidP="00CD75DE">
      <w:pPr>
        <w:jc w:val="both"/>
        <w:rPr>
          <w:rFonts w:ascii="Times New Roman" w:eastAsia="Calibri" w:hAnsi="Times New Roman" w:cs="Times New Roman"/>
          <w:i/>
        </w:rPr>
      </w:pPr>
    </w:p>
    <w:p w:rsidR="00CD75DE" w:rsidRPr="00CF38ED" w:rsidRDefault="00CD75DE" w:rsidP="00CD75DE">
      <w:pPr>
        <w:jc w:val="both"/>
        <w:rPr>
          <w:rFonts w:ascii="Times New Roman" w:eastAsia="Calibri" w:hAnsi="Times New Roman" w:cs="Times New Roman"/>
          <w:b/>
          <w:bCs/>
          <w:i/>
          <w:sz w:val="24"/>
          <w:szCs w:val="24"/>
        </w:rPr>
        <w:sectPr w:rsidR="00CD75DE" w:rsidRPr="00CF38ED" w:rsidSect="00AB3845">
          <w:pgSz w:w="16838" w:h="11906" w:orient="landscape"/>
          <w:pgMar w:top="1417" w:right="1417" w:bottom="1417" w:left="1417" w:header="708" w:footer="708" w:gutter="0"/>
          <w:cols w:space="708"/>
          <w:docGrid w:linePitch="360"/>
        </w:sectPr>
      </w:pPr>
    </w:p>
    <w:p w:rsidR="00CD75DE" w:rsidRPr="00CF38ED" w:rsidRDefault="00CD75DE" w:rsidP="00CD75DE">
      <w:pPr>
        <w:jc w:val="both"/>
        <w:rPr>
          <w:rFonts w:ascii="Times New Roman" w:eastAsia="Calibri" w:hAnsi="Times New Roman" w:cs="Times New Roman"/>
          <w:b/>
          <w:bCs/>
          <w:i/>
          <w:sz w:val="24"/>
          <w:szCs w:val="24"/>
          <w:u w:val="single"/>
        </w:rPr>
      </w:pPr>
      <w:r w:rsidRPr="00CF38ED">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CD75DE" w:rsidRPr="00CF38ED" w:rsidRDefault="00CD75DE" w:rsidP="00852070">
      <w:pPr>
        <w:ind w:firstLine="708"/>
        <w:jc w:val="both"/>
        <w:rPr>
          <w:rFonts w:ascii="Times New Roman" w:eastAsia="Calibri" w:hAnsi="Times New Roman" w:cs="Times New Roman"/>
          <w:bCs/>
          <w:i/>
          <w:iCs/>
          <w:color w:val="000000"/>
          <w:sz w:val="24"/>
          <w:szCs w:val="24"/>
        </w:rPr>
      </w:pPr>
      <w:r w:rsidRPr="00CF38ED">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w:t>
      </w:r>
      <w:proofErr w:type="spellStart"/>
      <w:r w:rsidRPr="00CF38ED">
        <w:rPr>
          <w:rFonts w:ascii="Times New Roman" w:eastAsia="Calibri" w:hAnsi="Times New Roman" w:cs="Times New Roman"/>
          <w:bCs/>
          <w:i/>
          <w:iCs/>
          <w:color w:val="000000"/>
          <w:sz w:val="24"/>
          <w:szCs w:val="24"/>
        </w:rPr>
        <w:t>externality</w:t>
      </w:r>
      <w:proofErr w:type="spellEnd"/>
      <w:r w:rsidRPr="00CF38ED">
        <w:rPr>
          <w:rFonts w:ascii="Times New Roman" w:eastAsia="Calibri" w:hAnsi="Times New Roman" w:cs="Times New Roman"/>
          <w:bCs/>
          <w:i/>
          <w:iCs/>
          <w:color w:val="000000"/>
          <w:sz w:val="24"/>
          <w:szCs w:val="24"/>
        </w:rPr>
        <w:t xml:space="preserve">, B. Iné poplatky, C. Nepriame finančné náklady, D. Administratívne náklady). Rozčleňte ich a vypočítajte v súlade s metodickým postupom. </w:t>
      </w:r>
    </w:p>
    <w:p w:rsidR="00CD75DE" w:rsidRPr="000A09E8" w:rsidRDefault="00852070" w:rsidP="00852070">
      <w:pPr>
        <w:tabs>
          <w:tab w:val="left" w:pos="709"/>
        </w:tabs>
        <w:spacing w:before="120"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CD75DE" w:rsidRPr="000A09E8">
        <w:rPr>
          <w:rFonts w:ascii="Times New Roman" w:eastAsia="Times New Roman" w:hAnsi="Times New Roman" w:cs="Times New Roman"/>
          <w:bCs/>
          <w:sz w:val="24"/>
          <w:szCs w:val="24"/>
          <w:lang w:eastAsia="sk-SK"/>
        </w:rPr>
        <w:t>Navrhované riešenie sa dotkn</w:t>
      </w:r>
      <w:r w:rsidR="00CD75DE">
        <w:rPr>
          <w:rFonts w:ascii="Times New Roman" w:eastAsia="Times New Roman" w:hAnsi="Times New Roman" w:cs="Times New Roman"/>
          <w:bCs/>
          <w:sz w:val="24"/>
          <w:szCs w:val="24"/>
          <w:lang w:eastAsia="sk-SK"/>
        </w:rPr>
        <w:t xml:space="preserve">e </w:t>
      </w:r>
      <w:r w:rsidR="00CD75DE" w:rsidRPr="000A09E8">
        <w:rPr>
          <w:rFonts w:ascii="Times New Roman" w:eastAsia="Times New Roman" w:hAnsi="Times New Roman" w:cs="Times New Roman"/>
          <w:bCs/>
          <w:sz w:val="24"/>
          <w:szCs w:val="24"/>
          <w:lang w:eastAsia="sk-SK"/>
        </w:rPr>
        <w:t>predajcov prekurzorov výbušnín</w:t>
      </w:r>
      <w:r w:rsidR="00CD75DE">
        <w:rPr>
          <w:rFonts w:ascii="Times New Roman" w:eastAsia="Times New Roman" w:hAnsi="Times New Roman" w:cs="Times New Roman"/>
          <w:bCs/>
          <w:sz w:val="24"/>
          <w:szCs w:val="24"/>
          <w:lang w:eastAsia="sk-SK"/>
        </w:rPr>
        <w:t>, pričom odhadovaný počet týchto dotknutých subjektov je 100</w:t>
      </w:r>
      <w:r w:rsidR="00CD75DE" w:rsidRPr="000A09E8">
        <w:rPr>
          <w:rFonts w:ascii="Times New Roman" w:eastAsia="Times New Roman" w:hAnsi="Times New Roman" w:cs="Times New Roman"/>
          <w:bCs/>
          <w:sz w:val="24"/>
          <w:szCs w:val="24"/>
          <w:lang w:eastAsia="sk-SK"/>
        </w:rPr>
        <w:t xml:space="preserve">. </w:t>
      </w:r>
      <w:r w:rsidR="00CD75DE">
        <w:rPr>
          <w:rFonts w:ascii="Times New Roman" w:eastAsia="Times New Roman" w:hAnsi="Times New Roman" w:cs="Times New Roman"/>
          <w:bCs/>
          <w:sz w:val="24"/>
          <w:szCs w:val="24"/>
          <w:lang w:eastAsia="sk-SK"/>
        </w:rPr>
        <w:t xml:space="preserve">Distribútori prekurzorov nie sú zahrnutí v kategórii dotknutých subjektov, nakoľko v rámci konzultácii bol tento vplyv vyhodnotený, ako nepriamy. </w:t>
      </w:r>
      <w:r w:rsidR="00CD75DE" w:rsidRPr="000A09E8">
        <w:rPr>
          <w:rFonts w:ascii="Times New Roman" w:eastAsia="Times New Roman" w:hAnsi="Times New Roman" w:cs="Times New Roman"/>
          <w:bCs/>
          <w:sz w:val="24"/>
          <w:szCs w:val="24"/>
          <w:lang w:eastAsia="sk-SK"/>
        </w:rPr>
        <w:t>Konzultácie prebiehali na úrovni zväzov, ktoré nepokrývajú celé PP.</w:t>
      </w:r>
    </w:p>
    <w:p w:rsidR="00CD75DE" w:rsidRPr="000A09E8" w:rsidRDefault="00852070" w:rsidP="00852070">
      <w:pPr>
        <w:tabs>
          <w:tab w:val="left" w:pos="709"/>
        </w:tabs>
        <w:spacing w:before="120"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CD75DE" w:rsidRPr="000A09E8">
        <w:rPr>
          <w:rFonts w:ascii="Times New Roman" w:eastAsia="Times New Roman" w:hAnsi="Times New Roman" w:cs="Times New Roman"/>
          <w:bCs/>
          <w:sz w:val="24"/>
          <w:szCs w:val="24"/>
          <w:lang w:eastAsia="sk-SK"/>
        </w:rPr>
        <w:t xml:space="preserve">Navrhované riešenie zákazu predaja obmedzených prekurzorov výbušnín členom širokej verejnosti na území SR nahrádza súčasne platný režim registrácie. </w:t>
      </w:r>
      <w:r w:rsidR="00CD75DE" w:rsidRPr="000A09E8">
        <w:rPr>
          <w:rFonts w:ascii="Times New Roman" w:eastAsia="Times New Roman" w:hAnsi="Times New Roman" w:cs="Times New Roman"/>
          <w:bCs/>
          <w:i/>
          <w:sz w:val="24"/>
          <w:szCs w:val="24"/>
          <w:lang w:eastAsia="sk-SK"/>
        </w:rPr>
        <w:t>Navrhovaným materiálom sa ruší n</w:t>
      </w:r>
      <w:r w:rsidR="00CD75DE" w:rsidRPr="000A09E8">
        <w:rPr>
          <w:rFonts w:ascii="Times New Roman" w:eastAsia="Times New Roman" w:hAnsi="Times New Roman" w:cs="Times New Roman"/>
          <w:bCs/>
          <w:sz w:val="24"/>
          <w:szCs w:val="24"/>
          <w:lang w:eastAsia="sk-SK"/>
        </w:rPr>
        <w:t>áklad pre člena širokej verejnos</w:t>
      </w:r>
      <w:r w:rsidR="00CD75DE">
        <w:rPr>
          <w:rFonts w:ascii="Times New Roman" w:eastAsia="Times New Roman" w:hAnsi="Times New Roman" w:cs="Times New Roman"/>
          <w:bCs/>
          <w:sz w:val="24"/>
          <w:szCs w:val="24"/>
          <w:lang w:eastAsia="sk-SK"/>
        </w:rPr>
        <w:t xml:space="preserve">ti spojený so získaním licencie, ktorý </w:t>
      </w:r>
      <w:r w:rsidR="00CD75DE" w:rsidRPr="000A09E8">
        <w:rPr>
          <w:rFonts w:ascii="Times New Roman" w:eastAsia="Times New Roman" w:hAnsi="Times New Roman" w:cs="Times New Roman"/>
          <w:bCs/>
          <w:sz w:val="24"/>
          <w:szCs w:val="24"/>
          <w:lang w:eastAsia="sk-SK"/>
        </w:rPr>
        <w:t>je 33 eur</w:t>
      </w:r>
      <w:r w:rsidR="00CD75DE" w:rsidRPr="000A09E8">
        <w:rPr>
          <w:rFonts w:ascii="Times New Roman" w:eastAsia="Times New Roman" w:hAnsi="Times New Roman" w:cs="Times New Roman"/>
          <w:bCs/>
          <w:i/>
          <w:sz w:val="24"/>
          <w:szCs w:val="24"/>
          <w:lang w:eastAsia="sk-SK"/>
        </w:rPr>
        <w:t>. A</w:t>
      </w:r>
      <w:r w:rsidR="00CD75DE" w:rsidRPr="000A09E8">
        <w:rPr>
          <w:rFonts w:ascii="Times New Roman" w:eastAsia="Times New Roman" w:hAnsi="Times New Roman" w:cs="Times New Roman"/>
          <w:bCs/>
          <w:sz w:val="24"/>
          <w:szCs w:val="24"/>
          <w:lang w:eastAsia="sk-SK"/>
        </w:rPr>
        <w:t xml:space="preserve">však počas 7 rokov platnosti regulácie nebola takáto žiadosť ministerstvom hospodárstva SR vydaná. </w:t>
      </w:r>
    </w:p>
    <w:p w:rsidR="00CD75DE" w:rsidRPr="000A09E8" w:rsidRDefault="00852070" w:rsidP="00852070">
      <w:pPr>
        <w:tabs>
          <w:tab w:val="left" w:pos="709"/>
        </w:tabs>
        <w:spacing w:before="120"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CD75DE" w:rsidRPr="000A09E8">
        <w:rPr>
          <w:rFonts w:ascii="Times New Roman" w:eastAsia="Times New Roman" w:hAnsi="Times New Roman" w:cs="Times New Roman"/>
          <w:bCs/>
          <w:sz w:val="24"/>
          <w:szCs w:val="24"/>
          <w:lang w:eastAsia="sk-SK"/>
        </w:rPr>
        <w:t>Pozitívny vplyv pre PP prinesie hospodárskym subjektom (predajcom) zníženie administratívnej záťaže spojenej so sprístupňovaním obmedzených prekurzorov výbušnín členom širokej verejnosti – povinnosť</w:t>
      </w:r>
      <w:r w:rsidR="00DE7030">
        <w:rPr>
          <w:rFonts w:ascii="Times New Roman" w:eastAsia="Times New Roman" w:hAnsi="Times New Roman" w:cs="Times New Roman"/>
          <w:bCs/>
          <w:sz w:val="24"/>
          <w:szCs w:val="24"/>
          <w:lang w:eastAsia="sk-SK"/>
        </w:rPr>
        <w:t xml:space="preserve"> </w:t>
      </w:r>
      <w:r w:rsidR="00CD75DE" w:rsidRPr="000A09E8">
        <w:rPr>
          <w:rFonts w:ascii="Times New Roman" w:eastAsia="Times New Roman" w:hAnsi="Times New Roman" w:cs="Times New Roman"/>
          <w:bCs/>
          <w:sz w:val="24"/>
          <w:szCs w:val="24"/>
          <w:lang w:eastAsia="sk-SK"/>
        </w:rPr>
        <w:t>s  overovaním totožnosti nakupujúcej osoby; overovaním platnosti povolenia; zaznamenávaním údajov</w:t>
      </w:r>
      <w:r w:rsidR="00DE7030">
        <w:rPr>
          <w:rFonts w:ascii="Times New Roman" w:eastAsia="Times New Roman" w:hAnsi="Times New Roman" w:cs="Times New Roman"/>
          <w:bCs/>
          <w:sz w:val="24"/>
          <w:szCs w:val="24"/>
          <w:lang w:eastAsia="sk-SK"/>
        </w:rPr>
        <w:t xml:space="preserve"> </w:t>
      </w:r>
      <w:r w:rsidR="00CD75DE" w:rsidRPr="000A09E8">
        <w:rPr>
          <w:rFonts w:ascii="Times New Roman" w:eastAsia="Times New Roman" w:hAnsi="Times New Roman" w:cs="Times New Roman"/>
          <w:bCs/>
          <w:sz w:val="24"/>
          <w:szCs w:val="24"/>
          <w:lang w:eastAsia="sk-SK"/>
        </w:rPr>
        <w:t>do povolenia o každom sprístupnení obmedzeného prekurzora výbušnín (t.</w:t>
      </w:r>
      <w:r w:rsidR="00CD75DE">
        <w:rPr>
          <w:rFonts w:ascii="Times New Roman" w:eastAsia="Times New Roman" w:hAnsi="Times New Roman" w:cs="Times New Roman"/>
          <w:bCs/>
          <w:sz w:val="24"/>
          <w:szCs w:val="24"/>
          <w:lang w:eastAsia="sk-SK"/>
        </w:rPr>
        <w:t> </w:t>
      </w:r>
      <w:r w:rsidR="00CD75DE" w:rsidRPr="000A09E8">
        <w:rPr>
          <w:rFonts w:ascii="Times New Roman" w:eastAsia="Times New Roman" w:hAnsi="Times New Roman" w:cs="Times New Roman"/>
          <w:bCs/>
          <w:sz w:val="24"/>
          <w:szCs w:val="24"/>
          <w:lang w:eastAsia="sk-SK"/>
        </w:rPr>
        <w:t>j. dátum transakcie, množstvo výrobku, miesto predaja, a pod.), odpadá povinnosť s rozšírenou evidenciou vlastných registrov a uchovávaním záznamov po dobu 18 mesiacov.</w:t>
      </w:r>
      <w:r w:rsidR="00CD75DE">
        <w:rPr>
          <w:rFonts w:ascii="Times New Roman" w:eastAsia="Times New Roman" w:hAnsi="Times New Roman" w:cs="Times New Roman"/>
          <w:bCs/>
          <w:sz w:val="24"/>
          <w:szCs w:val="24"/>
          <w:lang w:eastAsia="sk-SK"/>
        </w:rPr>
        <w:t xml:space="preserve"> Administratív</w:t>
      </w:r>
      <w:r w:rsidR="000B36A0">
        <w:rPr>
          <w:rFonts w:ascii="Times New Roman" w:eastAsia="Times New Roman" w:hAnsi="Times New Roman" w:cs="Times New Roman"/>
          <w:bCs/>
          <w:sz w:val="24"/>
          <w:szCs w:val="24"/>
          <w:lang w:eastAsia="sk-SK"/>
        </w:rPr>
        <w:t>ne náklady sa tak znížia o 1 436,1</w:t>
      </w:r>
      <w:r w:rsidR="00CD75DE">
        <w:rPr>
          <w:rFonts w:ascii="Times New Roman" w:eastAsia="Times New Roman" w:hAnsi="Times New Roman" w:cs="Times New Roman"/>
          <w:bCs/>
          <w:sz w:val="24"/>
          <w:szCs w:val="24"/>
          <w:lang w:eastAsia="sk-SK"/>
        </w:rPr>
        <w:t xml:space="preserve">0 €. Výpočet je prostredníctvom Kalkulačky vplyvov.  </w:t>
      </w:r>
    </w:p>
    <w:p w:rsidR="00CD75DE" w:rsidRPr="00CF38ED" w:rsidRDefault="00852070" w:rsidP="00852070">
      <w:pPr>
        <w:tabs>
          <w:tab w:val="left" w:pos="709"/>
        </w:tabs>
        <w:spacing w:before="120"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ab/>
      </w:r>
      <w:r w:rsidR="00CD75DE" w:rsidRPr="00CF38ED">
        <w:rPr>
          <w:rFonts w:ascii="Times New Roman" w:eastAsia="Times New Roman" w:hAnsi="Times New Roman" w:cs="Times New Roman"/>
          <w:sz w:val="24"/>
          <w:szCs w:val="24"/>
          <w:lang w:eastAsia="sk-SK"/>
        </w:rPr>
        <w:t xml:space="preserve">V prípade </w:t>
      </w:r>
      <w:r w:rsidR="00CD75DE" w:rsidRPr="00CF38ED">
        <w:rPr>
          <w:rFonts w:ascii="Times New Roman" w:eastAsia="Times New Roman" w:hAnsi="Times New Roman" w:cs="Times New Roman"/>
          <w:bCs/>
          <w:sz w:val="24"/>
          <w:szCs w:val="24"/>
          <w:lang w:eastAsia="sk-SK"/>
        </w:rPr>
        <w:t xml:space="preserve">zákazu predaja obmedzených prekurzorov výbušnín členom širokej verejnosti predajcovia nahradia súčasné výrobky produktami s nižšou koncentráciou, čo bude mať priamy dopad na nárast predávaného objemu výrobkov, t.j. následne vplyv na nárast nákladov objemu použitých obalových materiálov, nákladov na prepravu, skladovanie a manipuláciu. Takto navýšené náklady distribútori a predajcovia buď v plnej miere prenesú do predajnej ceny výrobkov, alebo v záujme ochrany dopadov na spotrebiteľa absorbujú časť nákladov, t.j. nanížia svoju obchodnú maržu. </w:t>
      </w:r>
    </w:p>
    <w:p w:rsidR="00CD75DE" w:rsidRDefault="00852070" w:rsidP="00852070">
      <w:pPr>
        <w:tabs>
          <w:tab w:val="left" w:pos="709"/>
        </w:tabs>
        <w:spacing w:before="120"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CD75DE" w:rsidRPr="00CF38ED">
        <w:rPr>
          <w:rFonts w:ascii="Times New Roman" w:eastAsia="Times New Roman" w:hAnsi="Times New Roman" w:cs="Times New Roman"/>
          <w:bCs/>
          <w:sz w:val="24"/>
          <w:szCs w:val="24"/>
          <w:lang w:eastAsia="sk-SK"/>
        </w:rPr>
        <w:t>Podľa dopadovej štúdie EK, predaj peroxidu vodíka členom širokej verejnosti predstavuje 2 % celkového použitého a predaného množstva. Podľa údajov EUROSTATu bola v roku 2018 spotreba peroxidu vodíka 6 909 523 kg., t.j. predaj predstavuje 138 190 kg/rok.</w:t>
      </w:r>
      <w:r w:rsidR="00CD75DE">
        <w:rPr>
          <w:rFonts w:ascii="Times New Roman" w:eastAsia="Times New Roman" w:hAnsi="Times New Roman" w:cs="Times New Roman"/>
          <w:bCs/>
          <w:sz w:val="24"/>
          <w:szCs w:val="24"/>
          <w:lang w:eastAsia="sk-SK"/>
        </w:rPr>
        <w:t xml:space="preserve"> </w:t>
      </w:r>
      <w:r w:rsidR="00CD75DE">
        <w:rPr>
          <w:rFonts w:ascii="Times New Roman" w:eastAsia="Times New Roman" w:hAnsi="Times New Roman" w:cs="Times New Roman"/>
          <w:sz w:val="24"/>
          <w:szCs w:val="24"/>
          <w:lang w:eastAsia="sk-SK"/>
        </w:rPr>
        <w:t>Pri úvahe že dve tretiny hmotnosti je sprístupnené vo forme roztoku o obsahu 35 % hm. v 1000 ml balení a jedna tretina vo forme 12 % roztoku, ktorý nepodlieha regulácii, šlo by o predaj 263 219 ks balení, ktoré môžu byť predmetom odhadom 100 tis. transakcií (občania môžu kúpiť aj viac balení naraz).</w:t>
      </w:r>
    </w:p>
    <w:p w:rsidR="00CD75DE" w:rsidRDefault="00852070" w:rsidP="00852070">
      <w:pPr>
        <w:tabs>
          <w:tab w:val="left" w:pos="709"/>
        </w:tabs>
        <w:spacing w:before="120" w:after="12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CD75DE">
        <w:rPr>
          <w:rFonts w:ascii="Times New Roman" w:eastAsia="Times New Roman" w:hAnsi="Times New Roman" w:cs="Times New Roman"/>
          <w:bCs/>
          <w:sz w:val="24"/>
          <w:szCs w:val="24"/>
          <w:lang w:eastAsia="sk-SK"/>
        </w:rPr>
        <w:t xml:space="preserve">Na základe dát z </w:t>
      </w:r>
      <w:proofErr w:type="spellStart"/>
      <w:r w:rsidR="00CD75DE">
        <w:rPr>
          <w:rFonts w:ascii="Times New Roman" w:eastAsia="Times New Roman" w:hAnsi="Times New Roman" w:cs="Times New Roman"/>
          <w:bCs/>
          <w:sz w:val="24"/>
          <w:szCs w:val="24"/>
          <w:lang w:eastAsia="sk-SK"/>
        </w:rPr>
        <w:t>Eurostatu</w:t>
      </w:r>
      <w:proofErr w:type="spellEnd"/>
      <w:r w:rsidR="00CD75DE">
        <w:rPr>
          <w:rFonts w:ascii="Times New Roman" w:eastAsia="Times New Roman" w:hAnsi="Times New Roman" w:cs="Times New Roman"/>
          <w:bCs/>
          <w:sz w:val="24"/>
          <w:szCs w:val="24"/>
          <w:lang w:eastAsia="sk-SK"/>
        </w:rPr>
        <w:t xml:space="preserve"> a dát od dotknutých subjektov, môžeme náklady súvisiace s predajom peroxidu vodíka vyčísliť v hodnote 0,424 €/0,5</w:t>
      </w:r>
      <w:r w:rsidR="00FB7913">
        <w:rPr>
          <w:rFonts w:ascii="Times New Roman" w:eastAsia="Times New Roman" w:hAnsi="Times New Roman" w:cs="Times New Roman"/>
          <w:bCs/>
          <w:sz w:val="24"/>
          <w:szCs w:val="24"/>
          <w:lang w:eastAsia="sk-SK"/>
        </w:rPr>
        <w:t> </w:t>
      </w:r>
      <w:r w:rsidR="00CD75DE">
        <w:rPr>
          <w:rFonts w:ascii="Times New Roman" w:eastAsia="Times New Roman" w:hAnsi="Times New Roman" w:cs="Times New Roman"/>
          <w:bCs/>
          <w:sz w:val="24"/>
          <w:szCs w:val="24"/>
          <w:lang w:eastAsia="sk-SK"/>
        </w:rPr>
        <w:t xml:space="preserve">l balenie, čo predstavuje zvýšenie nákladov o 223 209,712 € pre celé podnikateľské prostredie. Ide však len o čiastočné náklady, nakoľko pre odhad nákladov ostatných prekurzorov nemáme adekvátne dáta pre výpočet. </w:t>
      </w:r>
    </w:p>
    <w:p w:rsidR="00CD75DE" w:rsidRPr="00CF38ED" w:rsidRDefault="00CD75DE" w:rsidP="00CD75DE">
      <w:pPr>
        <w:jc w:val="both"/>
        <w:rPr>
          <w:rFonts w:ascii="Times New Roman" w:eastAsia="Calibri" w:hAnsi="Times New Roman" w:cs="Times New Roman"/>
          <w:b/>
          <w:sz w:val="24"/>
          <w:szCs w:val="24"/>
        </w:rPr>
      </w:pPr>
      <w:r w:rsidRPr="00CF38ED">
        <w:rPr>
          <w:rFonts w:ascii="Times New Roman" w:eastAsia="Calibri" w:hAnsi="Times New Roman" w:cs="Times New Roman"/>
          <w:b/>
          <w:sz w:val="24"/>
          <w:szCs w:val="24"/>
        </w:rPr>
        <w:t>3.2 Vyhodnotenie konzultácií s podnikateľskými subjektmi pred predbežným pripomienkovým konaním</w:t>
      </w:r>
    </w:p>
    <w:p w:rsidR="00CD75DE" w:rsidRPr="00CF38ED" w:rsidRDefault="00CD75DE" w:rsidP="00852070">
      <w:pPr>
        <w:spacing w:after="0"/>
        <w:ind w:firstLine="708"/>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lastRenderedPageBreak/>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Uveďte hlavné body konzultácií a ich závery. </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CD75DE" w:rsidRPr="00CF38ED" w:rsidRDefault="00CD75DE" w:rsidP="00852070">
      <w:pPr>
        <w:spacing w:after="0"/>
        <w:ind w:firstLine="708"/>
        <w:jc w:val="both"/>
        <w:rPr>
          <w:rFonts w:ascii="Times New Roman" w:eastAsia="Calibri" w:hAnsi="Times New Roman" w:cs="Times New Roman"/>
          <w:i/>
          <w:sz w:val="24"/>
          <w:szCs w:val="24"/>
        </w:rPr>
      </w:pPr>
      <w:r w:rsidRPr="00CF38ED">
        <w:rPr>
          <w:rFonts w:ascii="Times New Roman" w:eastAsia="Calibri" w:hAnsi="Times New Roman" w:cs="Times New Roman"/>
          <w:sz w:val="24"/>
          <w:szCs w:val="24"/>
        </w:rPr>
        <w:t>Obe alternatívy (1. zákaz, 2. povolenia) boli v priebehu marca 2021 zaslané elektronicky na vyjadrenie najviac dotknutým subjektom: Slovenskému poľovníckemu zväzu (SPZ), Zväzu raketových modelárov, Zväzu automobilového priemyslu (ZAP), Slovenskému združeniu značkových výrobkov (SZZV), Zväzu chemického a farmaceutického priemyslu (</w:t>
      </w:r>
      <w:proofErr w:type="spellStart"/>
      <w:r w:rsidRPr="00CF38ED">
        <w:rPr>
          <w:rFonts w:ascii="Times New Roman" w:eastAsia="Calibri" w:hAnsi="Times New Roman" w:cs="Times New Roman"/>
          <w:sz w:val="24"/>
          <w:szCs w:val="24"/>
        </w:rPr>
        <w:t>ZCHaFP</w:t>
      </w:r>
      <w:proofErr w:type="spellEnd"/>
      <w:r w:rsidRPr="00CF38ED">
        <w:rPr>
          <w:rFonts w:ascii="Times New Roman" w:eastAsia="Calibri" w:hAnsi="Times New Roman" w:cs="Times New Roman"/>
          <w:sz w:val="24"/>
          <w:szCs w:val="24"/>
        </w:rPr>
        <w:t xml:space="preserve">). SPZ bol za alternatívu 2. povolení, až kým im nebola predstavená alternatíva v podobe </w:t>
      </w:r>
      <w:r>
        <w:rPr>
          <w:rFonts w:ascii="Times New Roman" w:eastAsia="Calibri" w:hAnsi="Times New Roman" w:cs="Times New Roman"/>
          <w:sz w:val="24"/>
          <w:szCs w:val="24"/>
        </w:rPr>
        <w:t xml:space="preserve">pripravovanej </w:t>
      </w:r>
      <w:r w:rsidRPr="00CF38ED">
        <w:rPr>
          <w:rFonts w:ascii="Times New Roman" w:eastAsia="Calibri" w:hAnsi="Times New Roman" w:cs="Times New Roman"/>
          <w:sz w:val="24"/>
          <w:szCs w:val="24"/>
        </w:rPr>
        <w:t>vyhlášky. ZAP s alternatívou 1. zákazu súhlasil za predpokladu,</w:t>
      </w:r>
      <w:r>
        <w:rPr>
          <w:rFonts w:ascii="Times New Roman" w:eastAsia="Calibri" w:hAnsi="Times New Roman" w:cs="Times New Roman"/>
          <w:sz w:val="24"/>
          <w:szCs w:val="24"/>
        </w:rPr>
        <w:br/>
      </w:r>
      <w:r w:rsidRPr="00CF38ED">
        <w:rPr>
          <w:rFonts w:ascii="Times New Roman" w:eastAsia="Calibri" w:hAnsi="Times New Roman" w:cs="Times New Roman"/>
          <w:sz w:val="24"/>
          <w:szCs w:val="24"/>
        </w:rPr>
        <w:t>že predmetné opatrenie nesmeruje k obmedzeniu odberu a využitia pre podnikateľské subjekty</w:t>
      </w:r>
      <w:r w:rsidR="00852070">
        <w:rPr>
          <w:rFonts w:ascii="Times New Roman" w:eastAsia="Calibri" w:hAnsi="Times New Roman" w:cs="Times New Roman"/>
          <w:sz w:val="24"/>
          <w:szCs w:val="24"/>
        </w:rPr>
        <w:t xml:space="preserve"> </w:t>
      </w:r>
      <w:r w:rsidRPr="00CF38ED">
        <w:rPr>
          <w:rFonts w:ascii="Times New Roman" w:eastAsia="Calibri" w:hAnsi="Times New Roman" w:cs="Times New Roman"/>
          <w:sz w:val="24"/>
          <w:szCs w:val="24"/>
        </w:rPr>
        <w:t xml:space="preserve">a profesionálnych používateľov. Problematika bola prednesená zástupcami MH SR a MV SR aj v rámci </w:t>
      </w:r>
      <w:proofErr w:type="spellStart"/>
      <w:r w:rsidRPr="00CF38ED">
        <w:rPr>
          <w:rFonts w:ascii="Times New Roman" w:eastAsia="Calibri" w:hAnsi="Times New Roman" w:cs="Times New Roman"/>
          <w:sz w:val="24"/>
          <w:szCs w:val="24"/>
        </w:rPr>
        <w:t>webinára</w:t>
      </w:r>
      <w:proofErr w:type="spellEnd"/>
      <w:r w:rsidRPr="00CF38ED">
        <w:rPr>
          <w:rFonts w:ascii="Times New Roman" w:eastAsia="Calibri" w:hAnsi="Times New Roman" w:cs="Times New Roman"/>
          <w:sz w:val="24"/>
          <w:szCs w:val="24"/>
        </w:rPr>
        <w:t xml:space="preserve"> organizovaného </w:t>
      </w:r>
      <w:proofErr w:type="spellStart"/>
      <w:r w:rsidRPr="00CF38ED">
        <w:rPr>
          <w:rFonts w:ascii="Times New Roman" w:eastAsia="Calibri" w:hAnsi="Times New Roman" w:cs="Times New Roman"/>
          <w:sz w:val="24"/>
          <w:szCs w:val="24"/>
        </w:rPr>
        <w:t>ZCHaFP</w:t>
      </w:r>
      <w:proofErr w:type="spellEnd"/>
      <w:r w:rsidRPr="00CF38ED">
        <w:rPr>
          <w:rFonts w:ascii="Times New Roman" w:eastAsia="Calibri" w:hAnsi="Times New Roman" w:cs="Times New Roman"/>
          <w:sz w:val="24"/>
          <w:szCs w:val="24"/>
        </w:rPr>
        <w:t xml:space="preserve"> dňa 10.</w:t>
      </w:r>
      <w:r>
        <w:rPr>
          <w:rFonts w:ascii="Times New Roman" w:eastAsia="Calibri" w:hAnsi="Times New Roman" w:cs="Times New Roman"/>
          <w:sz w:val="24"/>
          <w:szCs w:val="24"/>
        </w:rPr>
        <w:t xml:space="preserve"> </w:t>
      </w:r>
      <w:r w:rsidRPr="00CF38E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CF38ED">
        <w:rPr>
          <w:rFonts w:ascii="Times New Roman" w:eastAsia="Calibri" w:hAnsi="Times New Roman" w:cs="Times New Roman"/>
          <w:sz w:val="24"/>
          <w:szCs w:val="24"/>
        </w:rPr>
        <w:t xml:space="preserve">2021. </w:t>
      </w:r>
      <w:proofErr w:type="spellStart"/>
      <w:r w:rsidRPr="00CF38ED">
        <w:rPr>
          <w:rFonts w:ascii="Times New Roman" w:eastAsia="Calibri" w:hAnsi="Times New Roman" w:cs="Times New Roman"/>
          <w:sz w:val="24"/>
          <w:szCs w:val="24"/>
        </w:rPr>
        <w:t>ZCHaFP</w:t>
      </w:r>
      <w:proofErr w:type="spellEnd"/>
      <w:r w:rsidRPr="00CF38ED">
        <w:rPr>
          <w:rFonts w:ascii="Times New Roman" w:eastAsia="Calibri" w:hAnsi="Times New Roman" w:cs="Times New Roman"/>
          <w:sz w:val="24"/>
          <w:szCs w:val="24"/>
        </w:rPr>
        <w:t xml:space="preserve"> alternatívu zákazu nepovažuje za hrozbu činnosti ich členov aj vzhľadom na nízku koncentráciu uvedených látok v hotových výrobkoch. Rovnako bola problematika prezentovaná v rámci </w:t>
      </w:r>
      <w:proofErr w:type="spellStart"/>
      <w:r w:rsidRPr="00CF38ED">
        <w:rPr>
          <w:rFonts w:ascii="Times New Roman" w:eastAsia="Calibri" w:hAnsi="Times New Roman" w:cs="Times New Roman"/>
          <w:sz w:val="24"/>
          <w:szCs w:val="24"/>
        </w:rPr>
        <w:t>webinára</w:t>
      </w:r>
      <w:proofErr w:type="spellEnd"/>
      <w:r w:rsidRPr="00CF38ED">
        <w:rPr>
          <w:rFonts w:ascii="Times New Roman" w:eastAsia="Calibri" w:hAnsi="Times New Roman" w:cs="Times New Roman"/>
          <w:sz w:val="24"/>
          <w:szCs w:val="24"/>
        </w:rPr>
        <w:t xml:space="preserve"> organizovaného SZZV v rámci sekcie kozmetiky a ich členovia nepovažujú zákaz za obmedzenie ich činnosti. K pripravovanej novele neboli vznesené námietky.</w:t>
      </w:r>
      <w:r>
        <w:rPr>
          <w:rFonts w:ascii="Times New Roman" w:eastAsia="Calibri" w:hAnsi="Times New Roman" w:cs="Times New Roman"/>
          <w:sz w:val="24"/>
          <w:szCs w:val="24"/>
        </w:rPr>
        <w:t xml:space="preserve"> </w:t>
      </w:r>
      <w:r w:rsidRPr="00CF38ED">
        <w:rPr>
          <w:rFonts w:ascii="Times New Roman" w:eastAsia="Times New Roman" w:hAnsi="Times New Roman" w:cs="Times New Roman"/>
          <w:sz w:val="24"/>
          <w:szCs w:val="24"/>
          <w:lang w:eastAsia="sk-SK"/>
        </w:rPr>
        <w:t>K otázkam regulácie sprístupňovania H</w:t>
      </w:r>
      <w:r w:rsidRPr="003C4AFA">
        <w:rPr>
          <w:rFonts w:ascii="Times New Roman" w:eastAsia="Times New Roman" w:hAnsi="Times New Roman" w:cs="Times New Roman"/>
          <w:sz w:val="24"/>
          <w:szCs w:val="24"/>
          <w:vertAlign w:val="subscript"/>
          <w:lang w:eastAsia="sk-SK"/>
        </w:rPr>
        <w:t>2</w:t>
      </w:r>
      <w:r w:rsidRPr="00CF38ED">
        <w:rPr>
          <w:rFonts w:ascii="Times New Roman" w:eastAsia="Times New Roman" w:hAnsi="Times New Roman" w:cs="Times New Roman"/>
          <w:sz w:val="24"/>
          <w:szCs w:val="24"/>
          <w:lang w:eastAsia="sk-SK"/>
        </w:rPr>
        <w:t>O</w:t>
      </w:r>
      <w:r w:rsidRPr="003C4AFA">
        <w:rPr>
          <w:rFonts w:ascii="Times New Roman" w:eastAsia="Times New Roman" w:hAnsi="Times New Roman" w:cs="Times New Roman"/>
          <w:sz w:val="24"/>
          <w:szCs w:val="24"/>
          <w:vertAlign w:val="subscript"/>
          <w:lang w:eastAsia="sk-SK"/>
        </w:rPr>
        <w:t>2</w:t>
      </w:r>
      <w:r w:rsidRPr="00CF38ED">
        <w:rPr>
          <w:rFonts w:ascii="Times New Roman" w:eastAsia="Times New Roman" w:hAnsi="Times New Roman" w:cs="Times New Roman"/>
          <w:sz w:val="24"/>
          <w:szCs w:val="24"/>
          <w:lang w:eastAsia="sk-SK"/>
        </w:rPr>
        <w:t xml:space="preserve"> verejnosti prebehlo 26.</w:t>
      </w:r>
      <w:r>
        <w:rPr>
          <w:rFonts w:ascii="Times New Roman" w:eastAsia="Times New Roman" w:hAnsi="Times New Roman" w:cs="Times New Roman"/>
          <w:sz w:val="24"/>
          <w:szCs w:val="24"/>
          <w:lang w:eastAsia="sk-SK"/>
        </w:rPr>
        <w:t xml:space="preserve"> </w:t>
      </w:r>
      <w:r w:rsidRPr="00CF38ED">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 xml:space="preserve"> </w:t>
      </w:r>
      <w:r w:rsidRPr="00CF38ED">
        <w:rPr>
          <w:rFonts w:ascii="Times New Roman" w:eastAsia="Times New Roman" w:hAnsi="Times New Roman" w:cs="Times New Roman"/>
          <w:sz w:val="24"/>
          <w:szCs w:val="24"/>
          <w:lang w:eastAsia="sk-SK"/>
        </w:rPr>
        <w:t xml:space="preserve">2021 spoločné rokovanie zástupcov MH SR, MV SR a SPK prostredníctvom </w:t>
      </w:r>
      <w:proofErr w:type="spellStart"/>
      <w:r w:rsidRPr="00CF38ED">
        <w:rPr>
          <w:rFonts w:ascii="Times New Roman" w:eastAsia="Times New Roman" w:hAnsi="Times New Roman" w:cs="Times New Roman"/>
          <w:sz w:val="24"/>
          <w:szCs w:val="24"/>
          <w:lang w:eastAsia="sk-SK"/>
        </w:rPr>
        <w:t>online</w:t>
      </w:r>
      <w:proofErr w:type="spellEnd"/>
      <w:r w:rsidRPr="00CF38ED">
        <w:rPr>
          <w:rFonts w:ascii="Times New Roman" w:eastAsia="Times New Roman" w:hAnsi="Times New Roman" w:cs="Times New Roman"/>
          <w:sz w:val="24"/>
          <w:szCs w:val="24"/>
          <w:lang w:eastAsia="sk-SK"/>
        </w:rPr>
        <w:t xml:space="preserve"> schôdze cez </w:t>
      </w:r>
      <w:proofErr w:type="spellStart"/>
      <w:r w:rsidRPr="00CF38ED">
        <w:rPr>
          <w:rFonts w:ascii="Times New Roman" w:eastAsia="Times New Roman" w:hAnsi="Times New Roman" w:cs="Times New Roman"/>
          <w:sz w:val="24"/>
          <w:szCs w:val="24"/>
          <w:lang w:eastAsia="sk-SK"/>
        </w:rPr>
        <w:t>Teams</w:t>
      </w:r>
      <w:proofErr w:type="spellEnd"/>
      <w:r w:rsidRPr="00CF38ED">
        <w:rPr>
          <w:rFonts w:ascii="Times New Roman" w:eastAsia="Times New Roman" w:hAnsi="Times New Roman" w:cs="Times New Roman"/>
          <w:sz w:val="24"/>
          <w:szCs w:val="24"/>
          <w:lang w:eastAsia="sk-SK"/>
        </w:rPr>
        <w:t>, na ktorom bolo predstavené riešenie v podobe pripravovanej vyhlášky MH SR. SPK s týmto riešením súhlasila.</w:t>
      </w:r>
    </w:p>
    <w:p w:rsidR="00CD75DE" w:rsidRPr="00CF38ED" w:rsidRDefault="00CD75DE" w:rsidP="00CD75DE">
      <w:pPr>
        <w:spacing w:after="0"/>
        <w:jc w:val="both"/>
        <w:rPr>
          <w:rFonts w:ascii="Times New Roman" w:eastAsia="Calibri" w:hAnsi="Times New Roman" w:cs="Times New Roman"/>
          <w:i/>
          <w:sz w:val="24"/>
          <w:szCs w:val="24"/>
        </w:rPr>
      </w:pPr>
    </w:p>
    <w:p w:rsidR="00CD75DE" w:rsidRPr="00CF38ED" w:rsidRDefault="00CD75DE" w:rsidP="00CD75DE">
      <w:pPr>
        <w:jc w:val="both"/>
        <w:rPr>
          <w:rFonts w:ascii="Times New Roman" w:eastAsia="Calibri" w:hAnsi="Times New Roman" w:cs="Times New Roman"/>
          <w:b/>
          <w:sz w:val="24"/>
          <w:szCs w:val="24"/>
        </w:rPr>
      </w:pPr>
      <w:bookmarkStart w:id="1" w:name="_Hlk47698091"/>
      <w:r w:rsidRPr="00CF38ED">
        <w:rPr>
          <w:rFonts w:ascii="Times New Roman" w:eastAsia="Calibri" w:hAnsi="Times New Roman" w:cs="Times New Roman"/>
          <w:b/>
          <w:sz w:val="24"/>
          <w:szCs w:val="24"/>
        </w:rPr>
        <w:t>3.3 Vplyvy na konkurencieschopnosť a produktivitu</w:t>
      </w:r>
    </w:p>
    <w:bookmarkEnd w:id="1"/>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Dochádza k vytvoreniu resp. k zmene bariér na trhu? </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CF38ED">
        <w:rPr>
          <w:rFonts w:ascii="Times New Roman" w:eastAsia="Calibri" w:hAnsi="Times New Roman" w:cs="Times New Roman"/>
          <w:i/>
          <w:sz w:val="24"/>
          <w:szCs w:val="24"/>
        </w:rPr>
        <w:t>mikro</w:t>
      </w:r>
      <w:proofErr w:type="spellEnd"/>
      <w:r w:rsidRPr="00CF38ED">
        <w:rPr>
          <w:rFonts w:ascii="Times New Roman" w:eastAsia="Calibri" w:hAnsi="Times New Roman" w:cs="Times New Roman"/>
          <w:i/>
          <w:sz w:val="24"/>
          <w:szCs w:val="24"/>
        </w:rPr>
        <w:t xml:space="preserve">, malé a stredné podniky tzv. MSP)? </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Ovplyvní dostupnosť základných zdrojov (financie, pracovná sila, suroviny, mechanizmy, energie atď.)? </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Ovplyvňuje zmena regulácie inovácie, vedu a výskum?</w:t>
      </w:r>
    </w:p>
    <w:p w:rsidR="00CD75DE" w:rsidRDefault="00CD75DE" w:rsidP="00CD75DE">
      <w:pPr>
        <w:spacing w:after="0"/>
        <w:jc w:val="both"/>
        <w:rPr>
          <w:rFonts w:ascii="Times New Roman" w:eastAsia="Calibri" w:hAnsi="Times New Roman" w:cs="Times New Roman"/>
          <w:i/>
          <w:iCs/>
          <w:sz w:val="24"/>
          <w:szCs w:val="24"/>
        </w:rPr>
      </w:pPr>
      <w:r w:rsidRPr="00CF38ED">
        <w:rPr>
          <w:rFonts w:ascii="Times New Roman" w:eastAsia="Calibri" w:hAnsi="Times New Roman" w:cs="Times New Roman"/>
          <w:i/>
          <w:iCs/>
          <w:sz w:val="24"/>
          <w:szCs w:val="24"/>
        </w:rPr>
        <w:t>Ako prispieva zmena regulácie k cieľu Slovenska mať najlepšie podnikateľské prostredie spomedzi susediacich krajín EÚ?</w:t>
      </w:r>
    </w:p>
    <w:p w:rsidR="00CD75DE" w:rsidRPr="003C4AFA" w:rsidRDefault="00CD75DE" w:rsidP="00852070">
      <w:pPr>
        <w:spacing w:after="0"/>
        <w:ind w:firstLine="708"/>
        <w:jc w:val="both"/>
        <w:rPr>
          <w:rFonts w:ascii="Times New Roman" w:eastAsia="Calibri" w:hAnsi="Times New Roman" w:cs="Times New Roman"/>
          <w:iCs/>
          <w:sz w:val="24"/>
          <w:szCs w:val="24"/>
        </w:rPr>
      </w:pPr>
      <w:r w:rsidRPr="003C4AFA">
        <w:rPr>
          <w:rFonts w:ascii="Times New Roman" w:eastAsia="Calibri" w:hAnsi="Times New Roman" w:cs="Times New Roman"/>
          <w:sz w:val="24"/>
          <w:szCs w:val="24"/>
        </w:rPr>
        <w:t>Navrhovanou zmenou regulácie sa pridáme k niektorým susedným krajinám (Česká republika, Nemecko, Maďarsko), ktoré tiež majú zavedený režim zákazu na prekurzory výbušnín. Niektoré ďalšie susedné krajiny (Poľsko, Rakúsko) majú alternatívu 2. licenčné povolenia, toto však SR nepodporuje z dôvodu vyšších nákladov pre štát, hosp. subjekty ako aj členov širokej verejnosti.</w:t>
      </w:r>
    </w:p>
    <w:p w:rsidR="00852070" w:rsidRDefault="00852070" w:rsidP="00CD75DE">
      <w:pPr>
        <w:spacing w:after="0"/>
        <w:jc w:val="both"/>
        <w:rPr>
          <w:rFonts w:ascii="Times New Roman" w:eastAsia="Calibri" w:hAnsi="Times New Roman" w:cs="Times New Roman"/>
          <w:b/>
          <w:i/>
          <w:sz w:val="24"/>
          <w:szCs w:val="24"/>
        </w:rPr>
      </w:pPr>
    </w:p>
    <w:p w:rsidR="00CD75DE" w:rsidRPr="00CF38ED" w:rsidRDefault="00CD75DE" w:rsidP="00CD75DE">
      <w:pPr>
        <w:spacing w:after="0"/>
        <w:jc w:val="both"/>
        <w:rPr>
          <w:rFonts w:ascii="Times New Roman" w:eastAsia="Calibri" w:hAnsi="Times New Roman" w:cs="Times New Roman"/>
          <w:i/>
          <w:iCs/>
          <w:sz w:val="24"/>
          <w:szCs w:val="24"/>
        </w:rPr>
      </w:pPr>
      <w:r w:rsidRPr="00CF38ED">
        <w:rPr>
          <w:rFonts w:ascii="Times New Roman" w:eastAsia="Calibri" w:hAnsi="Times New Roman" w:cs="Times New Roman"/>
          <w:b/>
          <w:i/>
          <w:sz w:val="24"/>
          <w:szCs w:val="24"/>
        </w:rPr>
        <w:t>Konkurencieschopnosť:</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Na základe uvedených odpovedí zaškrtnite a popíšte, či materiál konkurencieschopnosť:</w:t>
      </w:r>
    </w:p>
    <w:p w:rsidR="00CD75DE" w:rsidRPr="00CF38ED" w:rsidRDefault="002F35B5" w:rsidP="00CD75DE">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CD75DE" w:rsidRPr="00CF38ED">
                <w:rPr>
                  <w:rFonts w:ascii="Segoe UI Symbol" w:eastAsia="Calibri" w:hAnsi="Segoe UI Symbol" w:cs="Segoe UI Symbol"/>
                  <w:i/>
                  <w:sz w:val="24"/>
                  <w:szCs w:val="24"/>
                </w:rPr>
                <w:t>☐</w:t>
              </w:r>
            </w:sdtContent>
          </w:sdt>
        </w:sdtContent>
      </w:sdt>
      <w:r w:rsidR="00CD75DE" w:rsidRPr="00CF38ED">
        <w:rPr>
          <w:rFonts w:ascii="Times New Roman" w:eastAsia="Calibri" w:hAnsi="Times New Roman" w:cs="Times New Roman"/>
          <w:i/>
          <w:sz w:val="24"/>
          <w:szCs w:val="24"/>
        </w:rPr>
        <w:t xml:space="preserve"> zvyšuje  </w:t>
      </w:r>
      <w:r w:rsidR="00CD75DE" w:rsidRPr="00CF38ED">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CD75DE" w:rsidRPr="00CF38ED">
                <w:rPr>
                  <w:rFonts w:ascii="Segoe UI Symbol" w:eastAsia="Calibri" w:hAnsi="Segoe UI Symbol" w:cs="Segoe UI Symbol"/>
                  <w:b/>
                  <w:i/>
                  <w:color w:val="002060"/>
                  <w:sz w:val="24"/>
                  <w:szCs w:val="24"/>
                </w:rPr>
                <w:t>x</w:t>
              </w:r>
            </w:sdtContent>
          </w:sdt>
        </w:sdtContent>
      </w:sdt>
      <w:r w:rsidR="00CD75DE" w:rsidRPr="00CF38ED">
        <w:rPr>
          <w:rFonts w:ascii="Times New Roman" w:eastAsia="Calibri" w:hAnsi="Times New Roman" w:cs="Times New Roman"/>
          <w:i/>
          <w:sz w:val="24"/>
          <w:szCs w:val="24"/>
        </w:rPr>
        <w:t xml:space="preserve"> nemení</w:t>
      </w:r>
      <w:r w:rsidR="00CD75DE" w:rsidRPr="00CF38ED">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CD75DE" w:rsidRPr="00CF38ED">
                <w:rPr>
                  <w:rFonts w:ascii="Segoe UI Symbol" w:eastAsia="Calibri" w:hAnsi="Segoe UI Symbol" w:cs="Segoe UI Symbol"/>
                  <w:i/>
                  <w:sz w:val="24"/>
                  <w:szCs w:val="24"/>
                </w:rPr>
                <w:t>☐</w:t>
              </w:r>
            </w:sdtContent>
          </w:sdt>
        </w:sdtContent>
      </w:sdt>
      <w:r w:rsidR="00CD75DE" w:rsidRPr="00CF38ED">
        <w:rPr>
          <w:rFonts w:ascii="Times New Roman" w:eastAsia="Calibri" w:hAnsi="Times New Roman" w:cs="Times New Roman"/>
          <w:i/>
          <w:sz w:val="24"/>
          <w:szCs w:val="24"/>
        </w:rPr>
        <w:t xml:space="preserve"> znižuje</w:t>
      </w:r>
    </w:p>
    <w:p w:rsidR="00CD75DE" w:rsidRPr="00CF38ED" w:rsidRDefault="00CD75DE" w:rsidP="00CD75DE">
      <w:pPr>
        <w:spacing w:after="0"/>
        <w:jc w:val="both"/>
        <w:rPr>
          <w:rFonts w:ascii="Times New Roman" w:eastAsia="Calibri" w:hAnsi="Times New Roman" w:cs="Times New Roman"/>
          <w:i/>
          <w:sz w:val="24"/>
          <w:szCs w:val="24"/>
        </w:rPr>
      </w:pPr>
    </w:p>
    <w:p w:rsidR="00CD75DE" w:rsidRPr="00CF38ED" w:rsidRDefault="00CD75DE" w:rsidP="00CD75DE">
      <w:pPr>
        <w:spacing w:after="0"/>
        <w:jc w:val="both"/>
        <w:rPr>
          <w:rFonts w:ascii="Times New Roman" w:eastAsia="Calibri" w:hAnsi="Times New Roman" w:cs="Times New Roman"/>
          <w:b/>
          <w:i/>
          <w:sz w:val="24"/>
          <w:szCs w:val="24"/>
        </w:rPr>
      </w:pPr>
      <w:r w:rsidRPr="00CF38ED">
        <w:rPr>
          <w:rFonts w:ascii="Times New Roman" w:eastAsia="Calibri" w:hAnsi="Times New Roman" w:cs="Times New Roman"/>
          <w:b/>
          <w:i/>
          <w:sz w:val="24"/>
          <w:szCs w:val="24"/>
        </w:rPr>
        <w:t>Produktivita:</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Aký má materiál vplyv na zmenu pomeru medzi produkciou podnikov a ich nákladmi? </w:t>
      </w:r>
    </w:p>
    <w:p w:rsidR="00CD75DE" w:rsidRPr="000A09E8" w:rsidRDefault="00CD75DE" w:rsidP="00CD75DE">
      <w:pPr>
        <w:spacing w:after="0"/>
        <w:jc w:val="both"/>
        <w:rPr>
          <w:rFonts w:ascii="Times New Roman" w:eastAsia="Calibri" w:hAnsi="Times New Roman" w:cs="Times New Roman"/>
          <w:i/>
          <w:sz w:val="24"/>
          <w:szCs w:val="24"/>
        </w:rPr>
      </w:pPr>
      <w:r w:rsidRPr="000A09E8">
        <w:rPr>
          <w:rFonts w:ascii="Times New Roman" w:eastAsia="Calibri" w:hAnsi="Times New Roman" w:cs="Times New Roman"/>
          <w:i/>
          <w:sz w:val="24"/>
          <w:szCs w:val="24"/>
        </w:rPr>
        <w:t>V súvislo</w:t>
      </w:r>
      <w:r>
        <w:rPr>
          <w:rFonts w:ascii="Times New Roman" w:eastAsia="Calibri" w:hAnsi="Times New Roman" w:cs="Times New Roman"/>
          <w:i/>
          <w:sz w:val="24"/>
          <w:szCs w:val="24"/>
        </w:rPr>
        <w:t xml:space="preserve">sti so znížením koncentrácie výrobkov, sa </w:t>
      </w:r>
      <w:r w:rsidRPr="000A09E8">
        <w:rPr>
          <w:rFonts w:ascii="Times New Roman" w:eastAsia="Calibri" w:hAnsi="Times New Roman" w:cs="Times New Roman"/>
          <w:i/>
          <w:sz w:val="24"/>
          <w:szCs w:val="24"/>
        </w:rPr>
        <w:t xml:space="preserve"> zvýši </w:t>
      </w:r>
      <w:r>
        <w:rPr>
          <w:rFonts w:ascii="Times New Roman" w:eastAsia="Calibri" w:hAnsi="Times New Roman" w:cs="Times New Roman"/>
          <w:i/>
          <w:sz w:val="24"/>
          <w:szCs w:val="24"/>
        </w:rPr>
        <w:t>objem prepravovaných surovín a predpokladá</w:t>
      </w:r>
      <w:r>
        <w:rPr>
          <w:rFonts w:ascii="Times New Roman" w:eastAsia="Calibri" w:hAnsi="Times New Roman" w:cs="Times New Roman"/>
          <w:i/>
          <w:sz w:val="24"/>
          <w:szCs w:val="24"/>
        </w:rPr>
        <w:br/>
        <w:t>sa zvýšenie nákladov za prepravu.</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Na základe uvedenej odpovede zaškrtnite a popíšte, či materiál produktivitu:</w:t>
      </w:r>
    </w:p>
    <w:p w:rsidR="00CD75DE" w:rsidRPr="00CF38ED" w:rsidRDefault="002F35B5" w:rsidP="00CD75DE">
      <w:pPr>
        <w:spacing w:after="12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CD75DE" w:rsidRPr="00CF38ED">
                <w:rPr>
                  <w:rFonts w:ascii="Segoe UI Symbol" w:eastAsia="Calibri" w:hAnsi="Segoe UI Symbol" w:cs="Segoe UI Symbol"/>
                  <w:i/>
                  <w:sz w:val="24"/>
                  <w:szCs w:val="24"/>
                </w:rPr>
                <w:t>☐</w:t>
              </w:r>
            </w:sdtContent>
          </w:sdt>
        </w:sdtContent>
      </w:sdt>
      <w:r w:rsidR="00CD75DE" w:rsidRPr="00CF38ED">
        <w:rPr>
          <w:rFonts w:ascii="Times New Roman" w:eastAsia="Calibri" w:hAnsi="Times New Roman" w:cs="Times New Roman"/>
          <w:i/>
          <w:sz w:val="24"/>
          <w:szCs w:val="24"/>
        </w:rPr>
        <w:t xml:space="preserve"> zvyšuje  </w:t>
      </w:r>
      <w:r w:rsidR="00CD75DE" w:rsidRPr="00CF38ED">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CD75DE" w:rsidRPr="00CF38ED">
                <w:rPr>
                  <w:rFonts w:ascii="Segoe UI Symbol" w:eastAsia="Calibri" w:hAnsi="Segoe UI Symbol" w:cs="Segoe UI Symbol"/>
                  <w:i/>
                  <w:sz w:val="24"/>
                  <w:szCs w:val="24"/>
                </w:rPr>
                <w:t>☐</w:t>
              </w:r>
            </w:sdtContent>
          </w:sdt>
        </w:sdtContent>
      </w:sdt>
      <w:r w:rsidR="00CD75DE" w:rsidRPr="00CF38ED">
        <w:rPr>
          <w:rFonts w:ascii="Times New Roman" w:eastAsia="Calibri" w:hAnsi="Times New Roman" w:cs="Times New Roman"/>
          <w:i/>
          <w:sz w:val="24"/>
          <w:szCs w:val="24"/>
        </w:rPr>
        <w:t xml:space="preserve"> nemení</w:t>
      </w:r>
      <w:r w:rsidR="00CD75DE" w:rsidRPr="00CF38ED">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sdt>
                <w:sdtPr>
                  <w:rPr>
                    <w:rFonts w:ascii="Times New Roman" w:eastAsia="Calibri" w:hAnsi="Times New Roman" w:cs="Times New Roman"/>
                    <w:i/>
                    <w:sz w:val="24"/>
                    <w:szCs w:val="24"/>
                  </w:rPr>
                  <w:id w:val="1926922446"/>
                </w:sdtPr>
                <w:sdtEndPr/>
                <w:sdtContent>
                  <w:r w:rsidR="00CD75DE" w:rsidRPr="00CF38ED">
                    <w:rPr>
                      <w:rFonts w:ascii="Segoe UI Symbol" w:eastAsia="Calibri" w:hAnsi="Segoe UI Symbol" w:cs="Segoe UI Symbol"/>
                      <w:b/>
                      <w:i/>
                      <w:color w:val="002060"/>
                      <w:sz w:val="24"/>
                      <w:szCs w:val="24"/>
                    </w:rPr>
                    <w:t>x</w:t>
                  </w:r>
                </w:sdtContent>
              </w:sdt>
              <w:r w:rsidR="00CD75DE" w:rsidRPr="00CF38ED">
                <w:rPr>
                  <w:rFonts w:ascii="Times New Roman" w:eastAsia="Calibri" w:hAnsi="Times New Roman" w:cs="Times New Roman"/>
                  <w:i/>
                  <w:sz w:val="24"/>
                  <w:szCs w:val="24"/>
                </w:rPr>
                <w:t xml:space="preserve"> </w:t>
              </w:r>
            </w:sdtContent>
          </w:sdt>
        </w:sdtContent>
      </w:sdt>
      <w:r w:rsidR="00CD75DE" w:rsidRPr="00CF38ED">
        <w:rPr>
          <w:rFonts w:ascii="Times New Roman" w:eastAsia="Calibri" w:hAnsi="Times New Roman" w:cs="Times New Roman"/>
          <w:i/>
          <w:sz w:val="24"/>
          <w:szCs w:val="24"/>
        </w:rPr>
        <w:t xml:space="preserve"> znižuje</w:t>
      </w:r>
    </w:p>
    <w:p w:rsidR="00CD75DE" w:rsidRPr="00CF38ED" w:rsidRDefault="00CD75DE" w:rsidP="00CD75DE">
      <w:pPr>
        <w:jc w:val="both"/>
        <w:rPr>
          <w:rFonts w:ascii="Times New Roman" w:eastAsia="Calibri" w:hAnsi="Times New Roman" w:cs="Times New Roman"/>
          <w:b/>
          <w:sz w:val="24"/>
          <w:szCs w:val="24"/>
        </w:rPr>
      </w:pPr>
      <w:r w:rsidRPr="00CF38ED">
        <w:rPr>
          <w:rFonts w:ascii="Times New Roman" w:eastAsia="Calibri" w:hAnsi="Times New Roman" w:cs="Times New Roman"/>
          <w:b/>
          <w:sz w:val="24"/>
          <w:szCs w:val="24"/>
        </w:rPr>
        <w:t xml:space="preserve">3.4  Iné vplyvy na podnikateľské prostredie </w:t>
      </w:r>
    </w:p>
    <w:p w:rsidR="00CD75DE" w:rsidRPr="00CF38ED" w:rsidRDefault="00CD75DE" w:rsidP="00CD75DE">
      <w:pPr>
        <w:spacing w:after="0"/>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CD75DE" w:rsidRPr="00CF38ED" w:rsidRDefault="00CD75DE" w:rsidP="00CD75DE">
      <w:pPr>
        <w:numPr>
          <w:ilvl w:val="0"/>
          <w:numId w:val="1"/>
        </w:numPr>
        <w:spacing w:after="0" w:line="254" w:lineRule="auto"/>
        <w:contextualSpacing/>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sankcie alebo pokuty, ako dôsledok porušenia právne záväzných ustanovení;</w:t>
      </w:r>
    </w:p>
    <w:p w:rsidR="00CD75DE" w:rsidRPr="00CF38ED" w:rsidRDefault="00CD75DE" w:rsidP="00CD75DE">
      <w:pPr>
        <w:spacing w:after="0" w:line="254" w:lineRule="auto"/>
        <w:ind w:left="720"/>
        <w:contextualSpacing/>
        <w:jc w:val="both"/>
        <w:rPr>
          <w:rFonts w:ascii="Times New Roman" w:eastAsia="Calibri" w:hAnsi="Times New Roman" w:cs="Times New Roman"/>
          <w:sz w:val="24"/>
          <w:szCs w:val="24"/>
        </w:rPr>
      </w:pPr>
      <w:r w:rsidRPr="00CF38ED">
        <w:rPr>
          <w:rFonts w:ascii="Times New Roman" w:eastAsia="Calibri" w:hAnsi="Times New Roman" w:cs="Times New Roman"/>
          <w:sz w:val="24"/>
          <w:szCs w:val="24"/>
        </w:rPr>
        <w:t>Návrh zákona ukladá sankcie PP za porušenie povinností  navrhovanou právnou úpravou vo výške od 500 do 50 000 eur.</w:t>
      </w:r>
    </w:p>
    <w:p w:rsidR="00CD75DE" w:rsidRPr="00CF38ED" w:rsidRDefault="00CD75DE" w:rsidP="00CD75DE">
      <w:pPr>
        <w:numPr>
          <w:ilvl w:val="0"/>
          <w:numId w:val="1"/>
        </w:numPr>
        <w:spacing w:after="0" w:line="254" w:lineRule="auto"/>
        <w:contextualSpacing/>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CD75DE" w:rsidRPr="00CF38ED" w:rsidRDefault="00CD75DE" w:rsidP="00CD75DE">
      <w:pPr>
        <w:numPr>
          <w:ilvl w:val="0"/>
          <w:numId w:val="1"/>
        </w:numPr>
        <w:spacing w:after="0" w:line="254" w:lineRule="auto"/>
        <w:contextualSpacing/>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regulované ceny podľa zákona č. 18/1996 Z. z. o cenách;</w:t>
      </w:r>
    </w:p>
    <w:p w:rsidR="00CD75DE" w:rsidRPr="00CF38ED" w:rsidRDefault="00CD75DE" w:rsidP="00CD75DE">
      <w:pPr>
        <w:numPr>
          <w:ilvl w:val="0"/>
          <w:numId w:val="1"/>
        </w:numPr>
        <w:spacing w:after="0" w:line="254" w:lineRule="auto"/>
        <w:contextualSpacing/>
        <w:jc w:val="both"/>
        <w:rPr>
          <w:rFonts w:ascii="Times New Roman" w:eastAsia="Calibri" w:hAnsi="Times New Roman" w:cs="Times New Roman"/>
          <w:i/>
          <w:sz w:val="24"/>
          <w:szCs w:val="24"/>
        </w:rPr>
      </w:pPr>
      <w:r w:rsidRPr="00CF38ED">
        <w:rPr>
          <w:rFonts w:ascii="Times New Roman" w:eastAsia="Calibri" w:hAnsi="Times New Roman" w:cs="Times New Roman"/>
          <w:i/>
          <w:sz w:val="24"/>
          <w:szCs w:val="24"/>
        </w:rPr>
        <w:t xml:space="preserve">iné vplyvy, ktoré predpokladá materiál, ale nemožno ich zaradiť do častí 3.1 a 3.3. </w:t>
      </w:r>
    </w:p>
    <w:sectPr w:rsidR="00CD75DE" w:rsidRPr="00CF3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DE"/>
    <w:rsid w:val="000B36A0"/>
    <w:rsid w:val="002F35B5"/>
    <w:rsid w:val="00852070"/>
    <w:rsid w:val="00880845"/>
    <w:rsid w:val="00A5166D"/>
    <w:rsid w:val="00BE28A0"/>
    <w:rsid w:val="00CD75DE"/>
    <w:rsid w:val="00DE7030"/>
    <w:rsid w:val="00E662A0"/>
    <w:rsid w:val="00F53AE8"/>
    <w:rsid w:val="00FB79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75D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2">
    <w:name w:val="Mriežka tabuľky2"/>
    <w:basedOn w:val="Normlnatabuka"/>
    <w:next w:val="Mriekatabuky"/>
    <w:uiPriority w:val="59"/>
    <w:rsid w:val="00CD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520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2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75D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2">
    <w:name w:val="Mriežka tabuľky2"/>
    <w:basedOn w:val="Normlnatabuka"/>
    <w:next w:val="Mriekatabuky"/>
    <w:uiPriority w:val="59"/>
    <w:rsid w:val="00CD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520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2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sr.sk/podnikatelske-prostredie/lepsia-regulacia/regulacne-zatazenie/kalkulacka-nakladov-regulac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9160</Characters>
  <Application>Microsoft Office Word</Application>
  <DocSecurity>4</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Hajdu Ladislav</cp:lastModifiedBy>
  <cp:revision>2</cp:revision>
  <cp:lastPrinted>2021-07-12T05:36:00Z</cp:lastPrinted>
  <dcterms:created xsi:type="dcterms:W3CDTF">2021-10-15T05:59:00Z</dcterms:created>
  <dcterms:modified xsi:type="dcterms:W3CDTF">2021-10-15T05:59:00Z</dcterms:modified>
</cp:coreProperties>
</file>