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5A1B43" w:rsidRPr="002644DE" w:rsidTr="00E96B54">
        <w:trPr>
          <w:trHeight w:val="534"/>
          <w:jc w:val="center"/>
        </w:trPr>
        <w:tc>
          <w:tcPr>
            <w:tcW w:w="5000" w:type="pct"/>
            <w:gridSpan w:val="3"/>
            <w:tcBorders>
              <w:bottom w:val="single" w:sz="4" w:space="0" w:color="auto"/>
            </w:tcBorders>
            <w:shd w:val="clear" w:color="auto" w:fill="808080" w:themeFill="background1" w:themeFillShade="80"/>
          </w:tcPr>
          <w:p w:rsidR="005A1B43" w:rsidRPr="002644DE" w:rsidRDefault="005A1B43" w:rsidP="00E96B54">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5A1B43" w:rsidRPr="002644DE" w:rsidRDefault="005A1B43" w:rsidP="00E96B54">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5A1B43" w:rsidRPr="002644DE" w:rsidRDefault="005A1B43" w:rsidP="00E96B54">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5A1B43" w:rsidRPr="002644DE" w:rsidTr="00E96B54">
        <w:trPr>
          <w:jc w:val="center"/>
        </w:trPr>
        <w:tc>
          <w:tcPr>
            <w:tcW w:w="5000" w:type="pct"/>
            <w:gridSpan w:val="3"/>
            <w:tcBorders>
              <w:bottom w:val="single" w:sz="4" w:space="0" w:color="auto"/>
            </w:tcBorders>
            <w:shd w:val="clear" w:color="auto" w:fill="A6A6A6" w:themeFill="background1" w:themeFillShade="A6"/>
          </w:tcPr>
          <w:p w:rsidR="005A1B43" w:rsidRPr="002644DE" w:rsidRDefault="005A1B43" w:rsidP="00E96B54">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5A1B43" w:rsidRPr="002644DE" w:rsidTr="00E96B54">
        <w:trPr>
          <w:jc w:val="center"/>
        </w:trPr>
        <w:tc>
          <w:tcPr>
            <w:tcW w:w="5000" w:type="pct"/>
            <w:gridSpan w:val="3"/>
            <w:tcBorders>
              <w:bottom w:val="single" w:sz="4" w:space="0" w:color="auto"/>
            </w:tcBorders>
            <w:shd w:val="clear" w:color="auto" w:fill="F2F2F2"/>
          </w:tcPr>
          <w:p w:rsidR="005A1B43" w:rsidRPr="002644DE" w:rsidRDefault="005A1B43" w:rsidP="00E96B54">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5A1B43" w:rsidRPr="002644DE" w:rsidRDefault="005A1B43" w:rsidP="00E96B54">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5A1B43" w:rsidRPr="002644DE" w:rsidRDefault="005A1B43" w:rsidP="00E96B54">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5A1B43" w:rsidRPr="002644DE" w:rsidRDefault="005A1B43" w:rsidP="00E96B54">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5A1B43" w:rsidRPr="002644DE" w:rsidTr="00E96B54">
        <w:trPr>
          <w:trHeight w:val="170"/>
          <w:jc w:val="center"/>
        </w:trPr>
        <w:tc>
          <w:tcPr>
            <w:tcW w:w="129" w:type="pct"/>
            <w:tcBorders>
              <w:top w:val="single" w:sz="4" w:space="0" w:color="auto"/>
              <w:bottom w:val="single" w:sz="4" w:space="0" w:color="auto"/>
            </w:tcBorders>
            <w:shd w:val="clear" w:color="auto" w:fill="DDDDDD"/>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5A1B43" w:rsidRPr="002644DE" w:rsidRDefault="005A1B43" w:rsidP="00E96B54">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5A1B43" w:rsidRPr="002644DE" w:rsidTr="00E96B54">
        <w:trPr>
          <w:trHeight w:val="759"/>
          <w:jc w:val="center"/>
        </w:trPr>
        <w:tc>
          <w:tcPr>
            <w:tcW w:w="129"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FD1335" w:rsidRPr="002644DE" w:rsidRDefault="005A1B43" w:rsidP="00FD1335">
            <w:pPr>
              <w:spacing w:after="0" w:line="240" w:lineRule="auto"/>
              <w:contextualSpacing/>
              <w:rPr>
                <w:rFonts w:ascii="Times New Roman" w:eastAsia="Calibri" w:hAnsi="Times New Roman" w:cs="Times New Roman"/>
                <w:sz w:val="20"/>
                <w:szCs w:val="20"/>
                <w:lang w:eastAsia="sk-SK"/>
              </w:rPr>
            </w:pPr>
            <w:r w:rsidRPr="00F9107F">
              <w:rPr>
                <w:rFonts w:ascii="Times New Roman" w:eastAsia="Calibri" w:hAnsi="Times New Roman" w:cs="Times New Roman"/>
                <w:sz w:val="20"/>
                <w:szCs w:val="20"/>
                <w:lang w:eastAsia="sk-SK"/>
              </w:rPr>
              <w:t>Zefektívnenie činnosti súdov môže pozitívnym spôsobom ovplyvniť hospodárenie domácností formou zlepšenia uplatňovania práva na súdnu ochranu.</w:t>
            </w:r>
          </w:p>
        </w:tc>
      </w:tr>
      <w:tr w:rsidR="005A1B43" w:rsidRPr="002644DE" w:rsidTr="00E96B54">
        <w:trPr>
          <w:trHeight w:val="397"/>
          <w:jc w:val="center"/>
        </w:trPr>
        <w:tc>
          <w:tcPr>
            <w:tcW w:w="129" w:type="pct"/>
            <w:vMerge w:val="restart"/>
            <w:tcBorders>
              <w:top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5A1B43" w:rsidRPr="00F9107F" w:rsidRDefault="005A1B43" w:rsidP="00E96B54">
            <w:pPr>
              <w:spacing w:after="0" w:line="240" w:lineRule="auto"/>
              <w:rPr>
                <w:rFonts w:ascii="Times New Roman" w:eastAsia="Calibri" w:hAnsi="Times New Roman" w:cs="Times New Roman"/>
                <w:sz w:val="20"/>
                <w:szCs w:val="20"/>
                <w:lang w:eastAsia="sk-SK"/>
              </w:rPr>
            </w:pPr>
            <w:r w:rsidRPr="00F9107F">
              <w:rPr>
                <w:rFonts w:ascii="Times New Roman" w:eastAsia="Calibri" w:hAnsi="Times New Roman" w:cs="Times New Roman"/>
                <w:sz w:val="18"/>
                <w:szCs w:val="20"/>
                <w:lang w:eastAsia="sk-SK"/>
              </w:rPr>
              <w:t xml:space="preserve">účastníci konaní pred súdom </w:t>
            </w:r>
            <w:r>
              <w:rPr>
                <w:rFonts w:ascii="Times New Roman" w:eastAsia="Calibri" w:hAnsi="Times New Roman" w:cs="Times New Roman"/>
                <w:sz w:val="18"/>
                <w:szCs w:val="20"/>
                <w:lang w:eastAsia="sk-SK"/>
              </w:rPr>
              <w:t>bez ohľadu na ich sociálny status</w:t>
            </w:r>
          </w:p>
        </w:tc>
      </w:tr>
      <w:tr w:rsidR="005A1B43" w:rsidRPr="002644DE" w:rsidTr="00E96B54">
        <w:trPr>
          <w:trHeight w:val="397"/>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454"/>
          <w:jc w:val="center"/>
        </w:trPr>
        <w:tc>
          <w:tcPr>
            <w:tcW w:w="129" w:type="pct"/>
            <w:tcBorders>
              <w:top w:val="dotted"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A1B43" w:rsidRPr="002644DE" w:rsidTr="00E96B54">
        <w:trPr>
          <w:trHeight w:val="680"/>
          <w:jc w:val="center"/>
        </w:trPr>
        <w:tc>
          <w:tcPr>
            <w:tcW w:w="129" w:type="pct"/>
            <w:vMerge w:val="restar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5A1B43" w:rsidRPr="002644DE" w:rsidRDefault="005A1B43" w:rsidP="005A1B43">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5A1B43" w:rsidRPr="002644DE" w:rsidRDefault="005A1B43" w:rsidP="005A1B43">
            <w:pPr>
              <w:numPr>
                <w:ilvl w:val="0"/>
                <w:numId w:val="3"/>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680"/>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Nie je možné kvantifikovať súdivosť z hľadiska bezprostredných vplyvov na príjmy domácností. Možno však konštatovať, že rýchlejšie a efektívnejšie súdne konanie vedie k skoršiemu generovaniu súdneho rozhodnutia, ktoré môže ovplyvniť príjmovú stránku hospodárenia domácností. </w:t>
            </w:r>
          </w:p>
        </w:tc>
      </w:tr>
      <w:tr w:rsidR="005A1B43" w:rsidRPr="002644DE" w:rsidTr="00E96B54">
        <w:trPr>
          <w:trHeight w:val="170"/>
          <w:jc w:val="center"/>
        </w:trPr>
        <w:tc>
          <w:tcPr>
            <w:tcW w:w="129" w:type="pct"/>
            <w:tcBorders>
              <w:top w:val="nil"/>
              <w:bottom w:val="single"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5A1B43" w:rsidRPr="002644DE" w:rsidRDefault="005A1B43" w:rsidP="00E96B54">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5A1B43" w:rsidRPr="002644DE" w:rsidTr="00E96B54">
        <w:trPr>
          <w:trHeight w:val="759"/>
          <w:jc w:val="center"/>
        </w:trPr>
        <w:tc>
          <w:tcPr>
            <w:tcW w:w="129"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r w:rsidRPr="00F9107F">
              <w:rPr>
                <w:rFonts w:ascii="Times New Roman" w:eastAsia="Calibri" w:hAnsi="Times New Roman" w:cs="Times New Roman"/>
                <w:sz w:val="20"/>
                <w:szCs w:val="20"/>
                <w:lang w:eastAsia="sk-SK"/>
              </w:rPr>
              <w:t>Zefektívnenie činnosti súdov môže pozitívnym spôsobom ovplyvniť hospodárenie domácností formou zlepšenia uplatňovania práva na súdnu ochranu.</w:t>
            </w:r>
          </w:p>
        </w:tc>
      </w:tr>
      <w:tr w:rsidR="005A1B43" w:rsidRPr="002644DE" w:rsidTr="00E96B54">
        <w:trPr>
          <w:trHeight w:val="397"/>
          <w:jc w:val="center"/>
        </w:trPr>
        <w:tc>
          <w:tcPr>
            <w:tcW w:w="129" w:type="pct"/>
            <w:vMerge w:val="restart"/>
            <w:tcBorders>
              <w:top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5A1B43" w:rsidRPr="003F4BC4" w:rsidRDefault="005A1B43" w:rsidP="00E96B54">
            <w:pPr>
              <w:spacing w:after="0" w:line="240" w:lineRule="auto"/>
              <w:rPr>
                <w:rFonts w:ascii="Times New Roman" w:eastAsia="Calibri" w:hAnsi="Times New Roman" w:cs="Times New Roman"/>
                <w:sz w:val="18"/>
                <w:szCs w:val="20"/>
                <w:lang w:eastAsia="sk-SK"/>
              </w:rPr>
            </w:pPr>
            <w:r w:rsidRPr="003F4BC4">
              <w:rPr>
                <w:rFonts w:ascii="Times New Roman" w:eastAsia="Calibri" w:hAnsi="Times New Roman" w:cs="Times New Roman"/>
                <w:sz w:val="18"/>
                <w:szCs w:val="20"/>
                <w:lang w:eastAsia="sk-SK"/>
              </w:rPr>
              <w:t>Všetky osoby v riziku chudoby alebo sociálneho vylúčenia</w:t>
            </w:r>
          </w:p>
        </w:tc>
      </w:tr>
      <w:tr w:rsidR="005A1B43" w:rsidRPr="002644DE" w:rsidTr="00E96B54">
        <w:trPr>
          <w:trHeight w:val="397"/>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tcBorders>
              <w:top w:val="dotted"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A1B43" w:rsidRPr="002644DE" w:rsidTr="00E96B54">
        <w:trPr>
          <w:trHeight w:val="680"/>
          <w:jc w:val="center"/>
        </w:trPr>
        <w:tc>
          <w:tcPr>
            <w:tcW w:w="129" w:type="pct"/>
            <w:vMerge w:val="restar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5A1B43" w:rsidRPr="002644DE" w:rsidRDefault="005A1B43" w:rsidP="005A1B43">
            <w:pPr>
              <w:numPr>
                <w:ilvl w:val="0"/>
                <w:numId w:val="3"/>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5A1B43" w:rsidRPr="002644DE" w:rsidRDefault="005A1B43" w:rsidP="005A1B43">
            <w:pPr>
              <w:numPr>
                <w:ilvl w:val="0"/>
                <w:numId w:val="3"/>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680"/>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50"/>
          <w:jc w:val="center"/>
        </w:trPr>
        <w:tc>
          <w:tcPr>
            <w:tcW w:w="129" w:type="pct"/>
            <w:tcBorders>
              <w:top w:val="dotted" w:sz="4" w:space="0" w:color="auto"/>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Nie je možné kvantifikovať súdivosť z hľadiska bezprostredných vplyvov na príjmy domácností. Možno však konštatovať, že rýchlejšie a efektívnejšie súdne konanie vedie k skoršiemu generovaniu súdneho rozhodnutia, ktoré môže ovplyvniť príjmovú stránku hospodárenia domácností. </w:t>
            </w:r>
          </w:p>
        </w:tc>
      </w:tr>
      <w:tr w:rsidR="005A1B43" w:rsidRPr="002644DE" w:rsidTr="00E96B54">
        <w:trPr>
          <w:trHeight w:val="170"/>
          <w:jc w:val="center"/>
        </w:trPr>
        <w:tc>
          <w:tcPr>
            <w:tcW w:w="129" w:type="pct"/>
            <w:tcBorders>
              <w:top w:val="single" w:sz="4" w:space="0" w:color="auto"/>
              <w:bottom w:val="single" w:sz="4" w:space="0" w:color="auto"/>
            </w:tcBorders>
            <w:shd w:val="clear" w:color="auto" w:fill="DDDDDD"/>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5A1B43" w:rsidRPr="002644DE" w:rsidRDefault="005A1B43" w:rsidP="00E96B54">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5A1B43" w:rsidRPr="002644DE" w:rsidTr="00E96B54">
        <w:trPr>
          <w:trHeight w:val="759"/>
          <w:jc w:val="center"/>
        </w:trPr>
        <w:tc>
          <w:tcPr>
            <w:tcW w:w="129"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b)</w:t>
            </w:r>
          </w:p>
          <w:p w:rsidR="005A1B43" w:rsidRPr="002644DE" w:rsidRDefault="005A1B43" w:rsidP="00E96B54">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5A1B43" w:rsidRPr="002644DE" w:rsidRDefault="005A1B43" w:rsidP="00E96B54">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5A1B43" w:rsidRPr="002644DE" w:rsidTr="00E96B54">
        <w:trPr>
          <w:trHeight w:val="397"/>
          <w:jc w:val="center"/>
        </w:trPr>
        <w:tc>
          <w:tcPr>
            <w:tcW w:w="129" w:type="pct"/>
            <w:vMerge w:val="restart"/>
            <w:tcBorders>
              <w:top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r>
      <w:tr w:rsidR="005A1B43" w:rsidRPr="002644DE" w:rsidTr="00E96B54">
        <w:trPr>
          <w:trHeight w:val="397"/>
          <w:jc w:val="center"/>
        </w:trPr>
        <w:tc>
          <w:tcPr>
            <w:tcW w:w="129" w:type="pct"/>
            <w:vMerge/>
            <w:tcBorders>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tcBorders>
              <w:top w:val="single"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A1B43" w:rsidRPr="002644DE" w:rsidTr="00E96B54">
        <w:trPr>
          <w:trHeight w:val="680"/>
          <w:jc w:val="center"/>
        </w:trPr>
        <w:tc>
          <w:tcPr>
            <w:tcW w:w="129" w:type="pct"/>
            <w:vMerge w:val="restar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5A1B43" w:rsidRPr="002644DE" w:rsidRDefault="005A1B43" w:rsidP="005A1B43">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5A1B43" w:rsidRPr="002644DE" w:rsidRDefault="005A1B43" w:rsidP="005A1B43">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680"/>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227"/>
          <w:jc w:val="center"/>
        </w:trPr>
        <w:tc>
          <w:tcPr>
            <w:tcW w:w="129" w:type="pct"/>
            <w:tcBorders>
              <w:top w:val="nil"/>
              <w:bottom w:val="single"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5A1B43" w:rsidRPr="002644DE" w:rsidRDefault="005A1B43" w:rsidP="00E96B54">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5A1B43" w:rsidRPr="002644DE" w:rsidTr="00E96B54">
        <w:trPr>
          <w:trHeight w:val="759"/>
          <w:jc w:val="center"/>
        </w:trPr>
        <w:tc>
          <w:tcPr>
            <w:tcW w:w="129"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FD1335" w:rsidRDefault="00FD1335" w:rsidP="00FD1335">
            <w:pPr>
              <w:spacing w:after="0" w:line="240" w:lineRule="auto"/>
              <w:rPr>
                <w:rFonts w:ascii="Times New Roman" w:eastAsia="Calibri" w:hAnsi="Times New Roman" w:cs="Times New Roman"/>
                <w:sz w:val="20"/>
                <w:szCs w:val="20"/>
                <w:lang w:eastAsia="sk-SK"/>
              </w:rPr>
            </w:pPr>
            <w:r w:rsidRPr="006D5E52">
              <w:rPr>
                <w:rFonts w:ascii="Times New Roman" w:eastAsia="Calibri" w:hAnsi="Times New Roman" w:cs="Times New Roman"/>
                <w:sz w:val="20"/>
                <w:szCs w:val="20"/>
                <w:lang w:eastAsia="sk-SK"/>
              </w:rPr>
              <w:t>Najviac viditeľný vplyv reformy súdnej mapy sa môže prejaviť v cestovaní účastníkov súdneho konania na súdy.</w:t>
            </w:r>
          </w:p>
          <w:p w:rsidR="00FD1335" w:rsidRDefault="00FD1335" w:rsidP="00FD1335">
            <w:pPr>
              <w:spacing w:after="0" w:line="240" w:lineRule="auto"/>
              <w:rPr>
                <w:rFonts w:ascii="Times New Roman" w:eastAsia="Calibri" w:hAnsi="Times New Roman" w:cs="Times New Roman"/>
                <w:sz w:val="20"/>
                <w:szCs w:val="20"/>
                <w:lang w:eastAsia="sk-SK"/>
              </w:rPr>
            </w:pPr>
          </w:p>
          <w:p w:rsidR="00FD1335" w:rsidRDefault="00FD1335" w:rsidP="00FD1335">
            <w:pPr>
              <w:spacing w:after="0" w:line="240" w:lineRule="auto"/>
              <w:rPr>
                <w:rFonts w:ascii="Times New Roman" w:eastAsia="Calibri" w:hAnsi="Times New Roman" w:cs="Times New Roman"/>
                <w:sz w:val="20"/>
                <w:szCs w:val="20"/>
                <w:lang w:eastAsia="sk-SK"/>
              </w:rPr>
            </w:pPr>
            <w:r w:rsidRPr="005203B1">
              <w:rPr>
                <w:rFonts w:ascii="Times New Roman" w:eastAsia="Calibri" w:hAnsi="Times New Roman" w:cs="Times New Roman"/>
                <w:sz w:val="20"/>
                <w:szCs w:val="20"/>
                <w:lang w:eastAsia="sk-SK"/>
              </w:rPr>
              <w:t>Cestovné výdavky nepredstavujú vysoký podiel na výdavkoch domácností, a to ani v skupinách so znevýhodnením. Podľa výberového zisťovania výdavkov domácností ŠÚ SR predstavovali napríklad v štruktúre výdavkov výdavky na  prevádzku prostriedkov osobnej dopravy a dopravné služby u nezamestnaných 6,0% čistých peňažných výdavkov a u štvrtiny domácnosti s najnižším príjmom (1. kvartál)  7,2% čistých peňažných výdavkov.</w:t>
            </w:r>
          </w:p>
          <w:p w:rsidR="00FD1335" w:rsidRDefault="00FD1335" w:rsidP="00FD1335">
            <w:pPr>
              <w:spacing w:after="0" w:line="240" w:lineRule="auto"/>
              <w:rPr>
                <w:rFonts w:ascii="Times New Roman" w:eastAsia="Calibri" w:hAnsi="Times New Roman" w:cs="Times New Roman"/>
                <w:sz w:val="20"/>
                <w:szCs w:val="20"/>
                <w:lang w:eastAsia="sk-SK"/>
              </w:rPr>
            </w:pPr>
          </w:p>
          <w:p w:rsidR="00FD1335" w:rsidRDefault="00FD1335" w:rsidP="00FD1335">
            <w:pPr>
              <w:spacing w:after="0" w:line="240" w:lineRule="auto"/>
              <w:rPr>
                <w:rFonts w:ascii="Times New Roman" w:eastAsia="Calibri" w:hAnsi="Times New Roman" w:cs="Times New Roman"/>
                <w:sz w:val="20"/>
                <w:szCs w:val="20"/>
                <w:lang w:eastAsia="sk-SK"/>
              </w:rPr>
            </w:pPr>
            <w:r w:rsidRPr="005203B1">
              <w:rPr>
                <w:rFonts w:ascii="Times New Roman" w:eastAsia="Calibri" w:hAnsi="Times New Roman" w:cs="Times New Roman"/>
                <w:sz w:val="20"/>
                <w:szCs w:val="20"/>
                <w:lang w:eastAsia="sk-SK"/>
              </w:rPr>
              <w:t xml:space="preserve">Výdavky na cestovanie na súdy predstavujú len malý podiel výdavkov na cestovanie, čo je dané nízkym podielom obyvateľov, ktorí musia cestovať na súd, ako aj nízkym počtom ciest v roku. </w:t>
            </w:r>
          </w:p>
          <w:p w:rsidR="0013229B" w:rsidRDefault="0013229B" w:rsidP="00FD1335">
            <w:pPr>
              <w:spacing w:after="0" w:line="240" w:lineRule="auto"/>
              <w:rPr>
                <w:rFonts w:ascii="Times New Roman" w:eastAsia="Calibri" w:hAnsi="Times New Roman" w:cs="Times New Roman"/>
                <w:sz w:val="20"/>
                <w:szCs w:val="20"/>
                <w:lang w:eastAsia="sk-SK"/>
              </w:rPr>
            </w:pPr>
            <w:bookmarkStart w:id="0" w:name="_GoBack"/>
            <w:bookmarkEnd w:id="0"/>
          </w:p>
          <w:p w:rsidR="005A1B43" w:rsidRPr="002644DE" w:rsidRDefault="00FD1335" w:rsidP="00FD1335">
            <w:pPr>
              <w:spacing w:after="0" w:line="240" w:lineRule="auto"/>
              <w:rPr>
                <w:rFonts w:ascii="Times New Roman" w:eastAsia="Calibri" w:hAnsi="Times New Roman" w:cs="Times New Roman"/>
                <w:sz w:val="20"/>
                <w:szCs w:val="20"/>
                <w:lang w:eastAsia="sk-SK"/>
              </w:rPr>
            </w:pPr>
            <w:r w:rsidRPr="005203B1">
              <w:rPr>
                <w:rFonts w:ascii="Times New Roman" w:eastAsia="Calibri" w:hAnsi="Times New Roman" w:cs="Times New Roman"/>
                <w:sz w:val="20"/>
                <w:szCs w:val="20"/>
                <w:lang w:eastAsia="sk-SK"/>
              </w:rPr>
              <w:t>Zvýšené náklady na cestovanie nie sú sociálne diferencované (t.j. netýkajú sa len sociálne nižších a znevýhodnených obyvateľov).</w:t>
            </w:r>
          </w:p>
        </w:tc>
      </w:tr>
      <w:tr w:rsidR="005A1B43" w:rsidRPr="002644DE" w:rsidTr="00E96B54">
        <w:trPr>
          <w:trHeight w:val="397"/>
          <w:jc w:val="center"/>
        </w:trPr>
        <w:tc>
          <w:tcPr>
            <w:tcW w:w="129" w:type="pct"/>
            <w:vMerge w:val="restart"/>
            <w:tcBorders>
              <w:top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5A1B43" w:rsidRPr="002644DE" w:rsidRDefault="00FD1335" w:rsidP="00E96B54">
            <w:pPr>
              <w:spacing w:after="0" w:line="240" w:lineRule="auto"/>
              <w:rPr>
                <w:rFonts w:ascii="Times New Roman" w:eastAsia="Calibri" w:hAnsi="Times New Roman" w:cs="Times New Roman"/>
                <w:i/>
                <w:sz w:val="18"/>
                <w:szCs w:val="20"/>
                <w:lang w:eastAsia="sk-SK"/>
              </w:rPr>
            </w:pPr>
            <w:r w:rsidRPr="00F9107F">
              <w:rPr>
                <w:rFonts w:ascii="Times New Roman" w:eastAsia="Calibri" w:hAnsi="Times New Roman" w:cs="Times New Roman"/>
                <w:sz w:val="18"/>
                <w:szCs w:val="20"/>
                <w:lang w:eastAsia="sk-SK"/>
              </w:rPr>
              <w:t xml:space="preserve">účastníci konaní pred súdom </w:t>
            </w:r>
            <w:r>
              <w:rPr>
                <w:rFonts w:ascii="Times New Roman" w:eastAsia="Calibri" w:hAnsi="Times New Roman" w:cs="Times New Roman"/>
                <w:sz w:val="18"/>
                <w:szCs w:val="20"/>
                <w:lang w:eastAsia="sk-SK"/>
              </w:rPr>
              <w:t>bez ohľadu na ich sociálny status</w:t>
            </w:r>
          </w:p>
        </w:tc>
      </w:tr>
      <w:tr w:rsidR="005A1B43" w:rsidRPr="002644DE" w:rsidTr="00E96B54">
        <w:trPr>
          <w:trHeight w:val="397"/>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454"/>
          <w:jc w:val="center"/>
        </w:trPr>
        <w:tc>
          <w:tcPr>
            <w:tcW w:w="129" w:type="pct"/>
            <w:tcBorders>
              <w:top w:val="dotted"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A1B43" w:rsidRPr="002644DE" w:rsidTr="00E96B54">
        <w:trPr>
          <w:trHeight w:val="680"/>
          <w:jc w:val="center"/>
        </w:trPr>
        <w:tc>
          <w:tcPr>
            <w:tcW w:w="129" w:type="pct"/>
            <w:vMerge w:val="restar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5A1B43" w:rsidRPr="002644DE" w:rsidRDefault="005A1B43" w:rsidP="005A1B43">
            <w:pPr>
              <w:numPr>
                <w:ilvl w:val="0"/>
                <w:numId w:val="3"/>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5A1B43" w:rsidRPr="002644DE" w:rsidRDefault="005A1B43" w:rsidP="005A1B43">
            <w:pPr>
              <w:numPr>
                <w:ilvl w:val="0"/>
                <w:numId w:val="3"/>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680"/>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454"/>
          <w:jc w:val="center"/>
        </w:trPr>
        <w:tc>
          <w:tcPr>
            <w:tcW w:w="129" w:type="pct"/>
            <w:tcBorders>
              <w:top w:val="dotted" w:sz="4" w:space="0" w:color="auto"/>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bl>
    <w:p w:rsidR="005A1B43" w:rsidRPr="002644DE" w:rsidRDefault="005A1B43" w:rsidP="005A1B43">
      <w:r w:rsidRPr="002644DE">
        <w:br w:type="page"/>
      </w:r>
    </w:p>
    <w:p w:rsidR="005A1B43" w:rsidRPr="002644DE" w:rsidRDefault="005A1B43" w:rsidP="005A1B43">
      <w:pPr>
        <w:sectPr w:rsidR="005A1B43" w:rsidRPr="002644DE" w:rsidSect="005876C3">
          <w:headerReference w:type="default" r:id="rId7"/>
          <w:footerReference w:type="default" r:id="rId8"/>
          <w:footnotePr>
            <w:numFmt w:val="chicago"/>
          </w:footnotePr>
          <w:pgSz w:w="11906" w:h="16838" w:code="9"/>
          <w:pgMar w:top="1134" w:right="1418" w:bottom="1134" w:left="1418" w:header="510" w:footer="567" w:gutter="0"/>
          <w:pgNumType w:start="1"/>
          <w:cols w:space="708"/>
          <w:formProt w:val="0"/>
          <w:titlePg/>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5A1B43" w:rsidRPr="002644DE" w:rsidTr="00E96B54">
        <w:trPr>
          <w:trHeight w:val="339"/>
          <w:jc w:val="center"/>
        </w:trPr>
        <w:tc>
          <w:tcPr>
            <w:tcW w:w="4998" w:type="pct"/>
            <w:gridSpan w:val="4"/>
            <w:tcBorders>
              <w:bottom w:val="single" w:sz="4" w:space="0" w:color="auto"/>
            </w:tcBorders>
            <w:shd w:val="clear" w:color="auto" w:fill="D9D9D9"/>
          </w:tcPr>
          <w:p w:rsidR="005A1B43" w:rsidRPr="002644DE" w:rsidRDefault="005A1B43" w:rsidP="00E96B54">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5A1B43" w:rsidRPr="002644DE" w:rsidTr="00E96B54">
        <w:trPr>
          <w:trHeight w:val="290"/>
          <w:jc w:val="center"/>
        </w:trPr>
        <w:tc>
          <w:tcPr>
            <w:tcW w:w="4998" w:type="pct"/>
            <w:gridSpan w:val="4"/>
            <w:tcBorders>
              <w:bottom w:val="single" w:sz="4" w:space="0" w:color="auto"/>
            </w:tcBorders>
            <w:shd w:val="clear" w:color="auto" w:fill="F2F2F2"/>
            <w:vAlign w:val="center"/>
          </w:tcPr>
          <w:p w:rsidR="005A1B43" w:rsidRPr="002644DE" w:rsidRDefault="005A1B43" w:rsidP="00E96B54">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5A1B43" w:rsidRPr="002644DE" w:rsidRDefault="005A1B43" w:rsidP="00E96B54">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5A1B43" w:rsidRPr="002644DE" w:rsidTr="00E96B54">
        <w:tblPrEx>
          <w:tblBorders>
            <w:top w:val="none" w:sz="0" w:space="0" w:color="auto"/>
            <w:bottom w:val="none" w:sz="0" w:space="0" w:color="auto"/>
          </w:tblBorders>
        </w:tblPrEx>
        <w:trPr>
          <w:trHeight w:val="557"/>
          <w:jc w:val="center"/>
        </w:trPr>
        <w:tc>
          <w:tcPr>
            <w:tcW w:w="180" w:type="pct"/>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5A1B43" w:rsidRPr="002644DE" w:rsidRDefault="005A1B43" w:rsidP="005A1B43">
            <w:pPr>
              <w:numPr>
                <w:ilvl w:val="0"/>
                <w:numId w:val="1"/>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r w:rsidRPr="00ED27E5">
              <w:rPr>
                <w:rFonts w:ascii="Times New Roman" w:eastAsia="Calibri" w:hAnsi="Times New Roman" w:cs="Times New Roman"/>
                <w:sz w:val="20"/>
                <w:szCs w:val="20"/>
                <w:lang w:eastAsia="sk-SK"/>
              </w:rPr>
              <w:t>Zefektívnenie činnosti súdov môže pozitívnym spôsobom ovplyvniť hospodárenie domácností formou zlepšenia uplatňovania práva na súdnu ochranu.</w:t>
            </w:r>
          </w:p>
        </w:tc>
      </w:tr>
      <w:tr w:rsidR="005A1B43" w:rsidRPr="002644DE" w:rsidTr="00E96B54">
        <w:trPr>
          <w:jc w:val="center"/>
        </w:trPr>
        <w:tc>
          <w:tcPr>
            <w:tcW w:w="180"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5A1B43" w:rsidRPr="002644DE" w:rsidRDefault="005A1B43" w:rsidP="00E96B54">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5A1B43" w:rsidRPr="002644DE" w:rsidTr="00E96B54">
        <w:tblPrEx>
          <w:tblBorders>
            <w:top w:val="none" w:sz="0" w:space="0" w:color="auto"/>
          </w:tblBorders>
        </w:tblPrEx>
        <w:trPr>
          <w:trHeight w:val="677"/>
          <w:jc w:val="center"/>
        </w:trPr>
        <w:tc>
          <w:tcPr>
            <w:tcW w:w="179" w:type="pct"/>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5A1B43" w:rsidRPr="002644DE" w:rsidRDefault="005A1B43" w:rsidP="00E96B54">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 xml:space="preserve">Návrh zákona ma pozitívne vplyvy na všetky osoby, bez ohľadu na to, či patria medzi zraniteľné skupiny alebo skupiny </w:t>
            </w:r>
            <w:r w:rsidRPr="003F4BC4">
              <w:rPr>
                <w:rFonts w:ascii="Times New Roman" w:eastAsia="Calibri" w:hAnsi="Times New Roman" w:cs="Times New Roman"/>
                <w:sz w:val="20"/>
                <w:lang w:eastAsia="sk-SK"/>
              </w:rPr>
              <w:t>v riziku chudoby alebo sociálneho vylúčenia</w:t>
            </w:r>
            <w:r>
              <w:rPr>
                <w:rFonts w:ascii="Times New Roman" w:eastAsia="Calibri" w:hAnsi="Times New Roman" w:cs="Times New Roman"/>
                <w:sz w:val="20"/>
                <w:lang w:eastAsia="sk-SK"/>
              </w:rPr>
              <w:t>.</w:t>
            </w:r>
          </w:p>
        </w:tc>
      </w:tr>
    </w:tbl>
    <w:p w:rsidR="005A1B43" w:rsidRPr="002644DE" w:rsidRDefault="005A1B43" w:rsidP="005A1B43">
      <w:pPr>
        <w:sectPr w:rsidR="005A1B43" w:rsidRPr="002644DE" w:rsidSect="00670684">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5A1B43" w:rsidRPr="002644DE" w:rsidTr="00E96B54">
        <w:trPr>
          <w:jc w:val="center"/>
        </w:trPr>
        <w:tc>
          <w:tcPr>
            <w:tcW w:w="5000" w:type="pct"/>
            <w:gridSpan w:val="3"/>
            <w:shd w:val="clear" w:color="auto" w:fill="D9D9D9"/>
          </w:tcPr>
          <w:p w:rsidR="005A1B43" w:rsidRPr="002644DE" w:rsidRDefault="005A1B43" w:rsidP="00E96B54">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5A1B43" w:rsidRPr="002644DE" w:rsidRDefault="005A1B43" w:rsidP="00E96B54">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5A1B43" w:rsidRPr="002644DE" w:rsidTr="00E96B54">
        <w:trPr>
          <w:jc w:val="center"/>
        </w:trPr>
        <w:tc>
          <w:tcPr>
            <w:tcW w:w="132"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5A1B43" w:rsidRPr="002644DE" w:rsidRDefault="005A1B43" w:rsidP="00E96B54">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5A1B43" w:rsidRPr="002644DE" w:rsidTr="00E96B54">
        <w:trPr>
          <w:trHeight w:val="928"/>
          <w:jc w:val="center"/>
        </w:trPr>
        <w:tc>
          <w:tcPr>
            <w:tcW w:w="132" w:type="pct"/>
            <w:tcBorders>
              <w:top w:val="nil"/>
              <w:bottom w:val="nil"/>
            </w:tcBorders>
            <w:shd w:val="clear" w:color="auto" w:fill="auto"/>
          </w:tcPr>
          <w:p w:rsidR="005A1B43" w:rsidRPr="002644DE" w:rsidRDefault="005A1B43" w:rsidP="00E96B54">
            <w:pPr>
              <w:spacing w:after="0" w:line="240" w:lineRule="auto"/>
              <w:rPr>
                <w:rFonts w:ascii="Times New Roman" w:eastAsia="Calibri" w:hAnsi="Times New Roman" w:cs="Times New Roman"/>
                <w:sz w:val="20"/>
              </w:rPr>
            </w:pPr>
          </w:p>
          <w:p w:rsidR="005A1B43" w:rsidRPr="002644DE" w:rsidRDefault="005A1B43" w:rsidP="00E96B54">
            <w:pPr>
              <w:spacing w:after="0" w:line="240" w:lineRule="auto"/>
              <w:rPr>
                <w:rFonts w:ascii="Times New Roman" w:eastAsia="Calibri" w:hAnsi="Times New Roman" w:cs="Times New Roman"/>
                <w:i/>
                <w:sz w:val="20"/>
              </w:rPr>
            </w:pPr>
          </w:p>
          <w:p w:rsidR="005A1B43" w:rsidRPr="002644DE" w:rsidRDefault="005A1B43" w:rsidP="00E96B54">
            <w:pPr>
              <w:spacing w:after="0" w:line="240" w:lineRule="auto"/>
              <w:rPr>
                <w:rFonts w:ascii="Times New Roman" w:eastAsia="Calibri" w:hAnsi="Times New Roman" w:cs="Times New Roman"/>
                <w:i/>
                <w:sz w:val="20"/>
              </w:rPr>
            </w:pPr>
          </w:p>
          <w:p w:rsidR="005A1B43" w:rsidRPr="002644DE" w:rsidRDefault="005A1B43" w:rsidP="00E96B54">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5A1B43" w:rsidRPr="002644DE" w:rsidRDefault="005A1B43" w:rsidP="00E96B54">
            <w:pPr>
              <w:spacing w:after="0" w:line="240" w:lineRule="auto"/>
              <w:rPr>
                <w:rFonts w:ascii="Times New Roman" w:eastAsia="Calibri" w:hAnsi="Times New Roman" w:cs="Times New Roman"/>
                <w:i/>
                <w:sz w:val="20"/>
              </w:rPr>
            </w:pPr>
          </w:p>
          <w:p w:rsidR="005A1B43" w:rsidRPr="002644DE" w:rsidRDefault="005A1B43" w:rsidP="00E96B54">
            <w:pPr>
              <w:spacing w:after="0" w:line="240" w:lineRule="auto"/>
              <w:rPr>
                <w:rFonts w:ascii="Times New Roman" w:eastAsia="Calibri" w:hAnsi="Times New Roman" w:cs="Times New Roman"/>
                <w:i/>
                <w:sz w:val="20"/>
              </w:rPr>
            </w:pPr>
          </w:p>
          <w:p w:rsidR="005A1B43" w:rsidRPr="002644DE" w:rsidRDefault="005A1B43" w:rsidP="00E96B54">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5A1B43" w:rsidRPr="00037287" w:rsidRDefault="005A1B43" w:rsidP="00E96B54">
            <w:pPr>
              <w:spacing w:after="0" w:line="240" w:lineRule="auto"/>
              <w:rPr>
                <w:rFonts w:ascii="Times New Roman" w:eastAsia="Calibri" w:hAnsi="Times New Roman" w:cs="Times New Roman"/>
                <w:sz w:val="20"/>
              </w:rPr>
            </w:pPr>
            <w:r w:rsidRPr="00037287">
              <w:rPr>
                <w:rFonts w:ascii="Times New Roman" w:eastAsia="Calibri" w:hAnsi="Times New Roman" w:cs="Times New Roman"/>
                <w:sz w:val="20"/>
              </w:rPr>
              <w:t>Bez vplyvu</w:t>
            </w:r>
          </w:p>
        </w:tc>
      </w:tr>
      <w:tr w:rsidR="005A1B43" w:rsidRPr="002644DE" w:rsidTr="00E96B54">
        <w:trPr>
          <w:trHeight w:val="345"/>
          <w:jc w:val="center"/>
        </w:trPr>
        <w:tc>
          <w:tcPr>
            <w:tcW w:w="132"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5A1B43" w:rsidRPr="002644DE" w:rsidTr="00E96B54">
        <w:tblPrEx>
          <w:tblBorders>
            <w:top w:val="none" w:sz="0" w:space="0" w:color="auto"/>
            <w:bottom w:val="none" w:sz="0" w:space="0" w:color="auto"/>
          </w:tblBorders>
        </w:tblPrEx>
        <w:trPr>
          <w:trHeight w:val="372"/>
          <w:jc w:val="center"/>
        </w:trPr>
        <w:tc>
          <w:tcPr>
            <w:tcW w:w="132" w:type="pct"/>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5A1B43" w:rsidRPr="002644DE" w:rsidRDefault="005A1B43" w:rsidP="00E96B54">
            <w:pPr>
              <w:spacing w:after="0" w:line="240" w:lineRule="auto"/>
              <w:jc w:val="both"/>
              <w:rPr>
                <w:rFonts w:ascii="Times New Roman" w:eastAsia="Calibri" w:hAnsi="Times New Roman" w:cs="Times New Roman"/>
                <w:sz w:val="20"/>
              </w:rPr>
            </w:pPr>
          </w:p>
        </w:tc>
      </w:tr>
      <w:tr w:rsidR="005A1B43" w:rsidRPr="002644DE" w:rsidTr="00E96B54">
        <w:tblPrEx>
          <w:tblBorders>
            <w:top w:val="none" w:sz="0" w:space="0" w:color="auto"/>
            <w:bottom w:val="none" w:sz="0" w:space="0" w:color="auto"/>
          </w:tblBorders>
        </w:tblPrEx>
        <w:trPr>
          <w:trHeight w:val="371"/>
          <w:jc w:val="center"/>
        </w:trPr>
        <w:tc>
          <w:tcPr>
            <w:tcW w:w="132" w:type="pct"/>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p>
        </w:tc>
      </w:tr>
      <w:tr w:rsidR="005A1B43" w:rsidRPr="002644DE" w:rsidTr="00E96B54">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p>
        </w:tc>
      </w:tr>
      <w:tr w:rsidR="005A1B43" w:rsidRPr="002644DE" w:rsidTr="00E96B54">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5A1B43" w:rsidRPr="002644DE" w:rsidRDefault="005A1B43" w:rsidP="00E96B54">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rPr>
            </w:pPr>
          </w:p>
        </w:tc>
      </w:tr>
    </w:tbl>
    <w:p w:rsidR="005A1B43" w:rsidRPr="002644DE" w:rsidRDefault="005A1B43" w:rsidP="005A1B43">
      <w:pPr>
        <w:spacing w:after="0" w:line="240" w:lineRule="auto"/>
        <w:rPr>
          <w:rFonts w:ascii="Times New Roman" w:eastAsia="Calibri" w:hAnsi="Times New Roman" w:cs="Times New Roman"/>
          <w:b/>
          <w:sz w:val="24"/>
          <w:lang w:eastAsia="sk-SK"/>
        </w:rPr>
        <w:sectPr w:rsidR="005A1B43"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5A1B43" w:rsidRPr="002644DE" w:rsidTr="00E96B54">
        <w:trPr>
          <w:jc w:val="center"/>
        </w:trPr>
        <w:tc>
          <w:tcPr>
            <w:tcW w:w="5000" w:type="pct"/>
            <w:gridSpan w:val="3"/>
            <w:shd w:val="clear" w:color="auto" w:fill="D9D9D9"/>
          </w:tcPr>
          <w:p w:rsidR="005A1B43" w:rsidRPr="002644DE" w:rsidRDefault="005A1B43" w:rsidP="00E96B54">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5A1B43" w:rsidRPr="002644DE" w:rsidRDefault="005A1B43" w:rsidP="00E96B54">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5A1B43" w:rsidRPr="002644DE" w:rsidTr="00E96B54">
        <w:trPr>
          <w:trHeight w:val="287"/>
          <w:jc w:val="center"/>
        </w:trPr>
        <w:tc>
          <w:tcPr>
            <w:tcW w:w="129" w:type="pct"/>
            <w:tcBorders>
              <w:top w:val="nil"/>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5A1B43" w:rsidRPr="002644DE" w:rsidTr="00E96B54">
        <w:trPr>
          <w:trHeight w:val="567"/>
          <w:jc w:val="center"/>
        </w:trPr>
        <w:tc>
          <w:tcPr>
            <w:tcW w:w="129" w:type="pct"/>
            <w:tcBorders>
              <w:top w:val="nil"/>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sidRPr="00CD4CD4">
              <w:rPr>
                <w:rFonts w:ascii="Times New Roman" w:eastAsia="Calibri" w:hAnsi="Times New Roman" w:cs="Times New Roman"/>
                <w:sz w:val="20"/>
                <w:szCs w:val="18"/>
              </w:rPr>
              <w:t>Nepredpokladá sa bezprostredný vplyv na sledovanú oblasť, pretože reformou súdnej mapy nevznikajú nové pracovné príležitosti.</w:t>
            </w:r>
          </w:p>
        </w:tc>
      </w:tr>
      <w:tr w:rsidR="005A1B43" w:rsidRPr="002644DE" w:rsidTr="00E96B54">
        <w:trPr>
          <w:trHeight w:val="270"/>
          <w:jc w:val="center"/>
        </w:trPr>
        <w:tc>
          <w:tcPr>
            <w:tcW w:w="129"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5A1B43" w:rsidRPr="002644DE" w:rsidTr="00E96B54">
        <w:trPr>
          <w:trHeight w:val="454"/>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sidRPr="00CD4CD4">
              <w:rPr>
                <w:rFonts w:ascii="Times New Roman" w:eastAsia="Calibri" w:hAnsi="Times New Roman" w:cs="Times New Roman"/>
                <w:sz w:val="20"/>
                <w:szCs w:val="18"/>
              </w:rPr>
              <w:t>Zrušenie niektorých okresných súdov a krajských súdov bude viesť k zániku funkcie riaditeľa správy súdu na zanikajúcich súdoch, čo však nevyhnutne neznamená, že dotknutí riaditelia správy súdov prídu o zamestnanie. Ich kapacity možno využiť na iných pracovných pozíciách na súdoch.</w:t>
            </w:r>
          </w:p>
        </w:tc>
      </w:tr>
      <w:tr w:rsidR="005A1B43" w:rsidRPr="002644DE" w:rsidTr="00E96B54">
        <w:trPr>
          <w:trHeight w:val="248"/>
          <w:jc w:val="center"/>
        </w:trPr>
        <w:tc>
          <w:tcPr>
            <w:tcW w:w="129"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5A1B43" w:rsidRPr="002644DE" w:rsidTr="00E96B54">
        <w:trPr>
          <w:trHeight w:val="209"/>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sidRPr="00CD4CD4">
              <w:rPr>
                <w:rFonts w:ascii="Times New Roman" w:eastAsia="Calibri" w:hAnsi="Times New Roman" w:cs="Times New Roman"/>
                <w:sz w:val="20"/>
                <w:szCs w:val="18"/>
              </w:rPr>
              <w:t>Nepredpokladá sa vplyv na dopyt po práci.</w:t>
            </w:r>
          </w:p>
        </w:tc>
      </w:tr>
      <w:tr w:rsidR="005A1B43" w:rsidRPr="002644DE" w:rsidTr="00E96B54">
        <w:trPr>
          <w:trHeight w:val="208"/>
          <w:jc w:val="center"/>
        </w:trPr>
        <w:tc>
          <w:tcPr>
            <w:tcW w:w="129"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5A1B43" w:rsidRPr="002644DE" w:rsidTr="00E96B54">
        <w:trPr>
          <w:trHeight w:val="794"/>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sidRPr="00CD4CD4">
              <w:rPr>
                <w:rFonts w:ascii="Times New Roman" w:eastAsia="Calibri" w:hAnsi="Times New Roman" w:cs="Times New Roman"/>
                <w:sz w:val="20"/>
                <w:szCs w:val="18"/>
              </w:rPr>
              <w:t>Nepredpokladá sa dosah na fungovanie trhu práce.</w:t>
            </w:r>
          </w:p>
        </w:tc>
      </w:tr>
      <w:tr w:rsidR="005A1B43" w:rsidRPr="002644DE" w:rsidTr="00E96B54">
        <w:trPr>
          <w:trHeight w:val="324"/>
          <w:jc w:val="center"/>
        </w:trPr>
        <w:tc>
          <w:tcPr>
            <w:tcW w:w="129"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5A1B43" w:rsidRPr="002644DE" w:rsidTr="00E96B54">
        <w:trPr>
          <w:trHeight w:val="216"/>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5A1B43" w:rsidRPr="002644DE" w:rsidTr="00E96B54">
        <w:trPr>
          <w:trHeight w:val="219"/>
          <w:jc w:val="center"/>
        </w:trPr>
        <w:tc>
          <w:tcPr>
            <w:tcW w:w="129"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5A1B43" w:rsidRPr="002644DE" w:rsidTr="00E96B54">
        <w:trPr>
          <w:trHeight w:val="497"/>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bl>
    <w:p w:rsidR="005866FA" w:rsidRDefault="005866FA"/>
    <w:sectPr w:rsidR="005866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ED2" w:rsidRDefault="00BC4ED2" w:rsidP="005A1B43">
      <w:pPr>
        <w:spacing w:after="0" w:line="240" w:lineRule="auto"/>
      </w:pPr>
      <w:r>
        <w:separator/>
      </w:r>
    </w:p>
  </w:endnote>
  <w:endnote w:type="continuationSeparator" w:id="0">
    <w:p w:rsidR="00BC4ED2" w:rsidRDefault="00BC4ED2" w:rsidP="005A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613439251"/>
      <w:docPartObj>
        <w:docPartGallery w:val="Page Numbers (Bottom of Page)"/>
        <w:docPartUnique/>
      </w:docPartObj>
    </w:sdtPr>
    <w:sdtEndPr/>
    <w:sdtContent>
      <w:p w:rsidR="005876C3" w:rsidRPr="005876C3" w:rsidRDefault="00F059AE">
        <w:pPr>
          <w:pStyle w:val="Pta"/>
          <w:jc w:val="center"/>
          <w:rPr>
            <w:rFonts w:ascii="Times New Roman" w:hAnsi="Times New Roman" w:cs="Times New Roman"/>
            <w:sz w:val="24"/>
          </w:rPr>
        </w:pPr>
        <w:r w:rsidRPr="005876C3">
          <w:rPr>
            <w:rFonts w:ascii="Times New Roman" w:hAnsi="Times New Roman" w:cs="Times New Roman"/>
            <w:sz w:val="24"/>
          </w:rPr>
          <w:fldChar w:fldCharType="begin"/>
        </w:r>
        <w:r w:rsidRPr="005876C3">
          <w:rPr>
            <w:rFonts w:ascii="Times New Roman" w:hAnsi="Times New Roman" w:cs="Times New Roman"/>
            <w:sz w:val="24"/>
          </w:rPr>
          <w:instrText>PAGE   \* MERGEFORMAT</w:instrText>
        </w:r>
        <w:r w:rsidRPr="005876C3">
          <w:rPr>
            <w:rFonts w:ascii="Times New Roman" w:hAnsi="Times New Roman" w:cs="Times New Roman"/>
            <w:sz w:val="24"/>
          </w:rPr>
          <w:fldChar w:fldCharType="separate"/>
        </w:r>
        <w:r w:rsidR="0013229B">
          <w:rPr>
            <w:rFonts w:ascii="Times New Roman" w:hAnsi="Times New Roman" w:cs="Times New Roman"/>
            <w:noProof/>
            <w:sz w:val="24"/>
          </w:rPr>
          <w:t>2</w:t>
        </w:r>
        <w:r w:rsidRPr="005876C3">
          <w:rPr>
            <w:rFonts w:ascii="Times New Roman" w:hAnsi="Times New Roman" w:cs="Times New Roman"/>
            <w:sz w:val="24"/>
          </w:rPr>
          <w:fldChar w:fldCharType="end"/>
        </w:r>
      </w:p>
    </w:sdtContent>
  </w:sdt>
  <w:p w:rsidR="002644DE" w:rsidRPr="005876C3" w:rsidRDefault="00BC4ED2">
    <w:pPr>
      <w:pStyle w:val="Pta"/>
      <w:jc w:val="right"/>
      <w:rPr>
        <w:rFonts w:ascii="Times New Roman" w:hAnsi="Times New Roman" w:cs="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353931899"/>
      <w:docPartObj>
        <w:docPartGallery w:val="Page Numbers (Bottom of Page)"/>
        <w:docPartUnique/>
      </w:docPartObj>
    </w:sdtPr>
    <w:sdtEndPr/>
    <w:sdtContent>
      <w:p w:rsidR="005A1B43" w:rsidRPr="005A1B43" w:rsidRDefault="005A1B43">
        <w:pPr>
          <w:pStyle w:val="Pta"/>
          <w:jc w:val="center"/>
          <w:rPr>
            <w:rFonts w:ascii="Times New Roman" w:hAnsi="Times New Roman" w:cs="Times New Roman"/>
            <w:sz w:val="24"/>
          </w:rPr>
        </w:pPr>
        <w:r w:rsidRPr="005A1B43">
          <w:rPr>
            <w:rFonts w:ascii="Times New Roman" w:hAnsi="Times New Roman" w:cs="Times New Roman"/>
            <w:sz w:val="24"/>
          </w:rPr>
          <w:fldChar w:fldCharType="begin"/>
        </w:r>
        <w:r w:rsidRPr="005A1B43">
          <w:rPr>
            <w:rFonts w:ascii="Times New Roman" w:hAnsi="Times New Roman" w:cs="Times New Roman"/>
            <w:sz w:val="24"/>
          </w:rPr>
          <w:instrText>PAGE   \* MERGEFORMAT</w:instrText>
        </w:r>
        <w:r w:rsidRPr="005A1B43">
          <w:rPr>
            <w:rFonts w:ascii="Times New Roman" w:hAnsi="Times New Roman" w:cs="Times New Roman"/>
            <w:sz w:val="24"/>
          </w:rPr>
          <w:fldChar w:fldCharType="separate"/>
        </w:r>
        <w:r w:rsidR="0013229B">
          <w:rPr>
            <w:rFonts w:ascii="Times New Roman" w:hAnsi="Times New Roman" w:cs="Times New Roman"/>
            <w:noProof/>
            <w:sz w:val="24"/>
          </w:rPr>
          <w:t>5</w:t>
        </w:r>
        <w:r w:rsidRPr="005A1B43">
          <w:rPr>
            <w:rFonts w:ascii="Times New Roman" w:hAnsi="Times New Roman" w:cs="Times New Roman"/>
            <w:sz w:val="24"/>
          </w:rPr>
          <w:fldChar w:fldCharType="end"/>
        </w:r>
      </w:p>
    </w:sdtContent>
  </w:sdt>
  <w:p w:rsidR="002644DE" w:rsidRPr="005A1B43" w:rsidRDefault="00BC4ED2" w:rsidP="00DC2E72">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ED2" w:rsidRDefault="00BC4ED2" w:rsidP="005A1B43">
      <w:pPr>
        <w:spacing w:after="0" w:line="240" w:lineRule="auto"/>
      </w:pPr>
      <w:r>
        <w:separator/>
      </w:r>
    </w:p>
  </w:footnote>
  <w:footnote w:type="continuationSeparator" w:id="0">
    <w:p w:rsidR="00BC4ED2" w:rsidRDefault="00BC4ED2" w:rsidP="005A1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BC4ED2"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433C47" w:rsidRDefault="00BC4ED2"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43"/>
    <w:rsid w:val="0013229B"/>
    <w:rsid w:val="005866FA"/>
    <w:rsid w:val="005A1B43"/>
    <w:rsid w:val="00BC4ED2"/>
    <w:rsid w:val="00DE64AA"/>
    <w:rsid w:val="00F059AE"/>
    <w:rsid w:val="00FD13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640E"/>
  <w15:chartTrackingRefBased/>
  <w15:docId w15:val="{41A2C169-208C-4657-A06A-0E2F578A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1B4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5A1B43"/>
    <w:pPr>
      <w:tabs>
        <w:tab w:val="center" w:pos="4536"/>
        <w:tab w:val="right" w:pos="9072"/>
      </w:tabs>
      <w:spacing w:after="0" w:line="240" w:lineRule="auto"/>
    </w:pPr>
  </w:style>
  <w:style w:type="character" w:customStyle="1" w:styleId="PtaChar">
    <w:name w:val="Päta Char"/>
    <w:basedOn w:val="Predvolenpsmoodseku"/>
    <w:link w:val="Pta"/>
    <w:uiPriority w:val="99"/>
    <w:rsid w:val="005A1B43"/>
  </w:style>
  <w:style w:type="paragraph" w:styleId="Hlavika">
    <w:name w:val="header"/>
    <w:basedOn w:val="Normlny"/>
    <w:link w:val="HlavikaChar"/>
    <w:uiPriority w:val="99"/>
    <w:unhideWhenUsed/>
    <w:rsid w:val="005A1B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1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1989</Words>
  <Characters>11341</Characters>
  <Application>Microsoft Office Word</Application>
  <DocSecurity>0</DocSecurity>
  <Lines>94</Lines>
  <Paragraphs>26</Paragraphs>
  <ScaleCrop>false</ScaleCrop>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3</cp:revision>
  <dcterms:created xsi:type="dcterms:W3CDTF">2021-09-08T07:06:00Z</dcterms:created>
  <dcterms:modified xsi:type="dcterms:W3CDTF">2021-10-21T09:27:00Z</dcterms:modified>
</cp:coreProperties>
</file>