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5A1B43" w:rsidRPr="002644DE" w:rsidTr="00E96B54">
        <w:trPr>
          <w:trHeight w:val="534"/>
          <w:jc w:val="center"/>
        </w:trPr>
        <w:tc>
          <w:tcPr>
            <w:tcW w:w="5000" w:type="pct"/>
            <w:gridSpan w:val="3"/>
            <w:tcBorders>
              <w:bottom w:val="single" w:sz="4" w:space="0" w:color="auto"/>
            </w:tcBorders>
            <w:shd w:val="clear" w:color="auto" w:fill="808080" w:themeFill="background1" w:themeFillShade="80"/>
          </w:tcPr>
          <w:p w:rsidR="005A1B43" w:rsidRPr="002644DE" w:rsidRDefault="005A1B43" w:rsidP="00E96B54">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5A1B43" w:rsidRPr="002644DE" w:rsidRDefault="005A1B43" w:rsidP="00E96B54">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5A1B43" w:rsidRPr="002644DE" w:rsidRDefault="005A1B43" w:rsidP="00E96B54">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5A1B43" w:rsidRPr="002644DE" w:rsidTr="00E96B54">
        <w:trPr>
          <w:jc w:val="center"/>
        </w:trPr>
        <w:tc>
          <w:tcPr>
            <w:tcW w:w="5000" w:type="pct"/>
            <w:gridSpan w:val="3"/>
            <w:tcBorders>
              <w:bottom w:val="single" w:sz="4" w:space="0" w:color="auto"/>
            </w:tcBorders>
            <w:shd w:val="clear" w:color="auto" w:fill="A6A6A6" w:themeFill="background1" w:themeFillShade="A6"/>
          </w:tcPr>
          <w:p w:rsidR="005A1B43" w:rsidRPr="002644DE" w:rsidRDefault="005A1B43" w:rsidP="00E96B5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5A1B43" w:rsidRPr="002644DE" w:rsidTr="00E96B54">
        <w:trPr>
          <w:jc w:val="center"/>
        </w:trPr>
        <w:tc>
          <w:tcPr>
            <w:tcW w:w="5000" w:type="pct"/>
            <w:gridSpan w:val="3"/>
            <w:tcBorders>
              <w:bottom w:val="single"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5A1B43" w:rsidRPr="002644DE" w:rsidRDefault="005A1B43" w:rsidP="00E96B5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5A1B43" w:rsidRPr="002644DE" w:rsidTr="00E96B54">
        <w:trPr>
          <w:trHeight w:val="170"/>
          <w:jc w:val="center"/>
        </w:trPr>
        <w:tc>
          <w:tcPr>
            <w:tcW w:w="129" w:type="pct"/>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5A1B43" w:rsidRPr="002644DE" w:rsidRDefault="00982723" w:rsidP="00E96B54">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F9107F"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170"/>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3F4BC4" w:rsidRDefault="005A1B43" w:rsidP="00E96B54">
            <w:pPr>
              <w:spacing w:after="0" w:line="240" w:lineRule="auto"/>
              <w:rPr>
                <w:rFonts w:ascii="Times New Roman" w:eastAsia="Calibri" w:hAnsi="Times New Roman" w:cs="Times New Roman"/>
                <w:sz w:val="18"/>
                <w:szCs w:val="20"/>
                <w:lang w:eastAsia="sk-SK"/>
              </w:rPr>
            </w:pP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50"/>
          <w:jc w:val="center"/>
        </w:trPr>
        <w:tc>
          <w:tcPr>
            <w:tcW w:w="129" w:type="pct"/>
            <w:tcBorders>
              <w:top w:val="dotted"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170"/>
          <w:jc w:val="center"/>
        </w:trPr>
        <w:tc>
          <w:tcPr>
            <w:tcW w:w="129" w:type="pct"/>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5A1B43" w:rsidRPr="002644DE" w:rsidRDefault="005A1B43" w:rsidP="00E96B54">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5A1B43" w:rsidRPr="002644DE" w:rsidRDefault="005A1B43" w:rsidP="00E96B54">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5A1B43" w:rsidRPr="002644DE" w:rsidRDefault="005A1B43" w:rsidP="00E96B54">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r>
      <w:tr w:rsidR="005A1B43" w:rsidRPr="002644DE" w:rsidTr="00E96B54">
        <w:trPr>
          <w:trHeight w:val="397"/>
          <w:jc w:val="center"/>
        </w:trPr>
        <w:tc>
          <w:tcPr>
            <w:tcW w:w="129" w:type="pct"/>
            <w:vMerge/>
            <w:tcBorders>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5A1B43" w:rsidRPr="002644DE" w:rsidRDefault="005A1B43" w:rsidP="005A1B43">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397"/>
          <w:jc w:val="center"/>
        </w:trPr>
        <w:tc>
          <w:tcPr>
            <w:tcW w:w="129" w:type="pc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227"/>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5A1B43" w:rsidRPr="002644DE" w:rsidRDefault="005A1B43" w:rsidP="00E96B5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5A1B43" w:rsidRPr="002644DE" w:rsidTr="00E96B54">
        <w:trPr>
          <w:trHeight w:val="759"/>
          <w:jc w:val="center"/>
        </w:trPr>
        <w:tc>
          <w:tcPr>
            <w:tcW w:w="129"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5A1B43" w:rsidRPr="002644DE" w:rsidTr="00E96B54">
        <w:trPr>
          <w:trHeight w:val="397"/>
          <w:jc w:val="center"/>
        </w:trPr>
        <w:tc>
          <w:tcPr>
            <w:tcW w:w="129" w:type="pct"/>
            <w:vMerge w:val="restart"/>
            <w:tcBorders>
              <w:top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18"/>
                <w:szCs w:val="20"/>
                <w:lang w:eastAsia="sk-SK"/>
              </w:rPr>
            </w:pPr>
          </w:p>
        </w:tc>
      </w:tr>
      <w:tr w:rsidR="005A1B43" w:rsidRPr="002644DE" w:rsidTr="00E96B54">
        <w:trPr>
          <w:trHeight w:val="397"/>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tcBorders>
            <w:shd w:val="clear" w:color="auto" w:fill="F2F2F2"/>
            <w:vAlign w:val="center"/>
          </w:tcPr>
          <w:p w:rsidR="005A1B43" w:rsidRPr="002644DE" w:rsidRDefault="005A1B43" w:rsidP="00E96B5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A1B43" w:rsidRPr="002644DE" w:rsidTr="00E96B54">
        <w:trPr>
          <w:trHeight w:val="680"/>
          <w:jc w:val="center"/>
        </w:trPr>
        <w:tc>
          <w:tcPr>
            <w:tcW w:w="129" w:type="pct"/>
            <w:vMerge w:val="restart"/>
            <w:tcBorders>
              <w:top w:val="dotted"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5A1B43" w:rsidRPr="002644DE" w:rsidRDefault="005A1B43" w:rsidP="005A1B43">
            <w:pPr>
              <w:numPr>
                <w:ilvl w:val="0"/>
                <w:numId w:val="3"/>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5A1B43" w:rsidRPr="002644DE" w:rsidRDefault="00982723" w:rsidP="00E96B54">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5A1B43" w:rsidRPr="002644DE" w:rsidTr="00E96B54">
        <w:trPr>
          <w:trHeight w:val="680"/>
          <w:jc w:val="center"/>
        </w:trPr>
        <w:tc>
          <w:tcPr>
            <w:tcW w:w="129" w:type="pct"/>
            <w:vMerge/>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r w:rsidR="005A1B43" w:rsidRPr="002644DE" w:rsidTr="00E96B54">
        <w:trPr>
          <w:trHeight w:val="454"/>
          <w:jc w:val="center"/>
        </w:trPr>
        <w:tc>
          <w:tcPr>
            <w:tcW w:w="129" w:type="pct"/>
            <w:tcBorders>
              <w:top w:val="dotted" w:sz="4" w:space="0" w:color="auto"/>
              <w:bottom w:val="single" w:sz="4" w:space="0" w:color="auto"/>
            </w:tcBorders>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szCs w:val="20"/>
                <w:lang w:eastAsia="sk-SK"/>
              </w:rPr>
            </w:pPr>
          </w:p>
        </w:tc>
      </w:tr>
    </w:tbl>
    <w:p w:rsidR="005A1B43" w:rsidRPr="002644DE" w:rsidRDefault="005A1B43" w:rsidP="005A1B43">
      <w:r w:rsidRPr="002644DE">
        <w:br w:type="page"/>
      </w:r>
    </w:p>
    <w:p w:rsidR="005A1B43" w:rsidRPr="002644DE" w:rsidRDefault="005A1B43" w:rsidP="005A1B43">
      <w:pPr>
        <w:sectPr w:rsidR="005A1B43" w:rsidRPr="002644DE" w:rsidSect="005876C3">
          <w:headerReference w:type="default" r:id="rId7"/>
          <w:footerReference w:type="default" r:id="rId8"/>
          <w:footnotePr>
            <w:numFmt w:val="chicago"/>
          </w:footnotePr>
          <w:pgSz w:w="11906" w:h="16838" w:code="9"/>
          <w:pgMar w:top="1134" w:right="1418" w:bottom="1134" w:left="1418" w:header="510" w:footer="567" w:gutter="0"/>
          <w:pgNumType w:start="1"/>
          <w:cols w:space="708"/>
          <w:formProt w:val="0"/>
          <w:titlePg/>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5A1B43" w:rsidRPr="002644DE" w:rsidTr="00E96B54">
        <w:trPr>
          <w:trHeight w:val="339"/>
          <w:jc w:val="center"/>
        </w:trPr>
        <w:tc>
          <w:tcPr>
            <w:tcW w:w="4998" w:type="pct"/>
            <w:gridSpan w:val="4"/>
            <w:tcBorders>
              <w:bottom w:val="single" w:sz="4" w:space="0" w:color="auto"/>
            </w:tcBorders>
            <w:shd w:val="clear" w:color="auto" w:fill="D9D9D9"/>
          </w:tcPr>
          <w:p w:rsidR="005A1B43" w:rsidRPr="002644DE" w:rsidRDefault="005A1B43" w:rsidP="00E96B54">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5A1B43" w:rsidRPr="002644DE" w:rsidTr="00E96B54">
        <w:trPr>
          <w:trHeight w:val="290"/>
          <w:jc w:val="center"/>
        </w:trPr>
        <w:tc>
          <w:tcPr>
            <w:tcW w:w="4998" w:type="pct"/>
            <w:gridSpan w:val="4"/>
            <w:tcBorders>
              <w:bottom w:val="single" w:sz="4" w:space="0" w:color="auto"/>
            </w:tcBorders>
            <w:shd w:val="clear" w:color="auto" w:fill="F2F2F2"/>
            <w:vAlign w:val="center"/>
          </w:tcPr>
          <w:p w:rsidR="005A1B43" w:rsidRPr="002644DE" w:rsidRDefault="005A1B43" w:rsidP="00E96B54">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5A1B43" w:rsidRPr="002644DE" w:rsidRDefault="005A1B43" w:rsidP="00E96B54">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5A1B43" w:rsidRPr="002644DE" w:rsidTr="00E96B54">
        <w:tblPrEx>
          <w:tblBorders>
            <w:top w:val="none" w:sz="0" w:space="0" w:color="auto"/>
            <w:bottom w:val="none" w:sz="0" w:space="0" w:color="auto"/>
          </w:tblBorders>
        </w:tblPrEx>
        <w:trPr>
          <w:trHeight w:val="557"/>
          <w:jc w:val="center"/>
        </w:trPr>
        <w:tc>
          <w:tcPr>
            <w:tcW w:w="180" w:type="pct"/>
            <w:shd w:val="clear" w:color="auto" w:fill="auto"/>
            <w:vAlign w:val="center"/>
          </w:tcPr>
          <w:p w:rsidR="005A1B43" w:rsidRPr="002644DE" w:rsidRDefault="005A1B43" w:rsidP="00E96B5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5A1B43" w:rsidRPr="002644DE" w:rsidRDefault="005A1B43" w:rsidP="005A1B43">
            <w:pPr>
              <w:numPr>
                <w:ilvl w:val="0"/>
                <w:numId w:val="1"/>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5A1B43" w:rsidRDefault="005A1B43" w:rsidP="00E96B54">
            <w:pPr>
              <w:spacing w:after="0" w:line="240" w:lineRule="auto"/>
              <w:rPr>
                <w:rFonts w:ascii="Times New Roman" w:eastAsia="Calibri" w:hAnsi="Times New Roman" w:cs="Times New Roman"/>
                <w:sz w:val="20"/>
                <w:szCs w:val="20"/>
                <w:lang w:eastAsia="sk-SK"/>
              </w:rPr>
            </w:pPr>
            <w:r w:rsidRPr="00ED27E5">
              <w:rPr>
                <w:rFonts w:ascii="Times New Roman" w:eastAsia="Calibri" w:hAnsi="Times New Roman" w:cs="Times New Roman"/>
                <w:sz w:val="20"/>
                <w:szCs w:val="20"/>
                <w:lang w:eastAsia="sk-SK"/>
              </w:rPr>
              <w:t>Zefektívnenie činnosti súdov môže pozitívnym spôsobom ovplyvniť hospodárenie domácností formou zlepšenia uplatňovania práva na súdnu ochranu.</w:t>
            </w:r>
          </w:p>
          <w:p w:rsidR="00982723" w:rsidRDefault="00982723" w:rsidP="00E96B54">
            <w:pPr>
              <w:spacing w:after="0" w:line="240" w:lineRule="auto"/>
              <w:rPr>
                <w:rFonts w:ascii="Times New Roman" w:eastAsia="Calibri" w:hAnsi="Times New Roman" w:cs="Times New Roman"/>
                <w:sz w:val="20"/>
                <w:szCs w:val="20"/>
                <w:lang w:eastAsia="sk-SK"/>
              </w:rPr>
            </w:pPr>
          </w:p>
          <w:p w:rsidR="00982723" w:rsidRPr="00982723" w:rsidRDefault="00982723" w:rsidP="00982723">
            <w:pPr>
              <w:spacing w:after="0" w:line="240" w:lineRule="auto"/>
              <w:rPr>
                <w:rFonts w:ascii="Times New Roman" w:eastAsia="Calibri" w:hAnsi="Times New Roman" w:cs="Times New Roman"/>
                <w:sz w:val="20"/>
                <w:szCs w:val="20"/>
                <w:lang w:eastAsia="sk-SK"/>
              </w:rPr>
            </w:pPr>
            <w:r w:rsidRPr="00982723">
              <w:rPr>
                <w:rFonts w:ascii="Times New Roman" w:eastAsia="Calibri" w:hAnsi="Times New Roman" w:cs="Times New Roman"/>
                <w:sz w:val="20"/>
                <w:szCs w:val="20"/>
                <w:lang w:eastAsia="sk-SK"/>
              </w:rPr>
              <w:t xml:space="preserve">Cieľom vytvorenia jedného mestského súdu so špecializovanými úsekmi, ktoré sa zameriavajú na hlavné súdne agendy, je zabezpečiť dostatočný počet špecializovaných sudcov a zamestnancov samostatne pre trestnú, civilnú, obchodnú a rodinnú agendu. </w:t>
            </w:r>
          </w:p>
          <w:p w:rsidR="00982723" w:rsidRPr="00982723" w:rsidRDefault="00982723" w:rsidP="00982723">
            <w:pPr>
              <w:spacing w:after="0" w:line="240" w:lineRule="auto"/>
              <w:rPr>
                <w:rFonts w:ascii="Times New Roman" w:eastAsia="Calibri" w:hAnsi="Times New Roman" w:cs="Times New Roman"/>
                <w:sz w:val="20"/>
                <w:szCs w:val="20"/>
                <w:lang w:eastAsia="sk-SK"/>
              </w:rPr>
            </w:pPr>
          </w:p>
          <w:p w:rsidR="00982723" w:rsidRPr="00982723" w:rsidRDefault="00982723" w:rsidP="00982723">
            <w:pPr>
              <w:spacing w:after="0" w:line="240" w:lineRule="auto"/>
              <w:rPr>
                <w:rFonts w:ascii="Times New Roman" w:eastAsia="Calibri" w:hAnsi="Times New Roman" w:cs="Times New Roman"/>
                <w:sz w:val="20"/>
                <w:szCs w:val="20"/>
                <w:lang w:eastAsia="sk-SK"/>
              </w:rPr>
            </w:pPr>
            <w:r w:rsidRPr="00982723">
              <w:rPr>
                <w:rFonts w:ascii="Times New Roman" w:eastAsia="Calibri" w:hAnsi="Times New Roman" w:cs="Times New Roman"/>
                <w:sz w:val="20"/>
                <w:szCs w:val="20"/>
                <w:lang w:eastAsia="sk-SK"/>
              </w:rPr>
              <w:t>Špecializácia sudcov na území mestských obvodov umožní:</w:t>
            </w:r>
          </w:p>
          <w:p w:rsidR="00982723" w:rsidRPr="00982723" w:rsidRDefault="00982723" w:rsidP="009827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Pr="00982723">
              <w:rPr>
                <w:rFonts w:ascii="Times New Roman" w:eastAsia="Calibri" w:hAnsi="Times New Roman" w:cs="Times New Roman"/>
                <w:sz w:val="20"/>
                <w:szCs w:val="20"/>
                <w:lang w:eastAsia="sk-SK"/>
              </w:rPr>
              <w:t>zlepšenie kvality súdnych rozhodnutí,</w:t>
            </w:r>
          </w:p>
          <w:p w:rsidR="00982723" w:rsidRPr="00982723" w:rsidRDefault="00982723" w:rsidP="009827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Pr="00982723">
              <w:rPr>
                <w:rFonts w:ascii="Times New Roman" w:eastAsia="Calibri" w:hAnsi="Times New Roman" w:cs="Times New Roman"/>
                <w:sz w:val="20"/>
                <w:szCs w:val="20"/>
                <w:lang w:eastAsia="sk-SK"/>
              </w:rPr>
              <w:t>vhodnejšie podmienky pre zjednocovanie právnej praxe,</w:t>
            </w:r>
          </w:p>
          <w:p w:rsidR="00982723" w:rsidRPr="00982723" w:rsidRDefault="00982723" w:rsidP="009827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Pr="00982723">
              <w:rPr>
                <w:rFonts w:ascii="Times New Roman" w:eastAsia="Calibri" w:hAnsi="Times New Roman" w:cs="Times New Roman"/>
                <w:sz w:val="20"/>
                <w:szCs w:val="20"/>
                <w:lang w:eastAsia="sk-SK"/>
              </w:rPr>
              <w:t xml:space="preserve">náhodný výber špecializovaného sudcu z väčšieho počtu sudcov ako dnes, čo znižuje možnosť korupcie, </w:t>
            </w:r>
          </w:p>
          <w:p w:rsidR="00982723" w:rsidRPr="00982723" w:rsidRDefault="00982723" w:rsidP="0098272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Pr="00982723">
              <w:rPr>
                <w:rFonts w:ascii="Times New Roman" w:eastAsia="Calibri" w:hAnsi="Times New Roman" w:cs="Times New Roman"/>
                <w:sz w:val="20"/>
                <w:szCs w:val="20"/>
                <w:lang w:eastAsia="sk-SK"/>
              </w:rPr>
              <w:t xml:space="preserve">z dlhodobého hľadiska zrýchlenie súdnych konaní. </w:t>
            </w:r>
          </w:p>
          <w:p w:rsidR="00982723" w:rsidRPr="00982723" w:rsidRDefault="00982723" w:rsidP="00982723">
            <w:pPr>
              <w:spacing w:after="0" w:line="240" w:lineRule="auto"/>
              <w:rPr>
                <w:rFonts w:ascii="Times New Roman" w:eastAsia="Calibri" w:hAnsi="Times New Roman" w:cs="Times New Roman"/>
                <w:sz w:val="20"/>
                <w:szCs w:val="20"/>
                <w:lang w:eastAsia="sk-SK"/>
              </w:rPr>
            </w:pPr>
          </w:p>
          <w:p w:rsidR="00982723" w:rsidRPr="00982723" w:rsidRDefault="00982723" w:rsidP="00982723">
            <w:pPr>
              <w:spacing w:after="0" w:line="240" w:lineRule="auto"/>
              <w:rPr>
                <w:rFonts w:ascii="Times New Roman" w:eastAsia="Calibri" w:hAnsi="Times New Roman" w:cs="Times New Roman"/>
                <w:sz w:val="20"/>
                <w:szCs w:val="20"/>
                <w:lang w:eastAsia="sk-SK"/>
              </w:rPr>
            </w:pPr>
            <w:r w:rsidRPr="00982723">
              <w:rPr>
                <w:rFonts w:ascii="Times New Roman" w:eastAsia="Calibri" w:hAnsi="Times New Roman" w:cs="Times New Roman"/>
                <w:sz w:val="20"/>
                <w:szCs w:val="20"/>
                <w:lang w:eastAsia="sk-SK"/>
              </w:rPr>
              <w:t xml:space="preserve">Počet vecí a ich štruktúra, ktoré prichádzajú na terajšie súdy na území Košíc, nestačia na vyťaženie aspoň troch špecializovaných sudcov v každom obvode. Zjednotením obvodu na celé územie mesta dôjde k zvýšeniu počtu vecí v mestskom obvode, čo sudcom umožní špecializovať sa na jednu agendu a v nej sa ďalej rozvíjať. </w:t>
            </w:r>
          </w:p>
          <w:p w:rsidR="00982723" w:rsidRPr="00982723" w:rsidRDefault="00982723" w:rsidP="00982723">
            <w:pPr>
              <w:spacing w:after="0" w:line="240" w:lineRule="auto"/>
              <w:rPr>
                <w:rFonts w:ascii="Times New Roman" w:eastAsia="Calibri" w:hAnsi="Times New Roman" w:cs="Times New Roman"/>
                <w:sz w:val="20"/>
                <w:szCs w:val="20"/>
                <w:lang w:eastAsia="sk-SK"/>
              </w:rPr>
            </w:pPr>
          </w:p>
          <w:p w:rsidR="00982723" w:rsidRPr="00982723" w:rsidRDefault="00982723" w:rsidP="00982723">
            <w:pPr>
              <w:spacing w:after="0" w:line="240" w:lineRule="auto"/>
              <w:rPr>
                <w:rFonts w:ascii="Times New Roman" w:eastAsia="Calibri" w:hAnsi="Times New Roman" w:cs="Times New Roman"/>
                <w:sz w:val="20"/>
                <w:szCs w:val="20"/>
                <w:lang w:eastAsia="sk-SK"/>
              </w:rPr>
            </w:pPr>
            <w:r w:rsidRPr="00982723">
              <w:rPr>
                <w:rFonts w:ascii="Times New Roman" w:eastAsia="Calibri" w:hAnsi="Times New Roman" w:cs="Times New Roman"/>
                <w:sz w:val="20"/>
                <w:szCs w:val="20"/>
                <w:lang w:eastAsia="sk-SK"/>
              </w:rPr>
              <w:t xml:space="preserve">Veľkosť územia a hustá sieť spojov do centra Košíc priamo nabádajú k tomu, aby v centre každého mesta bol zriadený len jeden súd, keďže dostupnosť pre občanov z pohľadu vzdialenosti nie je prekážkou. Pre zachovanie homogénnosti a jednoduchosti systému sa pre obe mestá použil rovnaký princíp, a to zriadenie jedného mestského súdu so špecializovanými úsekmi v rámci jedného mestského obvodu.  </w:t>
            </w:r>
          </w:p>
          <w:p w:rsidR="00982723" w:rsidRPr="00982723" w:rsidRDefault="00982723" w:rsidP="00982723">
            <w:pPr>
              <w:spacing w:after="0" w:line="240" w:lineRule="auto"/>
              <w:rPr>
                <w:rFonts w:ascii="Times New Roman" w:eastAsia="Calibri" w:hAnsi="Times New Roman" w:cs="Times New Roman"/>
                <w:sz w:val="20"/>
                <w:szCs w:val="20"/>
                <w:lang w:eastAsia="sk-SK"/>
              </w:rPr>
            </w:pPr>
          </w:p>
          <w:p w:rsidR="00982723" w:rsidRDefault="00982723" w:rsidP="00982723">
            <w:pPr>
              <w:spacing w:after="0" w:line="240" w:lineRule="auto"/>
              <w:rPr>
                <w:rFonts w:ascii="Times New Roman" w:eastAsia="Calibri" w:hAnsi="Times New Roman" w:cs="Times New Roman"/>
                <w:sz w:val="20"/>
                <w:szCs w:val="20"/>
                <w:lang w:eastAsia="sk-SK"/>
              </w:rPr>
            </w:pPr>
            <w:r w:rsidRPr="00982723">
              <w:rPr>
                <w:rFonts w:ascii="Times New Roman" w:eastAsia="Calibri" w:hAnsi="Times New Roman" w:cs="Times New Roman"/>
                <w:sz w:val="20"/>
                <w:szCs w:val="20"/>
                <w:lang w:eastAsia="sk-SK"/>
              </w:rPr>
              <w:t>Obvody okresných súdov pôsobiace na území mesta Košice majú v ostatnom období klesajúci počet vecí, ktoré na súd prichádzajú, čo je trendom v celej súdnej sústave. Tento trend znemožňuje špecializáciu sudcov na jednu agendu, ak má byť funkčný náhodný výber sudcu a efektívne využité ľudské zdroje. Na klesajúcu záťaž poukazuje aj nasledujúci graf, podľa ktorého priemerný počet sudcov od roku 2016 do roku 2020 v celom obvode stúpol o 1%, kým celkový počet došlých vecí klesol v hlavných agendách o 23 %.</w:t>
            </w:r>
          </w:p>
          <w:p w:rsidR="008A2710" w:rsidRDefault="008A2710" w:rsidP="00982723">
            <w:pPr>
              <w:spacing w:after="0" w:line="240" w:lineRule="auto"/>
              <w:rPr>
                <w:rFonts w:ascii="Times New Roman" w:eastAsia="Calibri" w:hAnsi="Times New Roman" w:cs="Times New Roman"/>
                <w:sz w:val="20"/>
                <w:szCs w:val="20"/>
                <w:lang w:eastAsia="sk-SK"/>
              </w:rPr>
            </w:pPr>
            <w:bookmarkStart w:id="0" w:name="_GoBack"/>
            <w:bookmarkEnd w:id="0"/>
          </w:p>
          <w:p w:rsidR="00982723" w:rsidRPr="002644DE" w:rsidRDefault="00982723" w:rsidP="00E96B54">
            <w:pPr>
              <w:spacing w:after="0" w:line="240" w:lineRule="auto"/>
              <w:rPr>
                <w:rFonts w:ascii="Times New Roman" w:eastAsia="Calibri" w:hAnsi="Times New Roman" w:cs="Times New Roman"/>
                <w:sz w:val="20"/>
                <w:szCs w:val="20"/>
                <w:lang w:eastAsia="sk-SK"/>
              </w:rPr>
            </w:pPr>
            <w:r w:rsidRPr="00982723">
              <w:rPr>
                <w:rFonts w:ascii="Times New Roman" w:eastAsia="Calibri" w:hAnsi="Times New Roman" w:cs="Times New Roman"/>
                <w:sz w:val="20"/>
                <w:szCs w:val="20"/>
                <w:lang w:eastAsia="sk-SK"/>
              </w:rPr>
              <w:t>Zlúčený obvod bude  dostatočne veľký na to, aby v ňom boli splnené kritériá minimálnej veľkosti obvodu, a to minimálne traja špecializovaní sudcovia vo všetkých zohľadnených agendách. Uvedené sa v terajšej súdnej sústave nedá zabezpečiť v každom súdnom obvode samostatne. Zväčšenie obvodu zabezpečí väčší priestor (väčšia množina sudcov) na realizáciu kritéria náhodného výberu sudcu.</w:t>
            </w:r>
          </w:p>
        </w:tc>
      </w:tr>
      <w:tr w:rsidR="005A1B43" w:rsidRPr="002644DE" w:rsidTr="00E96B54">
        <w:trPr>
          <w:jc w:val="center"/>
        </w:trPr>
        <w:tc>
          <w:tcPr>
            <w:tcW w:w="180"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5A1B43" w:rsidRPr="002644DE" w:rsidRDefault="005A1B43" w:rsidP="00E96B5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5A1B43" w:rsidRPr="002644DE" w:rsidRDefault="005A1B43" w:rsidP="00E96B54">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5A1B43" w:rsidRPr="002644DE" w:rsidTr="00E96B54">
        <w:tblPrEx>
          <w:tblBorders>
            <w:top w:val="none" w:sz="0" w:space="0" w:color="auto"/>
          </w:tblBorders>
        </w:tblPrEx>
        <w:trPr>
          <w:trHeight w:val="677"/>
          <w:jc w:val="center"/>
        </w:trPr>
        <w:tc>
          <w:tcPr>
            <w:tcW w:w="179"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domácnosti s nízkym príjmom (napr. žijúce iba zo sociálnych príjmov, alebo z príjmov </w:t>
            </w:r>
            <w:r w:rsidRPr="002644DE">
              <w:rPr>
                <w:rFonts w:ascii="Times New Roman" w:eastAsia="Calibri" w:hAnsi="Times New Roman" w:cs="Times New Roman"/>
                <w:i/>
                <w:sz w:val="18"/>
                <w:szCs w:val="18"/>
                <w:lang w:eastAsia="sk-SK"/>
              </w:rPr>
              <w:lastRenderedPageBreak/>
              <w:t>pod hranicou rizika chudoby, alebo s príjmom pod životným minimom, alebo patriace medzi 25% domácností s najnižším príjmom),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5A1B43" w:rsidRPr="002644DE" w:rsidRDefault="005A1B43" w:rsidP="005A1B43">
            <w:pPr>
              <w:numPr>
                <w:ilvl w:val="0"/>
                <w:numId w:val="1"/>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5A1B43" w:rsidRPr="002644DE" w:rsidRDefault="005A1B43" w:rsidP="00E96B54">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 xml:space="preserve">Návrh zákona ma pozitívne vplyvy na všetky osoby, bez ohľadu na to, či patria medzi zraniteľné skupiny alebo skupiny </w:t>
            </w:r>
            <w:r w:rsidRPr="003F4BC4">
              <w:rPr>
                <w:rFonts w:ascii="Times New Roman" w:eastAsia="Calibri" w:hAnsi="Times New Roman" w:cs="Times New Roman"/>
                <w:sz w:val="20"/>
                <w:lang w:eastAsia="sk-SK"/>
              </w:rPr>
              <w:t>v riziku chudoby alebo sociálneho vylúčenia</w:t>
            </w:r>
            <w:r>
              <w:rPr>
                <w:rFonts w:ascii="Times New Roman" w:eastAsia="Calibri" w:hAnsi="Times New Roman" w:cs="Times New Roman"/>
                <w:sz w:val="20"/>
                <w:lang w:eastAsia="sk-SK"/>
              </w:rPr>
              <w:t>.</w:t>
            </w:r>
          </w:p>
        </w:tc>
      </w:tr>
    </w:tbl>
    <w:p w:rsidR="005A1B43" w:rsidRPr="002644DE" w:rsidRDefault="005A1B43" w:rsidP="005A1B43">
      <w:pPr>
        <w:sectPr w:rsidR="005A1B43"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5A1B43" w:rsidRPr="002644DE" w:rsidTr="00E96B54">
        <w:trPr>
          <w:jc w:val="center"/>
        </w:trPr>
        <w:tc>
          <w:tcPr>
            <w:tcW w:w="5000" w:type="pct"/>
            <w:gridSpan w:val="3"/>
            <w:shd w:val="clear" w:color="auto" w:fill="D9D9D9"/>
          </w:tcPr>
          <w:p w:rsidR="005A1B43" w:rsidRPr="002644DE" w:rsidRDefault="005A1B43" w:rsidP="00E96B54">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5A1B43" w:rsidRPr="002644DE" w:rsidRDefault="005A1B43" w:rsidP="00E96B54">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5A1B43" w:rsidRPr="002644DE" w:rsidTr="00E96B54">
        <w:trPr>
          <w:jc w:val="center"/>
        </w:trPr>
        <w:tc>
          <w:tcPr>
            <w:tcW w:w="132"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5A1B43" w:rsidRPr="002644DE" w:rsidRDefault="005A1B43" w:rsidP="00E96B54">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5A1B43" w:rsidRPr="002644DE" w:rsidTr="00E96B54">
        <w:trPr>
          <w:trHeight w:val="928"/>
          <w:jc w:val="center"/>
        </w:trPr>
        <w:tc>
          <w:tcPr>
            <w:tcW w:w="132" w:type="pct"/>
            <w:tcBorders>
              <w:top w:val="nil"/>
              <w:bottom w:val="nil"/>
            </w:tcBorders>
            <w:shd w:val="clear" w:color="auto" w:fill="auto"/>
          </w:tcPr>
          <w:p w:rsidR="005A1B43" w:rsidRPr="002644DE" w:rsidRDefault="005A1B43" w:rsidP="00E96B54">
            <w:pPr>
              <w:spacing w:after="0" w:line="240" w:lineRule="auto"/>
              <w:rPr>
                <w:rFonts w:ascii="Times New Roman" w:eastAsia="Calibri" w:hAnsi="Times New Roman" w:cs="Times New Roman"/>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p w:rsidR="005A1B43" w:rsidRPr="002644DE" w:rsidRDefault="005A1B43" w:rsidP="00E96B54">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5A1B43" w:rsidRPr="00037287" w:rsidRDefault="005A1B43" w:rsidP="00E96B54">
            <w:pPr>
              <w:spacing w:after="0" w:line="240" w:lineRule="auto"/>
              <w:rPr>
                <w:rFonts w:ascii="Times New Roman" w:eastAsia="Calibri" w:hAnsi="Times New Roman" w:cs="Times New Roman"/>
                <w:sz w:val="20"/>
              </w:rPr>
            </w:pPr>
            <w:r w:rsidRPr="00037287">
              <w:rPr>
                <w:rFonts w:ascii="Times New Roman" w:eastAsia="Calibri" w:hAnsi="Times New Roman" w:cs="Times New Roman"/>
                <w:sz w:val="20"/>
              </w:rPr>
              <w:t>Bez vplyvu</w:t>
            </w:r>
          </w:p>
        </w:tc>
      </w:tr>
      <w:tr w:rsidR="005A1B43" w:rsidRPr="002644DE" w:rsidTr="00E96B54">
        <w:trPr>
          <w:trHeight w:val="345"/>
          <w:jc w:val="center"/>
        </w:trPr>
        <w:tc>
          <w:tcPr>
            <w:tcW w:w="132"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5A1B43" w:rsidRPr="002644DE" w:rsidTr="00E96B54">
        <w:tblPrEx>
          <w:tblBorders>
            <w:top w:val="none" w:sz="0" w:space="0" w:color="auto"/>
            <w:bottom w:val="none" w:sz="0" w:space="0" w:color="auto"/>
          </w:tblBorders>
        </w:tblPrEx>
        <w:trPr>
          <w:trHeight w:val="372"/>
          <w:jc w:val="center"/>
        </w:trPr>
        <w:tc>
          <w:tcPr>
            <w:tcW w:w="132"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5A1B43" w:rsidRPr="002644DE" w:rsidRDefault="005A1B43" w:rsidP="00E96B54">
            <w:pPr>
              <w:spacing w:after="0" w:line="240" w:lineRule="auto"/>
              <w:jc w:val="both"/>
              <w:rPr>
                <w:rFonts w:ascii="Times New Roman" w:eastAsia="Calibri" w:hAnsi="Times New Roman" w:cs="Times New Roman"/>
                <w:sz w:val="20"/>
              </w:rPr>
            </w:pPr>
          </w:p>
        </w:tc>
      </w:tr>
      <w:tr w:rsidR="005A1B43" w:rsidRPr="002644DE" w:rsidTr="00E96B54">
        <w:tblPrEx>
          <w:tblBorders>
            <w:top w:val="none" w:sz="0" w:space="0" w:color="auto"/>
            <w:bottom w:val="none" w:sz="0" w:space="0" w:color="auto"/>
          </w:tblBorders>
        </w:tblPrEx>
        <w:trPr>
          <w:trHeight w:val="371"/>
          <w:jc w:val="center"/>
        </w:trPr>
        <w:tc>
          <w:tcPr>
            <w:tcW w:w="132" w:type="pct"/>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p>
        </w:tc>
      </w:tr>
      <w:tr w:rsidR="005A1B43" w:rsidRPr="002644DE" w:rsidTr="00E96B54">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p>
        </w:tc>
      </w:tr>
      <w:tr w:rsidR="005A1B43" w:rsidRPr="002644DE" w:rsidTr="00E96B54">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5A1B43" w:rsidRPr="002644DE" w:rsidRDefault="005A1B43" w:rsidP="00E96B54">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5A1B43" w:rsidRPr="002644DE" w:rsidRDefault="005A1B43" w:rsidP="005A1B43">
            <w:pPr>
              <w:numPr>
                <w:ilvl w:val="0"/>
                <w:numId w:val="2"/>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5A1B43" w:rsidRPr="002644DE" w:rsidRDefault="005A1B43" w:rsidP="00E96B54">
            <w:pPr>
              <w:spacing w:after="0" w:line="240" w:lineRule="auto"/>
              <w:rPr>
                <w:rFonts w:ascii="Times New Roman" w:eastAsia="Calibri" w:hAnsi="Times New Roman" w:cs="Times New Roman"/>
                <w:sz w:val="20"/>
              </w:rPr>
            </w:pPr>
          </w:p>
        </w:tc>
      </w:tr>
    </w:tbl>
    <w:p w:rsidR="005A1B43" w:rsidRPr="002644DE" w:rsidRDefault="005A1B43" w:rsidP="005A1B43">
      <w:pPr>
        <w:spacing w:after="0" w:line="240" w:lineRule="auto"/>
        <w:rPr>
          <w:rFonts w:ascii="Times New Roman" w:eastAsia="Calibri" w:hAnsi="Times New Roman" w:cs="Times New Roman"/>
          <w:b/>
          <w:sz w:val="24"/>
          <w:lang w:eastAsia="sk-SK"/>
        </w:rPr>
        <w:sectPr w:rsidR="005A1B43"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5A1B43" w:rsidRPr="002644DE" w:rsidTr="00E96B54">
        <w:trPr>
          <w:jc w:val="center"/>
        </w:trPr>
        <w:tc>
          <w:tcPr>
            <w:tcW w:w="5000" w:type="pct"/>
            <w:gridSpan w:val="3"/>
            <w:shd w:val="clear" w:color="auto" w:fill="D9D9D9"/>
          </w:tcPr>
          <w:p w:rsidR="005A1B43" w:rsidRPr="002644DE" w:rsidRDefault="005A1B43" w:rsidP="00E96B5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5A1B43" w:rsidRPr="002644DE" w:rsidRDefault="005A1B43" w:rsidP="00E96B54">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5A1B43" w:rsidRPr="002644DE" w:rsidTr="00E96B54">
        <w:trPr>
          <w:trHeight w:val="287"/>
          <w:jc w:val="center"/>
        </w:trPr>
        <w:tc>
          <w:tcPr>
            <w:tcW w:w="129" w:type="pct"/>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5A1B43" w:rsidRPr="002644DE" w:rsidTr="00E96B54">
        <w:trPr>
          <w:trHeight w:val="567"/>
          <w:jc w:val="center"/>
        </w:trPr>
        <w:tc>
          <w:tcPr>
            <w:tcW w:w="129" w:type="pct"/>
            <w:tcBorders>
              <w:top w:val="nil"/>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Nepredpokladá sa bezprostredný vplyv na sledovanú oblasť, pretože reformou súdnej mapy nevznikajú nové pracovné príležitosti.</w:t>
            </w:r>
          </w:p>
        </w:tc>
      </w:tr>
      <w:tr w:rsidR="005A1B43" w:rsidRPr="002644DE" w:rsidTr="00E96B54">
        <w:trPr>
          <w:trHeight w:val="270"/>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5A1B43" w:rsidRPr="002644DE" w:rsidTr="00E96B54">
        <w:trPr>
          <w:trHeight w:val="454"/>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Zrušenie niektorých okresných súdov a krajských súdov bude viesť k zániku funkcie riaditeľa správy súdu na zanikajúcich súdoch, čo však nevyhnutne neznamená, že dotknutí riaditelia správy súdov prídu o zamestnanie. Ich kapacity možno využiť na iných pracovných pozíciách na súdoch.</w:t>
            </w:r>
          </w:p>
        </w:tc>
      </w:tr>
      <w:tr w:rsidR="005A1B43" w:rsidRPr="002644DE" w:rsidTr="00E96B54">
        <w:trPr>
          <w:trHeight w:val="248"/>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5A1B43" w:rsidRPr="002644DE" w:rsidTr="00E96B54">
        <w:trPr>
          <w:trHeight w:val="209"/>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Nepredpokladá sa vplyv na dopyt po práci.</w:t>
            </w:r>
          </w:p>
        </w:tc>
      </w:tr>
      <w:tr w:rsidR="005A1B43" w:rsidRPr="002644DE" w:rsidTr="00E96B54">
        <w:trPr>
          <w:trHeight w:val="208"/>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5A1B43" w:rsidRPr="002644DE" w:rsidTr="00E96B54">
        <w:trPr>
          <w:trHeight w:val="794"/>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sidRPr="00CD4CD4">
              <w:rPr>
                <w:rFonts w:ascii="Times New Roman" w:eastAsia="Calibri" w:hAnsi="Times New Roman" w:cs="Times New Roman"/>
                <w:sz w:val="20"/>
                <w:szCs w:val="18"/>
              </w:rPr>
              <w:t>Nepredpokladá sa dosah na fungovanie trhu práce.</w:t>
            </w:r>
          </w:p>
        </w:tc>
      </w:tr>
      <w:tr w:rsidR="005A1B43" w:rsidRPr="002644DE" w:rsidTr="00E96B54">
        <w:trPr>
          <w:trHeight w:val="324"/>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5A1B43" w:rsidRPr="002644DE" w:rsidTr="00E96B54">
        <w:trPr>
          <w:trHeight w:val="216"/>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5A1B43" w:rsidRPr="002644DE" w:rsidTr="00E96B54">
        <w:trPr>
          <w:trHeight w:val="219"/>
          <w:jc w:val="center"/>
        </w:trPr>
        <w:tc>
          <w:tcPr>
            <w:tcW w:w="129" w:type="pct"/>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5A1B43" w:rsidRPr="002644DE" w:rsidRDefault="005A1B43" w:rsidP="00E96B5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5A1B43" w:rsidRPr="002644DE" w:rsidTr="00E96B54">
        <w:trPr>
          <w:trHeight w:val="497"/>
          <w:jc w:val="center"/>
        </w:trPr>
        <w:tc>
          <w:tcPr>
            <w:tcW w:w="129" w:type="pct"/>
            <w:tcBorders>
              <w:bottom w:val="single" w:sz="4" w:space="0" w:color="auto"/>
            </w:tcBorders>
            <w:shd w:val="clear" w:color="auto" w:fill="FFFFFF"/>
            <w:vAlign w:val="center"/>
          </w:tcPr>
          <w:p w:rsidR="005A1B43" w:rsidRPr="002644DE" w:rsidRDefault="005A1B43" w:rsidP="00E96B5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5A1B43" w:rsidRPr="002644DE" w:rsidRDefault="005A1B43" w:rsidP="00E96B5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5A1B43" w:rsidRPr="002644DE" w:rsidRDefault="005A1B43" w:rsidP="00E96B5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rsidR="005866FA" w:rsidRDefault="005866FA"/>
    <w:sectPr w:rsidR="005866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CC" w:rsidRDefault="00BE69CC" w:rsidP="005A1B43">
      <w:pPr>
        <w:spacing w:after="0" w:line="240" w:lineRule="auto"/>
      </w:pPr>
      <w:r>
        <w:separator/>
      </w:r>
    </w:p>
  </w:endnote>
  <w:endnote w:type="continuationSeparator" w:id="0">
    <w:p w:rsidR="00BE69CC" w:rsidRDefault="00BE69CC" w:rsidP="005A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613439251"/>
      <w:docPartObj>
        <w:docPartGallery w:val="Page Numbers (Bottom of Page)"/>
        <w:docPartUnique/>
      </w:docPartObj>
    </w:sdtPr>
    <w:sdtEndPr/>
    <w:sdtContent>
      <w:p w:rsidR="005876C3" w:rsidRPr="005876C3" w:rsidRDefault="00F059AE">
        <w:pPr>
          <w:pStyle w:val="Pta"/>
          <w:jc w:val="center"/>
          <w:rPr>
            <w:rFonts w:ascii="Times New Roman" w:hAnsi="Times New Roman" w:cs="Times New Roman"/>
            <w:sz w:val="24"/>
          </w:rPr>
        </w:pPr>
        <w:r w:rsidRPr="005876C3">
          <w:rPr>
            <w:rFonts w:ascii="Times New Roman" w:hAnsi="Times New Roman" w:cs="Times New Roman"/>
            <w:sz w:val="24"/>
          </w:rPr>
          <w:fldChar w:fldCharType="begin"/>
        </w:r>
        <w:r w:rsidRPr="005876C3">
          <w:rPr>
            <w:rFonts w:ascii="Times New Roman" w:hAnsi="Times New Roman" w:cs="Times New Roman"/>
            <w:sz w:val="24"/>
          </w:rPr>
          <w:instrText>PAGE   \* MERGEFORMAT</w:instrText>
        </w:r>
        <w:r w:rsidRPr="005876C3">
          <w:rPr>
            <w:rFonts w:ascii="Times New Roman" w:hAnsi="Times New Roman" w:cs="Times New Roman"/>
            <w:sz w:val="24"/>
          </w:rPr>
          <w:fldChar w:fldCharType="separate"/>
        </w:r>
        <w:r w:rsidR="00982723">
          <w:rPr>
            <w:rFonts w:ascii="Times New Roman" w:hAnsi="Times New Roman" w:cs="Times New Roman"/>
            <w:noProof/>
            <w:sz w:val="24"/>
          </w:rPr>
          <w:t>2</w:t>
        </w:r>
        <w:r w:rsidRPr="005876C3">
          <w:rPr>
            <w:rFonts w:ascii="Times New Roman" w:hAnsi="Times New Roman" w:cs="Times New Roman"/>
            <w:sz w:val="24"/>
          </w:rPr>
          <w:fldChar w:fldCharType="end"/>
        </w:r>
      </w:p>
    </w:sdtContent>
  </w:sdt>
  <w:p w:rsidR="002644DE" w:rsidRPr="005876C3" w:rsidRDefault="00BE69CC">
    <w:pPr>
      <w:pStyle w:val="Pta"/>
      <w:jc w:val="right"/>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53931899"/>
      <w:docPartObj>
        <w:docPartGallery w:val="Page Numbers (Bottom of Page)"/>
        <w:docPartUnique/>
      </w:docPartObj>
    </w:sdtPr>
    <w:sdtEndPr/>
    <w:sdtContent>
      <w:p w:rsidR="005A1B43" w:rsidRPr="005A1B43" w:rsidRDefault="005A1B43">
        <w:pPr>
          <w:pStyle w:val="Pta"/>
          <w:jc w:val="center"/>
          <w:rPr>
            <w:rFonts w:ascii="Times New Roman" w:hAnsi="Times New Roman" w:cs="Times New Roman"/>
            <w:sz w:val="24"/>
          </w:rPr>
        </w:pPr>
        <w:r w:rsidRPr="005A1B43">
          <w:rPr>
            <w:rFonts w:ascii="Times New Roman" w:hAnsi="Times New Roman" w:cs="Times New Roman"/>
            <w:sz w:val="24"/>
          </w:rPr>
          <w:fldChar w:fldCharType="begin"/>
        </w:r>
        <w:r w:rsidRPr="005A1B43">
          <w:rPr>
            <w:rFonts w:ascii="Times New Roman" w:hAnsi="Times New Roman" w:cs="Times New Roman"/>
            <w:sz w:val="24"/>
          </w:rPr>
          <w:instrText>PAGE   \* MERGEFORMAT</w:instrText>
        </w:r>
        <w:r w:rsidRPr="005A1B43">
          <w:rPr>
            <w:rFonts w:ascii="Times New Roman" w:hAnsi="Times New Roman" w:cs="Times New Roman"/>
            <w:sz w:val="24"/>
          </w:rPr>
          <w:fldChar w:fldCharType="separate"/>
        </w:r>
        <w:r w:rsidR="008A2710">
          <w:rPr>
            <w:rFonts w:ascii="Times New Roman" w:hAnsi="Times New Roman" w:cs="Times New Roman"/>
            <w:noProof/>
            <w:sz w:val="24"/>
          </w:rPr>
          <w:t>3</w:t>
        </w:r>
        <w:r w:rsidRPr="005A1B43">
          <w:rPr>
            <w:rFonts w:ascii="Times New Roman" w:hAnsi="Times New Roman" w:cs="Times New Roman"/>
            <w:sz w:val="24"/>
          </w:rPr>
          <w:fldChar w:fldCharType="end"/>
        </w:r>
      </w:p>
    </w:sdtContent>
  </w:sdt>
  <w:p w:rsidR="002644DE" w:rsidRPr="005A1B43" w:rsidRDefault="00BE69CC" w:rsidP="00DC2E72">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CC" w:rsidRDefault="00BE69CC" w:rsidP="005A1B43">
      <w:pPr>
        <w:spacing w:after="0" w:line="240" w:lineRule="auto"/>
      </w:pPr>
      <w:r>
        <w:separator/>
      </w:r>
    </w:p>
  </w:footnote>
  <w:footnote w:type="continuationSeparator" w:id="0">
    <w:p w:rsidR="00BE69CC" w:rsidRDefault="00BE69CC" w:rsidP="005A1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BE69CC"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433C47" w:rsidRDefault="00BE69CC"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43"/>
    <w:rsid w:val="005866FA"/>
    <w:rsid w:val="005A1B43"/>
    <w:rsid w:val="008A2710"/>
    <w:rsid w:val="00982723"/>
    <w:rsid w:val="00BE69CC"/>
    <w:rsid w:val="00F059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E7FA"/>
  <w15:chartTrackingRefBased/>
  <w15:docId w15:val="{41A2C169-208C-4657-A06A-0E2F578A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1B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5A1B43"/>
    <w:pPr>
      <w:tabs>
        <w:tab w:val="center" w:pos="4536"/>
        <w:tab w:val="right" w:pos="9072"/>
      </w:tabs>
      <w:spacing w:after="0" w:line="240" w:lineRule="auto"/>
    </w:pPr>
  </w:style>
  <w:style w:type="character" w:customStyle="1" w:styleId="PtaChar">
    <w:name w:val="Päta Char"/>
    <w:basedOn w:val="Predvolenpsmoodseku"/>
    <w:link w:val="Pta"/>
    <w:uiPriority w:val="99"/>
    <w:rsid w:val="005A1B43"/>
  </w:style>
  <w:style w:type="paragraph" w:styleId="Hlavika">
    <w:name w:val="header"/>
    <w:basedOn w:val="Normlny"/>
    <w:link w:val="HlavikaChar"/>
    <w:uiPriority w:val="99"/>
    <w:unhideWhenUsed/>
    <w:rsid w:val="005A1B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2040</Words>
  <Characters>11628</Characters>
  <Application>Microsoft Office Word</Application>
  <DocSecurity>0</DocSecurity>
  <Lines>96</Lines>
  <Paragraphs>27</Paragraphs>
  <ScaleCrop>false</ScaleCrop>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3</cp:revision>
  <dcterms:created xsi:type="dcterms:W3CDTF">2021-09-08T07:06:00Z</dcterms:created>
  <dcterms:modified xsi:type="dcterms:W3CDTF">2021-10-19T08:35:00Z</dcterms:modified>
</cp:coreProperties>
</file>