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087"/>
        <w:gridCol w:w="1276"/>
        <w:gridCol w:w="1067"/>
        <w:gridCol w:w="918"/>
        <w:gridCol w:w="1067"/>
      </w:tblGrid>
      <w:tr w:rsidR="00CE634D" w:rsidRPr="005C4B9C" w14:paraId="12719B13" w14:textId="77777777" w:rsidTr="008D78F7">
        <w:trPr>
          <w:trHeight w:val="20"/>
          <w:jc w:val="center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7CCA128B" w14:textId="77777777"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14:paraId="6F365541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14:paraId="0D5A78C9" w14:textId="77777777" w:rsidTr="008D78F7">
        <w:trPr>
          <w:trHeight w:val="681"/>
          <w:jc w:val="center"/>
        </w:trPr>
        <w:tc>
          <w:tcPr>
            <w:tcW w:w="3956" w:type="dxa"/>
            <w:shd w:val="clear" w:color="auto" w:fill="C0C0C0"/>
            <w:vAlign w:val="center"/>
          </w:tcPr>
          <w:p w14:paraId="2B56D024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087" w:type="dxa"/>
            <w:shd w:val="clear" w:color="auto" w:fill="C0C0C0"/>
            <w:vAlign w:val="center"/>
          </w:tcPr>
          <w:p w14:paraId="3C7BBD4F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14:paraId="721A5D6F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787F4E14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14:paraId="46E33EB1" w14:textId="77777777"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985" w:type="dxa"/>
            <w:gridSpan w:val="2"/>
            <w:shd w:val="clear" w:color="auto" w:fill="C0C0C0"/>
            <w:vAlign w:val="center"/>
          </w:tcPr>
          <w:p w14:paraId="16E8D5A9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14:paraId="7D596133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1067" w:type="dxa"/>
            <w:shd w:val="clear" w:color="auto" w:fill="C0C0C0"/>
            <w:vAlign w:val="center"/>
          </w:tcPr>
          <w:p w14:paraId="68F2D331" w14:textId="77777777"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14:paraId="469CEDC5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8E2E7F" w:rsidRPr="008E2E7F" w14:paraId="3301EFC5" w14:textId="77777777" w:rsidTr="008D78F7">
        <w:trPr>
          <w:trHeight w:val="2808"/>
          <w:jc w:val="center"/>
        </w:trPr>
        <w:tc>
          <w:tcPr>
            <w:tcW w:w="3956" w:type="dxa"/>
            <w:shd w:val="clear" w:color="auto" w:fill="auto"/>
            <w:vAlign w:val="center"/>
          </w:tcPr>
          <w:p w14:paraId="57AA7AA7" w14:textId="77777777" w:rsidR="008D78F7" w:rsidRDefault="008E2E7F" w:rsidP="008D78F7">
            <w:pPr>
              <w:jc w:val="both"/>
              <w:rPr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Novelizáciou Zákona sa zavádza jednotný proces a poskytovanie súvisiacich elektronických služieb používateľom pre používateľov s príslušným oprávnením na zabezpečenie a skvalitnenie výkonu verejnej moci na úseku správy v oblasti územného plánovania, výstavby a správy stavby.</w:t>
            </w:r>
            <w:r w:rsidR="008D78F7">
              <w:rPr>
                <w:sz w:val="22"/>
                <w:szCs w:val="22"/>
              </w:rPr>
              <w:t xml:space="preserve"> </w:t>
            </w:r>
          </w:p>
          <w:p w14:paraId="21664D45" w14:textId="5375577F" w:rsidR="008E2E7F" w:rsidRPr="008E2E7F" w:rsidRDefault="008E2E7F" w:rsidP="008D78F7">
            <w:pPr>
              <w:jc w:val="both"/>
              <w:rPr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Právnou úpravou gestor zavedie nové koncové elektronické služby na úrovni 4 a 5 v oblastiach: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ED3E7A3" w14:textId="73D631F2" w:rsidR="008E2E7F" w:rsidRPr="008E2E7F" w:rsidRDefault="008E2E7F" w:rsidP="008D78F7">
            <w:pPr>
              <w:rPr>
                <w:b/>
                <w:sz w:val="22"/>
                <w:szCs w:val="22"/>
              </w:rPr>
            </w:pPr>
          </w:p>
          <w:p w14:paraId="6CAF05B6" w14:textId="790F9A11" w:rsidR="008E2E7F" w:rsidRPr="008E2E7F" w:rsidRDefault="008E2E7F" w:rsidP="008D78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87380" w14:textId="77777777" w:rsidR="008E2E7F" w:rsidRPr="008E2E7F" w:rsidRDefault="008E2E7F" w:rsidP="007B71A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280F74D" w14:textId="77777777" w:rsidR="008E2E7F" w:rsidRPr="008E2E7F" w:rsidRDefault="008E2E7F" w:rsidP="007B71A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4D10C1C" w14:textId="77777777" w:rsidR="008E2E7F" w:rsidRPr="008E2E7F" w:rsidRDefault="008E2E7F" w:rsidP="007B71A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F72BA01" w14:textId="77777777" w:rsidR="008E2E7F" w:rsidRPr="008E2E7F" w:rsidRDefault="008E2E7F" w:rsidP="007B71A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67B9C8F" w14:textId="77777777" w:rsidR="008E2E7F" w:rsidRPr="008E2E7F" w:rsidRDefault="008E2E7F" w:rsidP="007B71A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69455028" w14:textId="77777777" w:rsidR="008E2E7F" w:rsidRPr="008E2E7F" w:rsidRDefault="008E2E7F" w:rsidP="007B71A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6B34CC29" w14:textId="77777777" w:rsidR="008E2E7F" w:rsidRPr="008E2E7F" w:rsidRDefault="008E2E7F" w:rsidP="007B71A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2CF4177" w14:textId="77777777" w:rsidR="008E2E7F" w:rsidRPr="008E2E7F" w:rsidRDefault="008E2E7F" w:rsidP="007B71A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1C56BDD" w14:textId="77777777" w:rsidR="008E2E7F" w:rsidRPr="008E2E7F" w:rsidRDefault="008E2E7F" w:rsidP="007B71A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862EE7C" w14:textId="77777777" w:rsidR="008E2E7F" w:rsidRPr="008E2E7F" w:rsidRDefault="008E2E7F" w:rsidP="007B71A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17B196C" w14:textId="05BC68C0" w:rsidR="008E2E7F" w:rsidRPr="008E2E7F" w:rsidRDefault="008E2E7F" w:rsidP="008D78F7">
            <w:pPr>
              <w:rPr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652F710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3FBEE1C6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2BFAD1DB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16A4DCA7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6BBA99B7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0B4FBD87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46733622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2A4F3752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3A8AF2EA" w14:textId="6C4406C1" w:rsidR="008E2E7F" w:rsidRPr="008E2E7F" w:rsidRDefault="008E2E7F" w:rsidP="008D78F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68C18DCA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219E2589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112500B6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173C5A6B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29F94312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51F42F4A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366242E2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0FA0804A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6E93C4CE" w14:textId="77777777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</w:p>
          <w:p w14:paraId="7F95DB10" w14:textId="6EA60882" w:rsidR="008E2E7F" w:rsidRPr="008E2E7F" w:rsidRDefault="008E2E7F" w:rsidP="008D78F7">
            <w:pPr>
              <w:rPr>
                <w:sz w:val="22"/>
                <w:szCs w:val="22"/>
              </w:rPr>
            </w:pPr>
          </w:p>
        </w:tc>
      </w:tr>
      <w:tr w:rsidR="008E2E7F" w:rsidRPr="008E2E7F" w14:paraId="3611A306" w14:textId="77777777" w:rsidTr="008D78F7">
        <w:trPr>
          <w:trHeight w:val="681"/>
          <w:jc w:val="center"/>
        </w:trPr>
        <w:tc>
          <w:tcPr>
            <w:tcW w:w="3956" w:type="dxa"/>
            <w:vMerge w:val="restart"/>
            <w:shd w:val="clear" w:color="auto" w:fill="auto"/>
            <w:vAlign w:val="center"/>
          </w:tcPr>
          <w:p w14:paraId="5BE00F67" w14:textId="499E80E1" w:rsidR="008E2E7F" w:rsidRPr="008E2E7F" w:rsidRDefault="008E2E7F" w:rsidP="008E2E7F">
            <w:pPr>
              <w:jc w:val="both"/>
              <w:rPr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Územného plánovania: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DBBBE95" w14:textId="131ACA32" w:rsidR="008E2E7F" w:rsidRPr="008E2E7F" w:rsidRDefault="008E2E7F" w:rsidP="007B71A4">
            <w:pPr>
              <w:jc w:val="center"/>
              <w:rPr>
                <w:b/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B1DA3" w14:textId="30C0FE8D" w:rsidR="008E2E7F" w:rsidRPr="008E2E7F" w:rsidRDefault="008E2E7F" w:rsidP="007B71A4">
            <w:pPr>
              <w:jc w:val="center"/>
              <w:rPr>
                <w:i/>
                <w:iCs/>
                <w:sz w:val="22"/>
                <w:szCs w:val="22"/>
              </w:rPr>
            </w:pPr>
            <w:r w:rsidRPr="008E2E7F">
              <w:rPr>
                <w:iCs/>
                <w:sz w:val="22"/>
                <w:szCs w:val="22"/>
              </w:rPr>
              <w:t>as_61394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1FCE94F" w14:textId="245292C3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Služby územného plánovania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E8F2F2C" w14:textId="4B49C351" w:rsidR="008E2E7F" w:rsidRPr="008E2E7F" w:rsidRDefault="008E2E7F" w:rsidP="007B71A4">
            <w:pPr>
              <w:jc w:val="center"/>
              <w:rPr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N/A</w:t>
            </w:r>
          </w:p>
        </w:tc>
      </w:tr>
      <w:tr w:rsidR="008E2E7F" w:rsidRPr="008E2E7F" w14:paraId="035EFE1A" w14:textId="77777777" w:rsidTr="008D78F7">
        <w:trPr>
          <w:trHeight w:val="681"/>
          <w:jc w:val="center"/>
        </w:trPr>
        <w:tc>
          <w:tcPr>
            <w:tcW w:w="3956" w:type="dxa"/>
            <w:vMerge/>
            <w:shd w:val="clear" w:color="auto" w:fill="auto"/>
            <w:vAlign w:val="center"/>
          </w:tcPr>
          <w:p w14:paraId="57BF4EF3" w14:textId="77777777" w:rsidR="008E2E7F" w:rsidRPr="008E2E7F" w:rsidRDefault="008E2E7F" w:rsidP="008E2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1449505" w14:textId="4E660D64" w:rsidR="008E2E7F" w:rsidRPr="008E2E7F" w:rsidRDefault="008E2E7F" w:rsidP="008E2E7F">
            <w:pPr>
              <w:jc w:val="center"/>
              <w:rPr>
                <w:b/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5CB5E" w14:textId="64CFA620" w:rsidR="008E2E7F" w:rsidRPr="008E2E7F" w:rsidRDefault="008E2E7F" w:rsidP="008E2E7F">
            <w:pPr>
              <w:jc w:val="center"/>
              <w:rPr>
                <w:i/>
                <w:iCs/>
                <w:sz w:val="22"/>
                <w:szCs w:val="22"/>
              </w:rPr>
            </w:pPr>
            <w:r w:rsidRPr="008E2E7F">
              <w:rPr>
                <w:color w:val="000000"/>
                <w:sz w:val="22"/>
                <w:szCs w:val="22"/>
              </w:rPr>
              <w:t>ks_340687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22793DE" w14:textId="36F3A0D2" w:rsidR="008E2E7F" w:rsidRPr="008E2E7F" w:rsidRDefault="008E2E7F" w:rsidP="008E2E7F">
            <w:pPr>
              <w:jc w:val="center"/>
              <w:rPr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Evidencia územnoplánovacej dokumentácie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3606065" w14:textId="20AF5835" w:rsidR="008E2E7F" w:rsidRPr="008E2E7F" w:rsidRDefault="008E2E7F" w:rsidP="008E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E2E7F" w:rsidRPr="008E2E7F" w14:paraId="021C8B5C" w14:textId="77777777" w:rsidTr="008D78F7">
        <w:trPr>
          <w:trHeight w:val="681"/>
          <w:jc w:val="center"/>
        </w:trPr>
        <w:tc>
          <w:tcPr>
            <w:tcW w:w="3956" w:type="dxa"/>
            <w:vMerge/>
            <w:shd w:val="clear" w:color="auto" w:fill="auto"/>
            <w:vAlign w:val="center"/>
          </w:tcPr>
          <w:p w14:paraId="0D881980" w14:textId="77777777" w:rsidR="008E2E7F" w:rsidRPr="008E2E7F" w:rsidRDefault="008E2E7F" w:rsidP="008E2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946FEFE" w14:textId="45C51500" w:rsidR="008E2E7F" w:rsidRPr="008E2E7F" w:rsidRDefault="008E2E7F" w:rsidP="008E2E7F">
            <w:pPr>
              <w:jc w:val="center"/>
              <w:rPr>
                <w:b/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138A7" w14:textId="0D24F843" w:rsidR="008E2E7F" w:rsidRPr="008E2E7F" w:rsidRDefault="008E2E7F" w:rsidP="008E2E7F">
            <w:pPr>
              <w:jc w:val="center"/>
              <w:rPr>
                <w:i/>
                <w:iCs/>
                <w:sz w:val="22"/>
                <w:szCs w:val="22"/>
              </w:rPr>
            </w:pPr>
            <w:r w:rsidRPr="008E2E7F">
              <w:rPr>
                <w:color w:val="000000"/>
                <w:sz w:val="22"/>
                <w:szCs w:val="22"/>
              </w:rPr>
              <w:t>ks_340688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0D74B76" w14:textId="3B6D77E6" w:rsidR="008E2E7F" w:rsidRPr="008E2E7F" w:rsidRDefault="008E2E7F" w:rsidP="008E2E7F">
            <w:pPr>
              <w:jc w:val="center"/>
              <w:rPr>
                <w:sz w:val="22"/>
                <w:szCs w:val="22"/>
              </w:rPr>
            </w:pPr>
            <w:r w:rsidRPr="008E2E7F">
              <w:rPr>
                <w:color w:val="000000"/>
                <w:sz w:val="22"/>
                <w:szCs w:val="22"/>
              </w:rPr>
              <w:t>Poskytnutie územnoplánovacej dokumentácie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E76E42F" w14:textId="70845499" w:rsidR="008E2E7F" w:rsidRPr="008E2E7F" w:rsidRDefault="008E2E7F" w:rsidP="008E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E2E7F" w:rsidRPr="008E2E7F" w14:paraId="2AE483CF" w14:textId="77777777" w:rsidTr="008D78F7">
        <w:trPr>
          <w:trHeight w:val="681"/>
          <w:jc w:val="center"/>
        </w:trPr>
        <w:tc>
          <w:tcPr>
            <w:tcW w:w="3956" w:type="dxa"/>
            <w:vMerge/>
            <w:shd w:val="clear" w:color="auto" w:fill="auto"/>
            <w:vAlign w:val="center"/>
          </w:tcPr>
          <w:p w14:paraId="65B94EE8" w14:textId="5EFF26B5" w:rsidR="008E2E7F" w:rsidRPr="008E2E7F" w:rsidRDefault="008E2E7F" w:rsidP="008E2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14F8FE" w14:textId="6DF7E6B8" w:rsidR="008E2E7F" w:rsidRPr="008E2E7F" w:rsidRDefault="008E2E7F" w:rsidP="008E2E7F">
            <w:pPr>
              <w:jc w:val="center"/>
              <w:rPr>
                <w:b/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0F286" w14:textId="5E54E5A0" w:rsidR="008E2E7F" w:rsidRPr="008E2E7F" w:rsidRDefault="008E2E7F" w:rsidP="008E2E7F">
            <w:pPr>
              <w:jc w:val="center"/>
              <w:rPr>
                <w:i/>
                <w:iCs/>
                <w:sz w:val="22"/>
                <w:szCs w:val="22"/>
              </w:rPr>
            </w:pPr>
            <w:r w:rsidRPr="008E2E7F">
              <w:rPr>
                <w:color w:val="000000"/>
                <w:sz w:val="22"/>
                <w:szCs w:val="22"/>
              </w:rPr>
              <w:t>ks_340689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584FF1B" w14:textId="719D83B3" w:rsidR="008E2E7F" w:rsidRPr="008E2E7F" w:rsidRDefault="008E2E7F" w:rsidP="008E2E7F">
            <w:pPr>
              <w:jc w:val="center"/>
              <w:rPr>
                <w:sz w:val="22"/>
                <w:szCs w:val="22"/>
              </w:rPr>
            </w:pPr>
            <w:r w:rsidRPr="008E2E7F">
              <w:rPr>
                <w:color w:val="000000"/>
                <w:sz w:val="22"/>
                <w:szCs w:val="22"/>
              </w:rPr>
              <w:t>Preskúmanie stanoviska dotknutých orgánov k územnoplánovacej dokumentácii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A3B958A" w14:textId="571AD834" w:rsidR="008E2E7F" w:rsidRPr="008E2E7F" w:rsidRDefault="008E2E7F" w:rsidP="008E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E2E7F" w:rsidRPr="008E2E7F" w14:paraId="1D8EF05C" w14:textId="77777777" w:rsidTr="008D78F7">
        <w:trPr>
          <w:trHeight w:val="681"/>
          <w:jc w:val="center"/>
        </w:trPr>
        <w:tc>
          <w:tcPr>
            <w:tcW w:w="3956" w:type="dxa"/>
            <w:vMerge/>
            <w:shd w:val="clear" w:color="auto" w:fill="auto"/>
            <w:vAlign w:val="center"/>
          </w:tcPr>
          <w:p w14:paraId="02A885BF" w14:textId="77777777" w:rsidR="008E2E7F" w:rsidRPr="008E2E7F" w:rsidRDefault="008E2E7F" w:rsidP="008E2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61F9089" w14:textId="59D4BD9B" w:rsidR="008E2E7F" w:rsidRPr="008E2E7F" w:rsidRDefault="008E2E7F" w:rsidP="008E2E7F">
            <w:pPr>
              <w:jc w:val="center"/>
              <w:rPr>
                <w:b/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88853" w14:textId="79FA094F" w:rsidR="008E2E7F" w:rsidRPr="008E2E7F" w:rsidRDefault="008E2E7F" w:rsidP="008E2E7F">
            <w:pPr>
              <w:jc w:val="center"/>
              <w:rPr>
                <w:i/>
                <w:iCs/>
                <w:sz w:val="22"/>
                <w:szCs w:val="22"/>
              </w:rPr>
            </w:pPr>
            <w:r w:rsidRPr="008E2E7F">
              <w:rPr>
                <w:color w:val="000000"/>
                <w:sz w:val="22"/>
                <w:szCs w:val="22"/>
              </w:rPr>
              <w:t>ks_340690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92BD9C" w14:textId="42D25F5D" w:rsidR="008E2E7F" w:rsidRPr="008E2E7F" w:rsidRDefault="008E2E7F" w:rsidP="008E2E7F">
            <w:pPr>
              <w:jc w:val="center"/>
              <w:rPr>
                <w:sz w:val="22"/>
                <w:szCs w:val="22"/>
              </w:rPr>
            </w:pPr>
            <w:r w:rsidRPr="008E2E7F">
              <w:rPr>
                <w:color w:val="000000"/>
                <w:sz w:val="22"/>
                <w:szCs w:val="22"/>
              </w:rPr>
              <w:t>Spracovanie územnoplánovacej dokumentácie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880BAE7" w14:textId="08A28BC7" w:rsidR="008E2E7F" w:rsidRPr="008E2E7F" w:rsidRDefault="008E2E7F" w:rsidP="008E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E2E7F" w:rsidRPr="008E2E7F" w14:paraId="7E2B5062" w14:textId="77777777" w:rsidTr="008D78F7">
        <w:trPr>
          <w:trHeight w:val="681"/>
          <w:jc w:val="center"/>
        </w:trPr>
        <w:tc>
          <w:tcPr>
            <w:tcW w:w="3956" w:type="dxa"/>
            <w:vMerge/>
            <w:shd w:val="clear" w:color="auto" w:fill="auto"/>
            <w:vAlign w:val="center"/>
          </w:tcPr>
          <w:p w14:paraId="5CCC11BC" w14:textId="77777777" w:rsidR="008E2E7F" w:rsidRPr="008E2E7F" w:rsidRDefault="008E2E7F" w:rsidP="008E2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BD13B15" w14:textId="79AC5D99" w:rsidR="008E2E7F" w:rsidRPr="008E2E7F" w:rsidRDefault="008E2E7F" w:rsidP="008E2E7F">
            <w:pPr>
              <w:jc w:val="center"/>
              <w:rPr>
                <w:b/>
                <w:sz w:val="22"/>
                <w:szCs w:val="22"/>
              </w:rPr>
            </w:pPr>
            <w:r w:rsidRPr="008E2E7F"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449AE" w14:textId="084401E8" w:rsidR="008E2E7F" w:rsidRPr="008D78F7" w:rsidRDefault="008E2E7F" w:rsidP="008E2E7F">
            <w:pPr>
              <w:jc w:val="center"/>
              <w:rPr>
                <w:i/>
                <w:iCs/>
                <w:sz w:val="22"/>
                <w:szCs w:val="22"/>
              </w:rPr>
            </w:pPr>
            <w:r w:rsidRPr="008D78F7">
              <w:rPr>
                <w:color w:val="000000"/>
                <w:sz w:val="22"/>
                <w:szCs w:val="22"/>
              </w:rPr>
              <w:t>ks_340691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F1B62C4" w14:textId="1BA15E03" w:rsidR="008E2E7F" w:rsidRPr="008E2E7F" w:rsidRDefault="008E2E7F" w:rsidP="008E2E7F">
            <w:pPr>
              <w:jc w:val="center"/>
              <w:rPr>
                <w:sz w:val="22"/>
                <w:szCs w:val="22"/>
              </w:rPr>
            </w:pPr>
            <w:r w:rsidRPr="008E2E7F">
              <w:rPr>
                <w:color w:val="000000"/>
                <w:sz w:val="22"/>
                <w:szCs w:val="22"/>
              </w:rPr>
              <w:t>Vydanie stanoviska k územnoplánovacej dokumentácii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8A8C8C6" w14:textId="4123C8DA" w:rsidR="008E2E7F" w:rsidRPr="008E2E7F" w:rsidRDefault="008E2E7F" w:rsidP="008E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0417" w:rsidRPr="005C4B9C" w14:paraId="35087080" w14:textId="77777777" w:rsidTr="000D0417">
        <w:trPr>
          <w:trHeight w:val="2494"/>
          <w:jc w:val="center"/>
        </w:trPr>
        <w:tc>
          <w:tcPr>
            <w:tcW w:w="3956" w:type="dxa"/>
            <w:shd w:val="clear" w:color="auto" w:fill="auto"/>
            <w:vAlign w:val="center"/>
          </w:tcPr>
          <w:p w14:paraId="72460C61" w14:textId="77777777" w:rsidR="000D0417" w:rsidRPr="008E2E7F" w:rsidRDefault="000D0417" w:rsidP="008D78F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455D9D5" w14:textId="3A35D849" w:rsidR="000D0417" w:rsidRDefault="000D0417" w:rsidP="008D78F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265C4" w14:textId="737F1B32" w:rsidR="000D0417" w:rsidRPr="008D78F7" w:rsidRDefault="000D0417" w:rsidP="008D78F7">
            <w:pPr>
              <w:jc w:val="center"/>
              <w:rPr>
                <w:color w:val="000000"/>
                <w:sz w:val="22"/>
                <w:szCs w:val="22"/>
              </w:rPr>
            </w:pPr>
            <w:r w:rsidRPr="000D0417">
              <w:rPr>
                <w:color w:val="000000"/>
                <w:sz w:val="22"/>
                <w:szCs w:val="22"/>
              </w:rPr>
              <w:t>as_61397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757028B" w14:textId="3D08C708" w:rsidR="000D0417" w:rsidRPr="008D78F7" w:rsidRDefault="000D0417" w:rsidP="008D78F7">
            <w:pPr>
              <w:jc w:val="center"/>
              <w:rPr>
                <w:color w:val="000000"/>
                <w:sz w:val="22"/>
                <w:szCs w:val="22"/>
              </w:rPr>
            </w:pPr>
            <w:r w:rsidRPr="000D0417">
              <w:rPr>
                <w:color w:val="000000"/>
                <w:sz w:val="22"/>
                <w:szCs w:val="22"/>
              </w:rPr>
              <w:t>Získavanie údajov z iných systémov prostredníctvom integrácie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0096F87" w14:textId="684ABBC9" w:rsidR="000D0417" w:rsidRDefault="000D0417" w:rsidP="008D78F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N/A</w:t>
            </w:r>
          </w:p>
        </w:tc>
      </w:tr>
      <w:tr w:rsidR="008E2E7F" w:rsidRPr="005C4B9C" w14:paraId="112D127F" w14:textId="77777777" w:rsidTr="008D78F7">
        <w:trPr>
          <w:trHeight w:val="20"/>
          <w:jc w:val="center"/>
        </w:trPr>
        <w:tc>
          <w:tcPr>
            <w:tcW w:w="3956" w:type="dxa"/>
            <w:shd w:val="clear" w:color="auto" w:fill="C0C0C0"/>
            <w:vAlign w:val="center"/>
          </w:tcPr>
          <w:p w14:paraId="50CA2286" w14:textId="77777777" w:rsidR="008E2E7F" w:rsidRPr="005C4B9C" w:rsidRDefault="008E2E7F" w:rsidP="008E2E7F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087" w:type="dxa"/>
            <w:shd w:val="clear" w:color="auto" w:fill="C0C0C0"/>
            <w:vAlign w:val="center"/>
          </w:tcPr>
          <w:p w14:paraId="759B48F7" w14:textId="77777777" w:rsidR="008E2E7F" w:rsidRPr="005C4B9C" w:rsidRDefault="008E2E7F" w:rsidP="008E2E7F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14:paraId="614B2736" w14:textId="77777777" w:rsidR="008E2E7F" w:rsidRPr="005C4B9C" w:rsidRDefault="008E2E7F" w:rsidP="008E2E7F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lastRenderedPageBreak/>
              <w:t>B – zmena systému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1B2C29A5" w14:textId="77777777" w:rsidR="008E2E7F" w:rsidRPr="005C4B9C" w:rsidRDefault="008E2E7F" w:rsidP="008E2E7F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lastRenderedPageBreak/>
              <w:t>Kód systému</w:t>
            </w:r>
          </w:p>
        </w:tc>
        <w:tc>
          <w:tcPr>
            <w:tcW w:w="3052" w:type="dxa"/>
            <w:gridSpan w:val="3"/>
            <w:shd w:val="clear" w:color="auto" w:fill="C0C0C0"/>
            <w:vAlign w:val="center"/>
          </w:tcPr>
          <w:p w14:paraId="08466F6B" w14:textId="77777777" w:rsidR="008E2E7F" w:rsidRPr="005C4B9C" w:rsidRDefault="008E2E7F" w:rsidP="008E2E7F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8E2E7F" w:rsidRPr="005C4B9C" w14:paraId="0C565E6D" w14:textId="77777777" w:rsidTr="008D78F7">
        <w:trPr>
          <w:trHeight w:val="20"/>
          <w:jc w:val="center"/>
        </w:trPr>
        <w:tc>
          <w:tcPr>
            <w:tcW w:w="3956" w:type="dxa"/>
          </w:tcPr>
          <w:p w14:paraId="092B5593" w14:textId="77777777" w:rsidR="008E2E7F" w:rsidRPr="005C4B9C" w:rsidRDefault="008E2E7F" w:rsidP="008E2E7F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14:paraId="5E7EAE29" w14:textId="77777777" w:rsidR="008E2E7F" w:rsidRPr="005C4B9C" w:rsidRDefault="008E2E7F" w:rsidP="008E2E7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087" w:type="dxa"/>
            <w:vAlign w:val="center"/>
          </w:tcPr>
          <w:p w14:paraId="3CEC38DB" w14:textId="30852F56" w:rsidR="008E2E7F" w:rsidRPr="008D78F7" w:rsidRDefault="008E2E7F" w:rsidP="008D78F7">
            <w:pPr>
              <w:jc w:val="center"/>
              <w:rPr>
                <w:i/>
                <w:iCs/>
                <w:sz w:val="22"/>
                <w:szCs w:val="22"/>
              </w:rPr>
            </w:pPr>
            <w:r w:rsidRPr="008D78F7"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6" w:type="dxa"/>
            <w:vAlign w:val="center"/>
          </w:tcPr>
          <w:p w14:paraId="4D4DFADB" w14:textId="1598D902" w:rsidR="008E2E7F" w:rsidRPr="008D78F7" w:rsidRDefault="008E2E7F" w:rsidP="008D78F7">
            <w:pPr>
              <w:jc w:val="center"/>
              <w:rPr>
                <w:sz w:val="22"/>
                <w:szCs w:val="22"/>
              </w:rPr>
            </w:pPr>
            <w:r w:rsidRPr="008D78F7">
              <w:rPr>
                <w:sz w:val="22"/>
                <w:szCs w:val="22"/>
              </w:rPr>
              <w:t>isvs_10799</w:t>
            </w:r>
          </w:p>
        </w:tc>
        <w:tc>
          <w:tcPr>
            <w:tcW w:w="3052" w:type="dxa"/>
            <w:gridSpan w:val="3"/>
            <w:vAlign w:val="center"/>
          </w:tcPr>
          <w:p w14:paraId="439D8078" w14:textId="53E0FA40" w:rsidR="008E2E7F" w:rsidRPr="008D78F7" w:rsidRDefault="008E2E7F" w:rsidP="008D78F7">
            <w:pPr>
              <w:ind w:left="125"/>
              <w:jc w:val="center"/>
              <w:rPr>
                <w:sz w:val="22"/>
                <w:szCs w:val="22"/>
              </w:rPr>
            </w:pPr>
            <w:r w:rsidRPr="008D78F7">
              <w:rPr>
                <w:sz w:val="22"/>
                <w:szCs w:val="22"/>
              </w:rPr>
              <w:t xml:space="preserve">Informačný systém územného plánovania a výstavby </w:t>
            </w:r>
            <w:r w:rsidR="008D78F7">
              <w:rPr>
                <w:sz w:val="22"/>
                <w:szCs w:val="22"/>
              </w:rPr>
              <w:br/>
            </w:r>
            <w:r w:rsidRPr="008D78F7">
              <w:rPr>
                <w:sz w:val="22"/>
                <w:szCs w:val="22"/>
              </w:rPr>
              <w:t>(IS UPV)</w:t>
            </w:r>
          </w:p>
        </w:tc>
      </w:tr>
      <w:tr w:rsidR="008E2E7F" w:rsidRPr="005C4B9C" w14:paraId="0E10A2A0" w14:textId="77777777" w:rsidTr="008D78F7">
        <w:trPr>
          <w:trHeight w:val="20"/>
          <w:jc w:val="center"/>
        </w:trPr>
        <w:tc>
          <w:tcPr>
            <w:tcW w:w="3956" w:type="dxa"/>
            <w:shd w:val="clear" w:color="auto" w:fill="BFBFBF"/>
            <w:vAlign w:val="center"/>
          </w:tcPr>
          <w:p w14:paraId="6871457A" w14:textId="77777777" w:rsidR="008E2E7F" w:rsidRPr="005C4B9C" w:rsidRDefault="008E2E7F" w:rsidP="008E2E7F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087" w:type="dxa"/>
            <w:shd w:val="clear" w:color="auto" w:fill="BFBFBF"/>
            <w:vAlign w:val="center"/>
          </w:tcPr>
          <w:p w14:paraId="5C8336E8" w14:textId="77777777" w:rsidR="008E2E7F" w:rsidRPr="005C4B9C" w:rsidRDefault="008E2E7F" w:rsidP="008E2E7F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343" w:type="dxa"/>
            <w:gridSpan w:val="2"/>
            <w:shd w:val="clear" w:color="auto" w:fill="BFBFBF"/>
            <w:vAlign w:val="center"/>
          </w:tcPr>
          <w:p w14:paraId="30DE371A" w14:textId="77777777" w:rsidR="008E2E7F" w:rsidRPr="005C4B9C" w:rsidRDefault="008E2E7F" w:rsidP="008E2E7F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14:paraId="57F4AB99" w14:textId="77777777" w:rsidR="008E2E7F" w:rsidRPr="005C4B9C" w:rsidRDefault="008E2E7F" w:rsidP="008E2E7F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6067ED8A" w14:textId="77777777" w:rsidR="008E2E7F" w:rsidRPr="005C4B9C" w:rsidRDefault="008E2E7F" w:rsidP="008E2E7F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8E2E7F" w:rsidRPr="005C4B9C" w14:paraId="2F6293F6" w14:textId="77777777" w:rsidTr="008D78F7">
        <w:trPr>
          <w:trHeight w:val="20"/>
          <w:jc w:val="center"/>
        </w:trPr>
        <w:tc>
          <w:tcPr>
            <w:tcW w:w="3956" w:type="dxa"/>
          </w:tcPr>
          <w:p w14:paraId="2F3B7F49" w14:textId="77777777" w:rsidR="008E2E7F" w:rsidRPr="005C4B9C" w:rsidRDefault="008E2E7F" w:rsidP="008E2E7F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14:paraId="188EDEFA" w14:textId="77777777" w:rsidR="008E2E7F" w:rsidRPr="005C4B9C" w:rsidRDefault="008E2E7F" w:rsidP="008E2E7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087" w:type="dxa"/>
          </w:tcPr>
          <w:p w14:paraId="3C0CCCED" w14:textId="2FA04ACA" w:rsidR="008E2E7F" w:rsidRPr="005C4B9C" w:rsidRDefault="008E2E7F" w:rsidP="008E2E7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343" w:type="dxa"/>
            <w:gridSpan w:val="2"/>
          </w:tcPr>
          <w:p w14:paraId="521E6B1A" w14:textId="69DA610A" w:rsidR="008E2E7F" w:rsidRPr="005C4B9C" w:rsidRDefault="008E2E7F" w:rsidP="008E2E7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Vplyv na rozpočet je uvedený v časti doložky finančných vplyvov</w:t>
            </w:r>
          </w:p>
        </w:tc>
        <w:tc>
          <w:tcPr>
            <w:tcW w:w="1985" w:type="dxa"/>
            <w:gridSpan w:val="2"/>
          </w:tcPr>
          <w:p w14:paraId="73FF9777" w14:textId="0C791E0F" w:rsidR="008E2E7F" w:rsidRPr="005C4B9C" w:rsidRDefault="00AB1529" w:rsidP="008E2E7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</w:t>
            </w:r>
          </w:p>
        </w:tc>
      </w:tr>
    </w:tbl>
    <w:p w14:paraId="73D31536" w14:textId="77777777" w:rsidR="00CE634D" w:rsidRPr="005C4B9C" w:rsidRDefault="00CE634D" w:rsidP="00CE634D">
      <w:pPr>
        <w:rPr>
          <w:b/>
          <w:bCs/>
          <w:sz w:val="24"/>
          <w:szCs w:val="24"/>
        </w:rPr>
      </w:pPr>
    </w:p>
    <w:p w14:paraId="4C2DC90C" w14:textId="44B98692" w:rsidR="00CE634D" w:rsidRPr="005C4B9C" w:rsidRDefault="00CE634D" w:rsidP="00CE634D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1386A74E" w14:textId="77777777" w:rsidR="00CE634D" w:rsidRPr="005C4B9C" w:rsidRDefault="00CE634D" w:rsidP="00CE634D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5C4B9C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Pilier I: Obsah – informácie a služby</w:t>
      </w:r>
    </w:p>
    <w:p w14:paraId="2FCD1BED" w14:textId="77777777" w:rsidR="00CE634D" w:rsidRPr="005C4B9C" w:rsidRDefault="00CE634D" w:rsidP="00CE634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B9C">
        <w:rPr>
          <w:rFonts w:eastAsia="Calibri"/>
          <w:color w:val="000000"/>
          <w:sz w:val="24"/>
          <w:szCs w:val="24"/>
          <w:lang w:eastAsia="en-US"/>
        </w:rPr>
        <w:t>Pod obsahom a službami informačnej spoločnosti chápeme dostupný elektronický obsah a aplikácie, ktoré používateľ služieb môže využívať pre svoje potreby. V rámci tohto piliera sa hodnotí, či predmetný návrh materiálu má vplyv na informatizáciu spoločnosti z hľadiska rozširovania a inovácie existujúcich služieb, t.j. ich zmeny ako aj vytvárania a zavádzania nových elektronických služieb verejnej správy.</w:t>
      </w:r>
    </w:p>
    <w:p w14:paraId="6AB51C9A" w14:textId="77777777" w:rsidR="00CE634D" w:rsidRPr="005C4B9C" w:rsidRDefault="00CE634D" w:rsidP="00CE634D">
      <w:pPr>
        <w:autoSpaceDE w:val="0"/>
        <w:autoSpaceDN w:val="0"/>
        <w:adjustRightInd w:val="0"/>
        <w:spacing w:before="240" w:after="20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C4B9C">
        <w:rPr>
          <w:rFonts w:eastAsia="Calibri"/>
          <w:b/>
          <w:bCs/>
          <w:color w:val="000000"/>
          <w:sz w:val="24"/>
          <w:szCs w:val="24"/>
          <w:lang w:eastAsia="en-US"/>
        </w:rPr>
        <w:t>Rozširovanie, inovácia, vytváranie a zavádzanie nových elektronických služieb verejnej správy</w:t>
      </w:r>
    </w:p>
    <w:p w14:paraId="4117210D" w14:textId="05D74640" w:rsidR="005E6304" w:rsidRDefault="005E6304" w:rsidP="005E630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Informačný systém územného plánovania a výstavby je od  počiatku plánovaný ako integrálna súčasť procesov územného plánovania a stavebného konania.  Bez podpory informačného systému nie je možné navrhnuté  procesy realizovať. Nie je to len zavedenie nových elektronických služieb ale radikálna zmena paradigmy týchto procesov.  </w:t>
      </w:r>
      <w:r w:rsidR="007659CE">
        <w:rPr>
          <w:rFonts w:eastAsia="Calibri"/>
          <w:color w:val="000000"/>
          <w:sz w:val="24"/>
          <w:szCs w:val="24"/>
          <w:lang w:eastAsia="en-US"/>
        </w:rPr>
        <w:t>Základný cieľ je vytvorenie elektronických nástrojov, ktoré podporia a transformáciu plánovania aj výstavby do rámca Industry 4.0.</w:t>
      </w:r>
    </w:p>
    <w:p w14:paraId="2EAEC637" w14:textId="16D4313E" w:rsidR="007659CE" w:rsidRPr="005C4B9C" w:rsidRDefault="007659CE" w:rsidP="005E630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Navrhnuté služby sú úrovne 4 a 5, kde celý proces prebieha on line ( s možnými výnimkami pre obhliadky na mieste) a tam kde je to procesne možné je proces doplnený o proaktívne služby.</w:t>
      </w:r>
    </w:p>
    <w:p w14:paraId="5AECE081" w14:textId="4C6DA435" w:rsidR="007659CE" w:rsidRDefault="007659CE" w:rsidP="00CE634D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490C429" w14:textId="77777777" w:rsidR="00253A82" w:rsidRDefault="007659CE" w:rsidP="00CE634D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Na </w:t>
      </w:r>
      <w:r w:rsidR="00253A82">
        <w:rPr>
          <w:rFonts w:eastAsia="Calibri"/>
          <w:color w:val="000000"/>
          <w:sz w:val="24"/>
          <w:szCs w:val="24"/>
          <w:lang w:eastAsia="en-US"/>
        </w:rPr>
        <w:t>najvyššej</w:t>
      </w:r>
      <w:r>
        <w:rPr>
          <w:rFonts w:eastAsia="Calibri"/>
          <w:color w:val="000000"/>
          <w:sz w:val="24"/>
          <w:szCs w:val="24"/>
          <w:lang w:eastAsia="en-US"/>
        </w:rPr>
        <w:t xml:space="preserve"> úrovni systém podporuje územne plánovanie</w:t>
      </w:r>
      <w:r w:rsidR="00253A82">
        <w:rPr>
          <w:rFonts w:eastAsia="Calibri"/>
          <w:color w:val="000000"/>
          <w:sz w:val="24"/>
          <w:szCs w:val="24"/>
          <w:lang w:eastAsia="en-US"/>
        </w:rPr>
        <w:t xml:space="preserve"> a procesy stavebného poriadku </w:t>
      </w:r>
      <w:r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14:paraId="25415BF3" w14:textId="179F4628" w:rsidR="007659CE" w:rsidRDefault="00253A82" w:rsidP="00253A82">
      <w:pPr>
        <w:pStyle w:val="Odsekzoznamu"/>
        <w:numPr>
          <w:ilvl w:val="0"/>
          <w:numId w:val="7"/>
        </w:num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4C97E1AD">
        <w:rPr>
          <w:rFonts w:eastAsia="Calibri"/>
          <w:color w:val="000000" w:themeColor="text1"/>
          <w:sz w:val="24"/>
          <w:szCs w:val="24"/>
          <w:lang w:eastAsia="en-US"/>
        </w:rPr>
        <w:t>Územné plánovanie :</w:t>
      </w:r>
      <w:r w:rsidR="007659CE" w:rsidRPr="4C97E1AD">
        <w:rPr>
          <w:rFonts w:eastAsia="Calibri"/>
          <w:color w:val="000000" w:themeColor="text1"/>
          <w:sz w:val="24"/>
          <w:szCs w:val="24"/>
          <w:lang w:eastAsia="en-US"/>
        </w:rPr>
        <w:t xml:space="preserve"> Publikované služby umožnia vkladanie a poskytovanie aktuálnej plánovacej územnej dokumentácie (územne plány, návrhy zmien, územnoplánovacie podklady a územnotechnické podklady).  Súčasťou tejto dokumentácie sú regulatívy územia</w:t>
      </w:r>
      <w:r w:rsidRPr="4C97E1AD">
        <w:rPr>
          <w:rFonts w:eastAsia="Calibri"/>
          <w:color w:val="000000" w:themeColor="text1"/>
          <w:sz w:val="24"/>
          <w:szCs w:val="24"/>
          <w:lang w:eastAsia="en-US"/>
        </w:rPr>
        <w:t xml:space="preserve"> v podobe, ktorá je jednoznačná a jej aplikácia je možná technickými prostriedkami a nie je potrebné subjektívne rozhodovanie.  Zároveň ostáva možnosť vykonávať územne plánovanie mimo, ale s povinnosťou ukladať potrebné informácie v požadovaných formátoch do IS UPV. </w:t>
      </w:r>
    </w:p>
    <w:p w14:paraId="7430D971" w14:textId="0689300D" w:rsidR="00253A82" w:rsidRPr="00253A82" w:rsidRDefault="00253A82" w:rsidP="00253A82">
      <w:pPr>
        <w:pStyle w:val="Odsekzoznamu"/>
        <w:numPr>
          <w:ilvl w:val="0"/>
          <w:numId w:val="7"/>
        </w:num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Procesy stavebného poriadku: </w:t>
      </w:r>
      <w:r w:rsidR="00BA5204">
        <w:rPr>
          <w:rFonts w:eastAsia="Calibri"/>
          <w:color w:val="000000"/>
          <w:sz w:val="24"/>
          <w:szCs w:val="24"/>
          <w:lang w:eastAsia="en-US"/>
        </w:rPr>
        <w:t xml:space="preserve">Navrhnuté procesy sú realizované plne elektronicky, dôležité je dodať že sa to týka aj stavebnej dokumentácie, predpokladá sa určenie formátov v ktorých bude potrebne vkladať stavebnú dokumentáciu s rozsiahlejšími pravidlami pre verejné budovy. </w:t>
      </w:r>
    </w:p>
    <w:p w14:paraId="2CB78F50" w14:textId="77777777" w:rsidR="007659CE" w:rsidRDefault="007659CE" w:rsidP="00CE634D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38CD0DD1" w14:textId="77777777" w:rsidR="00CE634D" w:rsidRPr="005C4B9C" w:rsidRDefault="00CE634D" w:rsidP="00CE634D">
      <w:pPr>
        <w:autoSpaceDE w:val="0"/>
        <w:autoSpaceDN w:val="0"/>
        <w:adjustRightInd w:val="0"/>
        <w:spacing w:before="240" w:after="200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5C4B9C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Pilier II: Infraštruktúra</w:t>
      </w:r>
    </w:p>
    <w:p w14:paraId="0826EFAC" w14:textId="4A554227" w:rsidR="005C5BF6" w:rsidRDefault="005C5BF6" w:rsidP="00CE634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4C97E1AD">
        <w:rPr>
          <w:rFonts w:eastAsia="Calibri"/>
          <w:color w:val="000000" w:themeColor="text1"/>
          <w:sz w:val="24"/>
          <w:szCs w:val="24"/>
          <w:lang w:eastAsia="en-US"/>
        </w:rPr>
        <w:t>Údaje, ktoré budú vznikať alebo sa budú ukladať do IS UPV sú citlivé a tak je vhodné ich ukladať v priestore vládneho cloudu. Zároveň je potrebné zdôrazniť že časť údajov je zo svojej povahy verejná a ich sprístupnenie stimuluje budovanie občianskej spoločnosti a poskytuje aj stimuly pre rozvoj iných služieb.  Digitálna podoba územia v spojení s inými dátami umožní riešiť simulácie politík, krízových scenárov, pomôže zlepšiť adaptáciu na klimatické zmeny.  Budovanie služieb v tejto oblasti nie je predmetom IS UPV</w:t>
      </w:r>
      <w:r w:rsidR="0030143D" w:rsidRPr="4C97E1AD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Pr="4C97E1AD">
        <w:rPr>
          <w:rFonts w:eastAsia="Calibri"/>
          <w:color w:val="000000" w:themeColor="text1"/>
          <w:sz w:val="24"/>
          <w:szCs w:val="24"/>
          <w:lang w:eastAsia="en-US"/>
        </w:rPr>
        <w:t xml:space="preserve"> ale IS UPV je zásadný „enabler“, ktorý</w:t>
      </w:r>
      <w:r w:rsidR="62803B77" w:rsidRPr="4C97E1A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4C97E1AD">
        <w:rPr>
          <w:rFonts w:eastAsia="Calibri"/>
          <w:color w:val="000000" w:themeColor="text1"/>
          <w:sz w:val="24"/>
          <w:szCs w:val="24"/>
          <w:lang w:eastAsia="en-US"/>
        </w:rPr>
        <w:t>umožní ich</w:t>
      </w:r>
      <w:r w:rsidR="567CD982" w:rsidRPr="4C97E1A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4C97E1AD">
        <w:rPr>
          <w:rFonts w:eastAsia="Calibri"/>
          <w:color w:val="000000" w:themeColor="text1"/>
          <w:sz w:val="24"/>
          <w:szCs w:val="24"/>
          <w:lang w:eastAsia="en-US"/>
        </w:rPr>
        <w:t>vznik</w:t>
      </w:r>
      <w:r w:rsidR="0030143D" w:rsidRPr="4C97E1AD">
        <w:rPr>
          <w:rFonts w:eastAsia="Calibri"/>
          <w:color w:val="000000" w:themeColor="text1"/>
          <w:sz w:val="24"/>
          <w:szCs w:val="24"/>
          <w:lang w:eastAsia="en-US"/>
        </w:rPr>
        <w:t>. Bezpečnosť privátnych údajov</w:t>
      </w:r>
      <w:r w:rsidR="3FB6F01E" w:rsidRPr="4C97E1A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0143D" w:rsidRPr="4C97E1AD">
        <w:rPr>
          <w:rFonts w:eastAsia="Calibri"/>
          <w:color w:val="000000" w:themeColor="text1"/>
          <w:sz w:val="24"/>
          <w:szCs w:val="24"/>
          <w:lang w:eastAsia="en-US"/>
        </w:rPr>
        <w:t>a súčasne  maximálna dostupnosť verejných údajov je chápaná ako jedna zo základných požiadaviek na IS UPV</w:t>
      </w:r>
    </w:p>
    <w:p w14:paraId="2417EBB0" w14:textId="77777777" w:rsidR="005C5BF6" w:rsidRDefault="005C5BF6" w:rsidP="00CE634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A265A54" w14:textId="77777777" w:rsidR="00CE634D" w:rsidRPr="005C4B9C" w:rsidRDefault="00CE634D" w:rsidP="00CE634D">
      <w:pPr>
        <w:rPr>
          <w:b/>
          <w:bCs/>
          <w:sz w:val="24"/>
          <w:szCs w:val="24"/>
        </w:rPr>
      </w:pPr>
    </w:p>
    <w:p w14:paraId="20AFF2F3" w14:textId="2B4292D6" w:rsidR="0030143D" w:rsidRPr="0030143D" w:rsidRDefault="0030143D" w:rsidP="0030143D">
      <w:pPr>
        <w:autoSpaceDE w:val="0"/>
        <w:autoSpaceDN w:val="0"/>
        <w:adjustRightInd w:val="0"/>
        <w:spacing w:before="240" w:after="200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30143D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Predpokladaný dopad na  informačné systémy verejnej správy </w:t>
      </w:r>
      <w:r w:rsidR="00CE634D" w:rsidRPr="0030143D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    </w:t>
      </w:r>
    </w:p>
    <w:p w14:paraId="79950292" w14:textId="2CFA9DA4" w:rsidR="00CB3623" w:rsidRDefault="0030143D" w:rsidP="0030143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74B09658">
        <w:rPr>
          <w:rFonts w:eastAsia="Calibri"/>
          <w:color w:val="000000" w:themeColor="text1"/>
          <w:sz w:val="24"/>
          <w:szCs w:val="24"/>
          <w:lang w:eastAsia="en-US"/>
        </w:rPr>
        <w:t xml:space="preserve">Koncepcia IS UPV nepredpokladá  nutnosť zmeny iných  systémov verejnej správy,  zmeny procesov sú budú diať na strane IS UPV.  Zároveň </w:t>
      </w:r>
      <w:r w:rsidR="00AB5D73" w:rsidRPr="74B09658">
        <w:rPr>
          <w:rFonts w:eastAsia="Calibri"/>
          <w:color w:val="000000" w:themeColor="text1"/>
          <w:sz w:val="24"/>
          <w:szCs w:val="24"/>
          <w:lang w:eastAsia="en-US"/>
        </w:rPr>
        <w:t xml:space="preserve">však IS UPV umožní zmeny s cieľom podporiť elektronizáciu procesov. Ako príklad slúži kataster,  IS UPV predpokladá vytváranie potrebnej dokumentácie v tvare ako ju dnes požaduje kataster, zároveň však bude schopný poskytnúť jej plne elektronickú formu ak sa bude meniť IS na strane katastra. </w:t>
      </w:r>
      <w:r w:rsidRPr="74B0965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AB5D73" w:rsidRPr="74B09658">
        <w:rPr>
          <w:rFonts w:eastAsia="Calibri"/>
          <w:color w:val="000000" w:themeColor="text1"/>
          <w:sz w:val="24"/>
          <w:szCs w:val="24"/>
          <w:lang w:eastAsia="en-US"/>
        </w:rPr>
        <w:t xml:space="preserve">IS UPV tak koncepčne vytvára príležitosti ale nie požiadavky. </w:t>
      </w:r>
      <w:r w:rsidR="7300A573" w:rsidRPr="74B09658">
        <w:rPr>
          <w:rFonts w:eastAsia="Calibri"/>
          <w:color w:val="000000" w:themeColor="text1"/>
          <w:sz w:val="24"/>
          <w:szCs w:val="24"/>
          <w:lang w:eastAsia="en-US"/>
        </w:rPr>
        <w:t xml:space="preserve"> Prevádzka IS UPV môže vyvolať potrebu upgrade I</w:t>
      </w:r>
      <w:r w:rsidR="6D7D395C" w:rsidRPr="74B09658">
        <w:rPr>
          <w:rFonts w:eastAsia="Calibri"/>
          <w:color w:val="000000" w:themeColor="text1"/>
          <w:sz w:val="24"/>
          <w:szCs w:val="24"/>
          <w:lang w:eastAsia="en-US"/>
        </w:rPr>
        <w:t>KT techniky napríklad požiadavku na väčšie monitory pre pracovníkov ktorí budú pracovať s elektronickou dokumentáciou</w:t>
      </w:r>
      <w:r w:rsidR="05A65C92" w:rsidRPr="74B09658">
        <w:rPr>
          <w:rFonts w:eastAsia="Calibri"/>
          <w:color w:val="000000" w:themeColor="text1"/>
          <w:sz w:val="24"/>
          <w:szCs w:val="24"/>
          <w:lang w:eastAsia="en-US"/>
        </w:rPr>
        <w:t xml:space="preserve">.   Vzhľadom na postupný nábeh systému </w:t>
      </w:r>
      <w:r w:rsidR="0B4C7AC5" w:rsidRPr="74B09658">
        <w:rPr>
          <w:rFonts w:eastAsia="Calibri"/>
          <w:color w:val="000000" w:themeColor="text1"/>
          <w:sz w:val="24"/>
          <w:szCs w:val="24"/>
          <w:lang w:eastAsia="en-US"/>
        </w:rPr>
        <w:t>predpokladáme že tieto zmeny budú súčasťou stabilnej obmeny techniky na úradoch a nie sú tak zahrnuté</w:t>
      </w:r>
      <w:r w:rsidR="0E841B87" w:rsidRPr="74B09658">
        <w:rPr>
          <w:rFonts w:eastAsia="Calibri"/>
          <w:color w:val="000000" w:themeColor="text1"/>
          <w:sz w:val="24"/>
          <w:szCs w:val="24"/>
          <w:lang w:eastAsia="en-US"/>
        </w:rPr>
        <w:t xml:space="preserve"> ako vyvolaný vplyv. </w:t>
      </w:r>
    </w:p>
    <w:p w14:paraId="500985E2" w14:textId="186220FF" w:rsidR="00AB5D73" w:rsidRDefault="00AB5D73" w:rsidP="0030143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7988DB6" w14:textId="02814601" w:rsidR="00AB5D73" w:rsidRDefault="00AB5D73" w:rsidP="0030143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9C37F89" w14:textId="2FAE979C" w:rsidR="00AB5D73" w:rsidRPr="0030143D" w:rsidRDefault="00AB5D73" w:rsidP="00AB5D73">
      <w:pPr>
        <w:autoSpaceDE w:val="0"/>
        <w:autoSpaceDN w:val="0"/>
        <w:adjustRightInd w:val="0"/>
        <w:spacing w:before="240" w:after="200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 w:rsidRPr="0030143D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Predpokladaný dopad na  informačné systémy </w:t>
      </w: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mimo </w:t>
      </w:r>
      <w:r w:rsidRPr="0030143D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verejnej správy     </w:t>
      </w:r>
    </w:p>
    <w:p w14:paraId="34674165" w14:textId="78449FE6" w:rsidR="00AB5D73" w:rsidRDefault="00AB5D73" w:rsidP="0030143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7BB73416" w14:textId="11E0DA31" w:rsidR="00AB5D73" w:rsidRPr="00D93431" w:rsidRDefault="00D93431" w:rsidP="0030143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Vzhľadom na požiadavky smerom k projektantovi  na digitalizáciu výstupov je možné u niektorých  predpokladať požiadavku aj na zmenu SW. V prípade projektantov verejných stavieb očakávame prechod na SW, ktorý umožňuje pracovať s BIM ( Building Information Model), ktorý poskytuje  IFC ( Industry Foundation Class) ako akceptovaný a platformovo nezávislý formát zdieľania údajov. </w:t>
      </w:r>
      <w:r w:rsidR="00DB31C8">
        <w:rPr>
          <w:rFonts w:eastAsia="Calibri"/>
          <w:color w:val="000000"/>
          <w:sz w:val="24"/>
          <w:szCs w:val="24"/>
          <w:lang w:eastAsia="en-US"/>
        </w:rPr>
        <w:t xml:space="preserve"> Požiadavky IS UPV tak urýchlia dnešnú zmenu v projektovaní a výstavbe na strane podnikateľov. </w:t>
      </w:r>
    </w:p>
    <w:p w14:paraId="095BD8BF" w14:textId="77777777" w:rsidR="00AB5D73" w:rsidRPr="0030143D" w:rsidRDefault="00AB5D73" w:rsidP="0030143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AB5D73" w:rsidRPr="003014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6BCE0" w14:textId="77777777" w:rsidR="006760DE" w:rsidRDefault="006760DE" w:rsidP="00CE634D">
      <w:r>
        <w:separator/>
      </w:r>
    </w:p>
  </w:endnote>
  <w:endnote w:type="continuationSeparator" w:id="0">
    <w:p w14:paraId="294939C9" w14:textId="77777777" w:rsidR="006760DE" w:rsidRDefault="006760DE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14:paraId="06F822BD" w14:textId="352B091E"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CA7858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14:paraId="78595485" w14:textId="77777777"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CC465" w14:textId="77777777" w:rsidR="006760DE" w:rsidRDefault="006760DE" w:rsidP="00CE634D">
      <w:r>
        <w:separator/>
      </w:r>
    </w:p>
  </w:footnote>
  <w:footnote w:type="continuationSeparator" w:id="0">
    <w:p w14:paraId="3F6FAF8D" w14:textId="77777777" w:rsidR="006760DE" w:rsidRDefault="006760DE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55B6A" w14:textId="77777777"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14:paraId="4450A4FC" w14:textId="77777777"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32A3"/>
    <w:multiLevelType w:val="hybridMultilevel"/>
    <w:tmpl w:val="A5565AD8"/>
    <w:lvl w:ilvl="0" w:tplc="DC3A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672B1"/>
    <w:multiLevelType w:val="hybridMultilevel"/>
    <w:tmpl w:val="92EAA95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352EB"/>
    <w:rsid w:val="000D0417"/>
    <w:rsid w:val="001D1E5D"/>
    <w:rsid w:val="00252A1D"/>
    <w:rsid w:val="00253A82"/>
    <w:rsid w:val="002601CF"/>
    <w:rsid w:val="00261D86"/>
    <w:rsid w:val="002625E1"/>
    <w:rsid w:val="00282851"/>
    <w:rsid w:val="002833E6"/>
    <w:rsid w:val="002B4D68"/>
    <w:rsid w:val="0030143D"/>
    <w:rsid w:val="003D383A"/>
    <w:rsid w:val="004A336E"/>
    <w:rsid w:val="004C2E47"/>
    <w:rsid w:val="005C4B9C"/>
    <w:rsid w:val="005C5BF6"/>
    <w:rsid w:val="005E6304"/>
    <w:rsid w:val="006672D0"/>
    <w:rsid w:val="006760DE"/>
    <w:rsid w:val="0070552A"/>
    <w:rsid w:val="00707914"/>
    <w:rsid w:val="00753D6D"/>
    <w:rsid w:val="007659CE"/>
    <w:rsid w:val="00866B29"/>
    <w:rsid w:val="00884647"/>
    <w:rsid w:val="008A3066"/>
    <w:rsid w:val="008D78F7"/>
    <w:rsid w:val="008E2E7F"/>
    <w:rsid w:val="008F1FDA"/>
    <w:rsid w:val="009478F9"/>
    <w:rsid w:val="009F5678"/>
    <w:rsid w:val="00A31FE5"/>
    <w:rsid w:val="00A452D7"/>
    <w:rsid w:val="00A7686F"/>
    <w:rsid w:val="00A91D2E"/>
    <w:rsid w:val="00AB1529"/>
    <w:rsid w:val="00AB5D73"/>
    <w:rsid w:val="00BA5204"/>
    <w:rsid w:val="00BB7913"/>
    <w:rsid w:val="00BC2454"/>
    <w:rsid w:val="00C75441"/>
    <w:rsid w:val="00C94A4F"/>
    <w:rsid w:val="00CA7858"/>
    <w:rsid w:val="00CB3623"/>
    <w:rsid w:val="00CE634D"/>
    <w:rsid w:val="00D6047C"/>
    <w:rsid w:val="00D76FC7"/>
    <w:rsid w:val="00D93431"/>
    <w:rsid w:val="00DB31C8"/>
    <w:rsid w:val="00DD0829"/>
    <w:rsid w:val="00E2133A"/>
    <w:rsid w:val="00E86DB2"/>
    <w:rsid w:val="00EB7401"/>
    <w:rsid w:val="00F0789F"/>
    <w:rsid w:val="00F40DD6"/>
    <w:rsid w:val="00F43565"/>
    <w:rsid w:val="00F75F0A"/>
    <w:rsid w:val="040A8C31"/>
    <w:rsid w:val="05A65C92"/>
    <w:rsid w:val="0B4C7AC5"/>
    <w:rsid w:val="0BCB5EB7"/>
    <w:rsid w:val="0E841B87"/>
    <w:rsid w:val="17132577"/>
    <w:rsid w:val="2EB21FF7"/>
    <w:rsid w:val="360BB127"/>
    <w:rsid w:val="3FB6F01E"/>
    <w:rsid w:val="41F4DA56"/>
    <w:rsid w:val="4C97E1AD"/>
    <w:rsid w:val="567CD982"/>
    <w:rsid w:val="62803B77"/>
    <w:rsid w:val="6D7D395C"/>
    <w:rsid w:val="7300A573"/>
    <w:rsid w:val="74B09658"/>
    <w:rsid w:val="7629D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B3C3"/>
  <w15:docId w15:val="{059B703D-4D03-44E3-9F5E-D43D7D8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014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53A8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014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507"/>
    <w:rsid w:val="0026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AB56986862B4F94A6B608D238A215" ma:contentTypeVersion="4" ma:contentTypeDescription="Create a new document." ma:contentTypeScope="" ma:versionID="22422ad0011b5bb5aa59ff36de5486ca">
  <xsd:schema xmlns:xsd="http://www.w3.org/2001/XMLSchema" xmlns:xs="http://www.w3.org/2001/XMLSchema" xmlns:p="http://schemas.microsoft.com/office/2006/metadata/properties" xmlns:ns2="e45bbbf5-a1d0-4848-af39-c4d3f6f53a09" xmlns:ns3="cd0e9f70-9565-4466-ba8a-c0de7ea0a715" targetNamespace="http://schemas.microsoft.com/office/2006/metadata/properties" ma:root="true" ma:fieldsID="295737888c109af8ac157ee194c64790" ns2:_="" ns3:_="">
    <xsd:import namespace="e45bbbf5-a1d0-4848-af39-c4d3f6f53a09"/>
    <xsd:import namespace="cd0e9f70-9565-4466-ba8a-c0de7ea0a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bbf5-a1d0-4848-af39-c4d3f6f53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e9f70-9565-4466-ba8a-c0de7ea0a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81D5F-ECA1-46A4-AD0F-AEABB3079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A8085-1A4D-487D-A882-DFCD7306EB1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0e9f70-9565-4466-ba8a-c0de7ea0a715"/>
    <ds:schemaRef ds:uri="e45bbbf5-a1d0-4848-af39-c4d3f6f53a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206ECF-CD3D-4A8F-BD29-F721EBA95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bbf5-a1d0-4848-af39-c4d3f6f53a09"/>
    <ds:schemaRef ds:uri="cd0e9f70-9565-4466-ba8a-c0de7ea0a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Semanco Martin</cp:lastModifiedBy>
  <cp:revision>2</cp:revision>
  <dcterms:created xsi:type="dcterms:W3CDTF">2021-10-14T08:59:00Z</dcterms:created>
  <dcterms:modified xsi:type="dcterms:W3CDTF">2021-10-14T08:59:00Z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0x0101003C7AB56986862B4F94A6B608D238A215</vt:lpwstr>
  </property>
</Properties>
</file>