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8246"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4FF99863"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8A3D8AB" w14:textId="77777777" w:rsidTr="00F8185A">
        <w:tc>
          <w:tcPr>
            <w:tcW w:w="9180" w:type="dxa"/>
            <w:gridSpan w:val="11"/>
            <w:tcBorders>
              <w:bottom w:val="single" w:sz="4" w:space="0" w:color="FFFFFF"/>
            </w:tcBorders>
            <w:shd w:val="clear" w:color="auto" w:fill="E2E2E2"/>
          </w:tcPr>
          <w:p w14:paraId="3557E974"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D569716" w14:textId="77777777" w:rsidTr="00F8185A">
        <w:tc>
          <w:tcPr>
            <w:tcW w:w="9180" w:type="dxa"/>
            <w:gridSpan w:val="11"/>
            <w:tcBorders>
              <w:bottom w:val="single" w:sz="4" w:space="0" w:color="FFFFFF"/>
            </w:tcBorders>
            <w:shd w:val="clear" w:color="auto" w:fill="E2E2E2"/>
          </w:tcPr>
          <w:p w14:paraId="10BBBD37" w14:textId="77777777" w:rsidR="001B23B7" w:rsidRPr="00B043B4" w:rsidRDefault="001B23B7" w:rsidP="00F8185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62C696A8" w14:textId="77777777" w:rsidTr="00F8185A">
        <w:tc>
          <w:tcPr>
            <w:tcW w:w="9180" w:type="dxa"/>
            <w:gridSpan w:val="11"/>
            <w:tcBorders>
              <w:top w:val="single" w:sz="4" w:space="0" w:color="FFFFFF"/>
              <w:bottom w:val="single" w:sz="4" w:space="0" w:color="auto"/>
            </w:tcBorders>
          </w:tcPr>
          <w:p w14:paraId="4DEEF1FF" w14:textId="77777777" w:rsidR="001B23B7" w:rsidRPr="00B043B4" w:rsidRDefault="00FC12C0" w:rsidP="00F8185A">
            <w:pPr>
              <w:rPr>
                <w:rFonts w:ascii="Times New Roman" w:eastAsia="Times New Roman" w:hAnsi="Times New Roman" w:cs="Times New Roman"/>
                <w:sz w:val="20"/>
                <w:szCs w:val="20"/>
                <w:lang w:eastAsia="sk-SK"/>
              </w:rPr>
            </w:pPr>
            <w:r>
              <w:rPr>
                <w:rFonts w:ascii="Times" w:hAnsi="Times" w:cs="Times"/>
                <w:sz w:val="20"/>
                <w:szCs w:val="20"/>
              </w:rPr>
              <w:t>Návrh nariadenia vlády Slovenskej republiky, ktorým sa mení a dopĺňa nariadenie vlády Slovenskej republiky č. 268/2006 Z. z. o rozsahu zrážok zo mzdy pri výkone rozhodnutia v znení neskorších predpisov</w:t>
            </w:r>
          </w:p>
        </w:tc>
      </w:tr>
      <w:tr w:rsidR="001B23B7" w:rsidRPr="00B043B4" w14:paraId="33079F9D" w14:textId="77777777" w:rsidTr="00F8185A">
        <w:tc>
          <w:tcPr>
            <w:tcW w:w="9180" w:type="dxa"/>
            <w:gridSpan w:val="11"/>
            <w:tcBorders>
              <w:top w:val="single" w:sz="4" w:space="0" w:color="auto"/>
              <w:left w:val="single" w:sz="4" w:space="0" w:color="auto"/>
              <w:bottom w:val="single" w:sz="4" w:space="0" w:color="FFFFFF"/>
            </w:tcBorders>
            <w:shd w:val="clear" w:color="auto" w:fill="E2E2E2"/>
          </w:tcPr>
          <w:p w14:paraId="778E8EC2" w14:textId="77777777" w:rsidR="001B23B7" w:rsidRPr="00B043B4" w:rsidRDefault="001B23B7" w:rsidP="00F8185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4E00623F" w14:textId="77777777" w:rsidTr="00F8185A">
        <w:tc>
          <w:tcPr>
            <w:tcW w:w="9180" w:type="dxa"/>
            <w:gridSpan w:val="11"/>
            <w:tcBorders>
              <w:top w:val="single" w:sz="4" w:space="0" w:color="FFFFFF"/>
              <w:left w:val="single" w:sz="4" w:space="0" w:color="auto"/>
              <w:bottom w:val="single" w:sz="4" w:space="0" w:color="auto"/>
            </w:tcBorders>
            <w:shd w:val="clear" w:color="auto" w:fill="FFFFFF"/>
          </w:tcPr>
          <w:p w14:paraId="46831CAE" w14:textId="77777777" w:rsidR="001B23B7" w:rsidRPr="00B043B4" w:rsidRDefault="00BF383B" w:rsidP="00F8185A">
            <w:pPr>
              <w:rPr>
                <w:rFonts w:ascii="Times New Roman" w:eastAsia="Times New Roman" w:hAnsi="Times New Roman" w:cs="Times New Roman"/>
                <w:sz w:val="20"/>
                <w:szCs w:val="20"/>
                <w:lang w:eastAsia="sk-SK"/>
              </w:rPr>
            </w:pPr>
            <w:r w:rsidRPr="002860F1">
              <w:rPr>
                <w:rFonts w:ascii="Times" w:hAnsi="Times" w:cs="Times"/>
                <w:sz w:val="20"/>
                <w:szCs w:val="20"/>
              </w:rPr>
              <w:t>Ministerstvo spravodlivosti Slovenskej republiky</w:t>
            </w:r>
          </w:p>
          <w:p w14:paraId="2EF02677" w14:textId="77777777" w:rsidR="001B23B7" w:rsidRPr="00B043B4" w:rsidRDefault="001B23B7" w:rsidP="00F8185A">
            <w:pPr>
              <w:rPr>
                <w:rFonts w:ascii="Times New Roman" w:eastAsia="Times New Roman" w:hAnsi="Times New Roman" w:cs="Times New Roman"/>
                <w:sz w:val="20"/>
                <w:szCs w:val="20"/>
                <w:lang w:eastAsia="sk-SK"/>
              </w:rPr>
            </w:pPr>
          </w:p>
        </w:tc>
      </w:tr>
      <w:tr w:rsidR="001B23B7" w:rsidRPr="00B043B4" w14:paraId="17625A2B" w14:textId="77777777" w:rsidTr="00F8185A">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FC5DB82" w14:textId="77777777" w:rsidR="001B23B7" w:rsidRPr="00B043B4" w:rsidRDefault="001B23B7" w:rsidP="00F8185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482F526" w14:textId="77777777" w:rsidR="001B23B7" w:rsidRPr="00B043B4" w:rsidRDefault="001B23B7" w:rsidP="00F8185A">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F039471" w14:textId="77777777" w:rsidR="001B23B7" w:rsidRPr="00B043B4" w:rsidRDefault="001B23B7" w:rsidP="00F8185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459F8407" w14:textId="77777777" w:rsidTr="00F8185A">
        <w:tc>
          <w:tcPr>
            <w:tcW w:w="4212" w:type="dxa"/>
            <w:gridSpan w:val="2"/>
            <w:vMerge/>
            <w:tcBorders>
              <w:top w:val="nil"/>
              <w:left w:val="single" w:sz="4" w:space="0" w:color="auto"/>
              <w:bottom w:val="single" w:sz="4" w:space="0" w:color="FFFFFF"/>
            </w:tcBorders>
            <w:shd w:val="clear" w:color="auto" w:fill="E2E2E2"/>
          </w:tcPr>
          <w:p w14:paraId="3329D00E" w14:textId="77777777" w:rsidR="001B23B7" w:rsidRPr="00B043B4" w:rsidRDefault="001B23B7" w:rsidP="00F8185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61F77E9" w14:textId="77777777" w:rsidR="001B23B7" w:rsidRPr="00B043B4" w:rsidRDefault="002D4F7B" w:rsidP="00F8185A">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604802C7" w14:textId="77777777" w:rsidR="001B23B7" w:rsidRPr="00B043B4" w:rsidRDefault="001B23B7" w:rsidP="00F8185A">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37E0AC2" w14:textId="77777777" w:rsidTr="00F8185A">
        <w:tc>
          <w:tcPr>
            <w:tcW w:w="4212" w:type="dxa"/>
            <w:gridSpan w:val="2"/>
            <w:vMerge/>
            <w:tcBorders>
              <w:top w:val="nil"/>
              <w:left w:val="single" w:sz="4" w:space="0" w:color="auto"/>
              <w:bottom w:val="single" w:sz="4" w:space="0" w:color="auto"/>
            </w:tcBorders>
            <w:shd w:val="clear" w:color="auto" w:fill="E2E2E2"/>
          </w:tcPr>
          <w:p w14:paraId="1398E46D" w14:textId="77777777" w:rsidR="001B23B7" w:rsidRPr="00B043B4" w:rsidRDefault="001B23B7" w:rsidP="00F8185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B7FE1F1" w14:textId="77777777" w:rsidR="001B23B7" w:rsidRPr="00B043B4" w:rsidRDefault="001B23B7" w:rsidP="00F8185A">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40BCB2C" w14:textId="77777777" w:rsidR="001B23B7" w:rsidRPr="00B043B4" w:rsidRDefault="001B23B7" w:rsidP="00F8185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4448A075" w14:textId="77777777" w:rsidTr="00F8185A">
        <w:tc>
          <w:tcPr>
            <w:tcW w:w="9180" w:type="dxa"/>
            <w:gridSpan w:val="11"/>
            <w:tcBorders>
              <w:top w:val="single" w:sz="4" w:space="0" w:color="auto"/>
              <w:left w:val="single" w:sz="4" w:space="0" w:color="auto"/>
              <w:bottom w:val="single" w:sz="4" w:space="0" w:color="FFFFFF"/>
            </w:tcBorders>
            <w:shd w:val="clear" w:color="auto" w:fill="FFFFFF"/>
          </w:tcPr>
          <w:p w14:paraId="456FA206" w14:textId="77777777" w:rsidR="001B23B7" w:rsidRPr="00B043B4" w:rsidRDefault="001B23B7" w:rsidP="00F8185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66A7893C" w14:textId="77777777" w:rsidR="001B23B7" w:rsidRPr="00B043B4" w:rsidRDefault="001B23B7" w:rsidP="00F8185A">
            <w:pPr>
              <w:rPr>
                <w:rFonts w:ascii="Times New Roman" w:eastAsia="Times New Roman" w:hAnsi="Times New Roman" w:cs="Times New Roman"/>
                <w:sz w:val="20"/>
                <w:szCs w:val="20"/>
                <w:lang w:eastAsia="sk-SK"/>
              </w:rPr>
            </w:pPr>
          </w:p>
        </w:tc>
      </w:tr>
      <w:tr w:rsidR="001B23B7" w:rsidRPr="00B043B4" w14:paraId="4C849D20" w14:textId="77777777" w:rsidTr="00F8185A">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140844B" w14:textId="77777777" w:rsidR="001B23B7" w:rsidRPr="00B043B4" w:rsidRDefault="001B23B7" w:rsidP="00F8185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31FF848" w14:textId="77777777" w:rsidR="001B23B7" w:rsidRPr="002D4F7B" w:rsidRDefault="00BF383B" w:rsidP="00F8185A">
            <w:pPr>
              <w:rPr>
                <w:rFonts w:ascii="Times New Roman" w:eastAsia="Times New Roman" w:hAnsi="Times New Roman" w:cs="Times New Roman"/>
                <w:sz w:val="20"/>
                <w:szCs w:val="20"/>
                <w:lang w:eastAsia="sk-SK"/>
              </w:rPr>
            </w:pPr>
            <w:r w:rsidRPr="002D4F7B">
              <w:rPr>
                <w:rFonts w:ascii="Times New Roman" w:eastAsia="Times New Roman" w:hAnsi="Times New Roman" w:cs="Times New Roman"/>
                <w:sz w:val="20"/>
                <w:szCs w:val="20"/>
                <w:lang w:eastAsia="sk-SK"/>
              </w:rPr>
              <w:t>Jún 2021</w:t>
            </w:r>
          </w:p>
        </w:tc>
      </w:tr>
      <w:tr w:rsidR="001B23B7" w:rsidRPr="00B043B4" w14:paraId="20000C0B" w14:textId="77777777" w:rsidTr="00F8185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68CAC98"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DC60023" w14:textId="77777777" w:rsidR="001B23B7" w:rsidRPr="002D4F7B" w:rsidRDefault="00BF383B" w:rsidP="00FC12C0">
            <w:pPr>
              <w:rPr>
                <w:rFonts w:ascii="Times New Roman" w:eastAsia="Times New Roman" w:hAnsi="Times New Roman" w:cs="Times New Roman"/>
                <w:sz w:val="20"/>
                <w:szCs w:val="20"/>
                <w:lang w:eastAsia="sk-SK"/>
              </w:rPr>
            </w:pPr>
            <w:r w:rsidRPr="002D4F7B">
              <w:rPr>
                <w:rFonts w:ascii="Times New Roman" w:eastAsia="Times New Roman" w:hAnsi="Times New Roman" w:cs="Times New Roman"/>
                <w:sz w:val="20"/>
                <w:szCs w:val="20"/>
                <w:lang w:eastAsia="sk-SK"/>
              </w:rPr>
              <w:t>Jú</w:t>
            </w:r>
            <w:r w:rsidR="00FC12C0">
              <w:rPr>
                <w:rFonts w:ascii="Times New Roman" w:eastAsia="Times New Roman" w:hAnsi="Times New Roman" w:cs="Times New Roman"/>
                <w:sz w:val="20"/>
                <w:szCs w:val="20"/>
                <w:lang w:eastAsia="sk-SK"/>
              </w:rPr>
              <w:t>l</w:t>
            </w:r>
            <w:r w:rsidRPr="002D4F7B">
              <w:rPr>
                <w:rFonts w:ascii="Times New Roman" w:eastAsia="Times New Roman" w:hAnsi="Times New Roman" w:cs="Times New Roman"/>
                <w:sz w:val="20"/>
                <w:szCs w:val="20"/>
                <w:lang w:eastAsia="sk-SK"/>
              </w:rPr>
              <w:t xml:space="preserve"> 2021</w:t>
            </w:r>
          </w:p>
        </w:tc>
      </w:tr>
      <w:tr w:rsidR="001B23B7" w:rsidRPr="00B043B4" w14:paraId="479E5483"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CDAC6DB"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00B96A0"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7F057451" w14:textId="77777777" w:rsidTr="00F8185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1CFE02" w14:textId="77777777" w:rsidR="001B23B7" w:rsidRPr="00B043B4" w:rsidRDefault="001B23B7" w:rsidP="00F8185A">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13495318" w14:textId="77777777" w:rsidR="001B23B7" w:rsidRPr="00B043B4" w:rsidRDefault="001B23B7" w:rsidP="00F8185A">
            <w:pPr>
              <w:rPr>
                <w:rFonts w:ascii="Times New Roman" w:eastAsia="Times New Roman" w:hAnsi="Times New Roman" w:cs="Times New Roman"/>
                <w:i/>
                <w:sz w:val="20"/>
                <w:szCs w:val="20"/>
                <w:lang w:eastAsia="sk-SK"/>
              </w:rPr>
            </w:pPr>
          </w:p>
        </w:tc>
      </w:tr>
      <w:tr w:rsidR="001B23B7" w:rsidRPr="00B043B4" w14:paraId="79961D90" w14:textId="77777777" w:rsidTr="00F8185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F4C34E6"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EC601D0" w14:textId="77777777" w:rsidTr="00F8185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EF91E7E" w14:textId="42249967" w:rsidR="00FC12C0" w:rsidRDefault="00FC12C0" w:rsidP="00FC12C0">
            <w:pPr>
              <w:pStyle w:val="Normlnywebov"/>
              <w:jc w:val="both"/>
              <w:rPr>
                <w:sz w:val="20"/>
                <w:szCs w:val="20"/>
              </w:rPr>
            </w:pPr>
            <w:r>
              <w:rPr>
                <w:sz w:val="20"/>
                <w:szCs w:val="20"/>
              </w:rPr>
              <w:t xml:space="preserve">Aktuálna právna úprava rozsahu zrážok zo mzdy pri výkone exekúcie je predmetom nariadenia vlády Slovenskej republiky č. 268/2006 Z. z. o rozsahu zrážok zo mzdy pri výkone rozhodnutia v znení neskorších predpisov (ďalej len „nariadenie“). Nariadenie upravuje rozsah sumy, ktorá sa nesmie zraziť povinnému z čistej mzdy, prípadne iného príjmu (ďalej len „základná suma“), pričom táto základná suma v súčasnosti predstavuje 100% životného minima na plnoletú fyzickú osobu, a tzv. zrážku bez obmedzenia, t. j. sumu, ktorá sa zrazí zo zvyškovej </w:t>
            </w:r>
            <w:r w:rsidR="009473E6">
              <w:rPr>
                <w:sz w:val="20"/>
                <w:szCs w:val="20"/>
              </w:rPr>
              <w:t xml:space="preserve">čistej </w:t>
            </w:r>
            <w:r w:rsidRPr="00EC5F46">
              <w:rPr>
                <w:sz w:val="20"/>
                <w:szCs w:val="20"/>
              </w:rPr>
              <w:t xml:space="preserve">mzdy povinného </w:t>
            </w:r>
            <w:r>
              <w:rPr>
                <w:sz w:val="20"/>
                <w:szCs w:val="20"/>
              </w:rPr>
              <w:t>(</w:t>
            </w:r>
            <w:r w:rsidRPr="00EC5F46">
              <w:rPr>
                <w:sz w:val="20"/>
                <w:szCs w:val="20"/>
              </w:rPr>
              <w:t>po odpočítaní základnej sumy</w:t>
            </w:r>
            <w:r>
              <w:rPr>
                <w:sz w:val="20"/>
                <w:szCs w:val="20"/>
              </w:rPr>
              <w:t>)</w:t>
            </w:r>
            <w:r w:rsidRPr="00EC5F46">
              <w:rPr>
                <w:sz w:val="20"/>
                <w:szCs w:val="20"/>
              </w:rPr>
              <w:t xml:space="preserve">, ktorá je limitovaná 150 % zo sumy životného minima na plnoletú fyzickú osobu. </w:t>
            </w:r>
          </w:p>
          <w:p w14:paraId="061380F3" w14:textId="14D3A467" w:rsidR="00FC12C0" w:rsidRPr="00FC12C0" w:rsidRDefault="00FC12C0" w:rsidP="00FC12C0">
            <w:pPr>
              <w:pStyle w:val="Normlnywebov"/>
              <w:jc w:val="both"/>
              <w:rPr>
                <w:sz w:val="20"/>
                <w:szCs w:val="20"/>
              </w:rPr>
            </w:pPr>
            <w:r w:rsidRPr="00B04610">
              <w:rPr>
                <w:sz w:val="20"/>
                <w:szCs w:val="20"/>
              </w:rPr>
              <w:t>V súčasnosti vzhľadom na výšku základnej sumy a rozsah zrážky bez obmedzenia možno konštatovať, že zostávajúca časť čistej mzdy, ktorá ostáva povinnému, nezohľadňuje vysoký rast životných nákladov, dopady pandémie COVID-19 najmä na nízkopríjmové domácnosti a domácnosti ohrozené chudobou a</w:t>
            </w:r>
            <w:r w:rsidR="0088224E">
              <w:rPr>
                <w:sz w:val="20"/>
                <w:szCs w:val="20"/>
              </w:rPr>
              <w:t xml:space="preserve"> rovnako tak v mnohých prípadoch nie je dostatočná pre </w:t>
            </w:r>
            <w:r w:rsidRPr="00B04610">
              <w:rPr>
                <w:sz w:val="20"/>
                <w:szCs w:val="20"/>
              </w:rPr>
              <w:t>zabezpeč</w:t>
            </w:r>
            <w:r w:rsidR="0088224E">
              <w:rPr>
                <w:sz w:val="20"/>
                <w:szCs w:val="20"/>
              </w:rPr>
              <w:t>enie dostatočných</w:t>
            </w:r>
            <w:r w:rsidR="00C36901">
              <w:rPr>
                <w:sz w:val="20"/>
                <w:szCs w:val="20"/>
              </w:rPr>
              <w:t xml:space="preserve"> zdroj</w:t>
            </w:r>
            <w:r w:rsidR="0088224E">
              <w:rPr>
                <w:sz w:val="20"/>
                <w:szCs w:val="20"/>
              </w:rPr>
              <w:t>ov</w:t>
            </w:r>
            <w:r w:rsidR="00C36901">
              <w:rPr>
                <w:sz w:val="20"/>
                <w:szCs w:val="20"/>
              </w:rPr>
              <w:t xml:space="preserve"> </w:t>
            </w:r>
            <w:r w:rsidRPr="00B04610">
              <w:rPr>
                <w:sz w:val="20"/>
                <w:szCs w:val="20"/>
              </w:rPr>
              <w:t>na zachovanie dôstojných životných podmienok, uspokojovanie potrieb rodiny a pod. Práve v dôsledku aktuálnej právnej úpravy sú ohrozené nízkopríjmové skupiny obyvateľov a skupiny obyvateľov ohrozených chudobou, nakoľko neexistuje v súčasnom stave „nádej“ na zlepšenie životných podmienok, a to ani v prípade, ak by títo povinní získali výhodnejšie zamestnanie. Aktuálna právna úprava rozsahu zrážok spôsobuje stav, kedy sa povinný radšej nezamestná alebo vykonáva práce mimo legálneho trhu práce. Ako príklad možno uviesť povinného, ktorý vyživuje dve maloleté deti, kedy pri čistej mzde 700 eur povinnému ostáva 5</w:t>
            </w:r>
            <w:r w:rsidR="00B04610" w:rsidRPr="00167F85">
              <w:rPr>
                <w:sz w:val="20"/>
                <w:szCs w:val="20"/>
              </w:rPr>
              <w:t>45,12</w:t>
            </w:r>
            <w:r w:rsidRPr="00B04610">
              <w:rPr>
                <w:sz w:val="20"/>
                <w:szCs w:val="20"/>
              </w:rPr>
              <w:t xml:space="preserve"> eur a pri čistej mzde vo výške 1500 eur povinnému ostáva rovnako tak 5</w:t>
            </w:r>
            <w:r w:rsidR="00B04610" w:rsidRPr="00167F85">
              <w:rPr>
                <w:sz w:val="20"/>
                <w:szCs w:val="20"/>
              </w:rPr>
              <w:t>45,12</w:t>
            </w:r>
            <w:r w:rsidRPr="00B04610">
              <w:rPr>
                <w:sz w:val="20"/>
                <w:szCs w:val="20"/>
              </w:rPr>
              <w:t xml:space="preserve"> eur.</w:t>
            </w:r>
            <w:r w:rsidRPr="00FC12C0">
              <w:rPr>
                <w:sz w:val="20"/>
                <w:szCs w:val="20"/>
              </w:rPr>
              <w:t xml:space="preserve"> </w:t>
            </w:r>
          </w:p>
          <w:p w14:paraId="3D20038C" w14:textId="77777777" w:rsidR="001B23B7" w:rsidRPr="009473E6" w:rsidRDefault="00FC12C0" w:rsidP="00167F85">
            <w:pPr>
              <w:jc w:val="both"/>
              <w:rPr>
                <w:rFonts w:ascii="Times New Roman" w:hAnsi="Times New Roman" w:cs="Times New Roman"/>
                <w:sz w:val="20"/>
                <w:szCs w:val="20"/>
              </w:rPr>
            </w:pPr>
            <w:r w:rsidRPr="00FC12C0">
              <w:rPr>
                <w:rFonts w:ascii="Times New Roman" w:hAnsi="Times New Roman" w:cs="Times New Roman"/>
                <w:sz w:val="20"/>
                <w:szCs w:val="20"/>
              </w:rPr>
              <w:t xml:space="preserve">Tento stav dlhodobo spôsobuje </w:t>
            </w:r>
            <w:proofErr w:type="spellStart"/>
            <w:r w:rsidRPr="00FC12C0">
              <w:rPr>
                <w:rFonts w:ascii="Times New Roman" w:hAnsi="Times New Roman" w:cs="Times New Roman"/>
                <w:sz w:val="20"/>
                <w:szCs w:val="20"/>
              </w:rPr>
              <w:t>demotiváciu</w:t>
            </w:r>
            <w:proofErr w:type="spellEnd"/>
            <w:r w:rsidRPr="00FC12C0">
              <w:rPr>
                <w:rFonts w:ascii="Times New Roman" w:hAnsi="Times New Roman" w:cs="Times New Roman"/>
                <w:sz w:val="20"/>
                <w:szCs w:val="20"/>
              </w:rPr>
              <w:t xml:space="preserve"> osôb, voči ktorým je vedené exekučné konanie, zamestnať sa a to aj napriek tomu, že majú napríklad výhodnú pracovnú ponuku. Ďalej možno konštatovať, že tento stav taktiež prehlbuje chudobu a znemožňuje povinným zaradiť sa na trh práce, čím v konečnom dôsledku dochádza aj k znemožneniu vymoženia a uspokojenia pohľadávky oprávneného, teda v konečnom dôsledku má tento stav aj negatívny vplyv na </w:t>
            </w:r>
            <w:r w:rsidRPr="009473E6">
              <w:rPr>
                <w:rFonts w:ascii="Times New Roman" w:hAnsi="Times New Roman" w:cs="Times New Roman"/>
                <w:sz w:val="20"/>
                <w:szCs w:val="20"/>
              </w:rPr>
              <w:t xml:space="preserve">podnikateľské prostredie. </w:t>
            </w:r>
          </w:p>
          <w:p w14:paraId="35468E18" w14:textId="04881170" w:rsidR="009473E6" w:rsidRPr="009473E6" w:rsidRDefault="009473E6" w:rsidP="009473E6">
            <w:pPr>
              <w:jc w:val="both"/>
              <w:rPr>
                <w:rFonts w:ascii="Times New Roman" w:eastAsia="Times New Roman" w:hAnsi="Times New Roman" w:cs="Times New Roman"/>
                <w:b/>
                <w:sz w:val="20"/>
                <w:szCs w:val="20"/>
                <w:lang w:eastAsia="sk-SK"/>
              </w:rPr>
            </w:pPr>
          </w:p>
        </w:tc>
      </w:tr>
      <w:tr w:rsidR="001B23B7" w:rsidRPr="00B043B4" w14:paraId="6C929DFD" w14:textId="77777777" w:rsidTr="00F8185A">
        <w:tc>
          <w:tcPr>
            <w:tcW w:w="9180" w:type="dxa"/>
            <w:gridSpan w:val="11"/>
            <w:tcBorders>
              <w:top w:val="single" w:sz="4" w:space="0" w:color="auto"/>
              <w:left w:val="single" w:sz="4" w:space="0" w:color="auto"/>
              <w:bottom w:val="nil"/>
              <w:right w:val="single" w:sz="4" w:space="0" w:color="auto"/>
            </w:tcBorders>
            <w:shd w:val="clear" w:color="auto" w:fill="E2E2E2"/>
          </w:tcPr>
          <w:p w14:paraId="3D407343"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1852B9B0" w14:textId="77777777" w:rsidTr="00F8185A">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E91909E" w14:textId="1405648F" w:rsidR="0088224E" w:rsidRPr="0088224E" w:rsidRDefault="0088224E" w:rsidP="0088224E">
            <w:pPr>
              <w:jc w:val="both"/>
              <w:rPr>
                <w:rFonts w:ascii="Times New Roman" w:hAnsi="Times New Roman" w:cs="Times New Roman"/>
                <w:sz w:val="20"/>
                <w:szCs w:val="20"/>
              </w:rPr>
            </w:pPr>
            <w:r w:rsidRPr="0088224E">
              <w:rPr>
                <w:rFonts w:ascii="Times New Roman" w:hAnsi="Times New Roman" w:cs="Times New Roman"/>
                <w:sz w:val="20"/>
                <w:szCs w:val="20"/>
              </w:rPr>
              <w:t xml:space="preserve">Cieľom návrhu nariadenia je upraviť rozsah zrážok zo mzdy a iných príjmov (ďalej len „mzda“) v exekúcii tak, aby suma, ktorá sa nesmie zraziť povinnému zo mzdy v exekučnom konaní zohľadňovala vysoký rast životných nákladov alebo prípadné negatívne dopady pandémie COVID-19 na finančnú stabilitu obyvateľstva. Navrhovaná právna úprava má motivovať povinných zaradiť sa na trh práce a uspokojiť pohľadávky oprávnených za súčasného zachovania príjmu povinného v takej výške, ktorý je potrebný pre zachovanie dôstojného života povinného, zabezpečovanie potrieb rodiny a domácností. Sekundárnym cieľom je aj dosiahnutie uspokojenia tých pohľadávok, ktoré by inak boli nedobytné z dôvodu, že povinný nemá majetok a nechce sa zamestnať (aj napriek tomu, že môže) práve z obavy vysokých exekučných zrážok zo mzdy. Je potrebné zdôrazniť, že </w:t>
            </w:r>
            <w:r w:rsidRPr="0088224E">
              <w:rPr>
                <w:rFonts w:ascii="Times New Roman" w:hAnsi="Times New Roman" w:cs="Times New Roman"/>
                <w:sz w:val="20"/>
                <w:szCs w:val="20"/>
              </w:rPr>
              <w:lastRenderedPageBreak/>
              <w:t xml:space="preserve">navrhovaná právna úprava bude zohľadňovať explicitne aj charakter pohľadávky, t. j. zvýšenie základnej sumy sa týka neprednostných pohľadávok. </w:t>
            </w:r>
          </w:p>
          <w:p w14:paraId="40B50E76" w14:textId="77777777" w:rsidR="003770D4" w:rsidRPr="0088224E" w:rsidRDefault="003770D4" w:rsidP="00FC12C0">
            <w:pPr>
              <w:jc w:val="both"/>
              <w:rPr>
                <w:rFonts w:ascii="Times New Roman" w:hAnsi="Times New Roman" w:cs="Times New Roman"/>
                <w:sz w:val="20"/>
                <w:szCs w:val="20"/>
              </w:rPr>
            </w:pPr>
          </w:p>
          <w:p w14:paraId="053F1F8F" w14:textId="3D7D1F45" w:rsidR="00FC12C0" w:rsidRPr="00FC12C0" w:rsidRDefault="00FC12C0" w:rsidP="00FC12C0">
            <w:pPr>
              <w:jc w:val="both"/>
              <w:rPr>
                <w:rFonts w:ascii="Times New Roman" w:hAnsi="Times New Roman" w:cs="Times New Roman"/>
                <w:sz w:val="20"/>
                <w:szCs w:val="20"/>
              </w:rPr>
            </w:pPr>
            <w:r w:rsidRPr="0088224E">
              <w:rPr>
                <w:rFonts w:ascii="Times New Roman" w:hAnsi="Times New Roman" w:cs="Times New Roman"/>
                <w:sz w:val="20"/>
                <w:szCs w:val="20"/>
              </w:rPr>
              <w:t>Podľa platnej právnej úpravy predstavuje základná suma 100</w:t>
            </w:r>
            <w:r w:rsidR="003770D4">
              <w:rPr>
                <w:rFonts w:ascii="Times New Roman" w:hAnsi="Times New Roman" w:cs="Times New Roman"/>
                <w:sz w:val="20"/>
                <w:szCs w:val="20"/>
              </w:rPr>
              <w:t xml:space="preserve"> </w:t>
            </w:r>
            <w:r w:rsidRPr="00FC12C0">
              <w:rPr>
                <w:rFonts w:ascii="Times New Roman" w:hAnsi="Times New Roman" w:cs="Times New Roman"/>
                <w:sz w:val="20"/>
                <w:szCs w:val="20"/>
              </w:rPr>
              <w:t xml:space="preserve">% životného minima na plnoletú fyzickú osobu. Do tejto základnej sumy sa započítava aj suma určená pre osobu </w:t>
            </w:r>
            <w:r w:rsidRPr="00FA06B3">
              <w:rPr>
                <w:rFonts w:ascii="Times New Roman" w:hAnsi="Times New Roman" w:cs="Times New Roman"/>
                <w:sz w:val="20"/>
                <w:szCs w:val="20"/>
              </w:rPr>
              <w:t>vyživovanú povinným (napr. manželka, deti) vo výške 25 % zo životného minima na plnoletú fyzickú osobu.</w:t>
            </w:r>
            <w:r w:rsidRPr="00FC12C0">
              <w:rPr>
                <w:rFonts w:ascii="Times New Roman" w:hAnsi="Times New Roman" w:cs="Times New Roman"/>
                <w:sz w:val="20"/>
                <w:szCs w:val="20"/>
              </w:rPr>
              <w:t xml:space="preserve"> Napríklad, ak ide o jedného povinného, základná suma je vo výške 2</w:t>
            </w:r>
            <w:r w:rsidR="00B04610">
              <w:rPr>
                <w:rFonts w:ascii="Times New Roman" w:hAnsi="Times New Roman" w:cs="Times New Roman"/>
                <w:sz w:val="20"/>
                <w:szCs w:val="20"/>
              </w:rPr>
              <w:t>18,06</w:t>
            </w:r>
            <w:r w:rsidRPr="00FC12C0">
              <w:rPr>
                <w:rFonts w:ascii="Times New Roman" w:hAnsi="Times New Roman" w:cs="Times New Roman"/>
                <w:sz w:val="20"/>
                <w:szCs w:val="20"/>
              </w:rPr>
              <w:t xml:space="preserve"> eur, ak ide o jedného povinného s jednou </w:t>
            </w:r>
            <w:r w:rsidRPr="00FA06B3">
              <w:rPr>
                <w:rFonts w:ascii="Times New Roman" w:hAnsi="Times New Roman" w:cs="Times New Roman"/>
                <w:sz w:val="20"/>
                <w:szCs w:val="20"/>
              </w:rPr>
              <w:t>vyživovanou osobou</w:t>
            </w:r>
            <w:r w:rsidRPr="00FC12C0">
              <w:rPr>
                <w:rFonts w:ascii="Times New Roman" w:hAnsi="Times New Roman" w:cs="Times New Roman"/>
                <w:sz w:val="20"/>
                <w:szCs w:val="20"/>
              </w:rPr>
              <w:t xml:space="preserve"> je základná suma vo výške 2</w:t>
            </w:r>
            <w:r w:rsidR="00B04610">
              <w:rPr>
                <w:rFonts w:ascii="Times New Roman" w:hAnsi="Times New Roman" w:cs="Times New Roman"/>
                <w:sz w:val="20"/>
                <w:szCs w:val="20"/>
              </w:rPr>
              <w:t>72,56</w:t>
            </w:r>
            <w:r w:rsidRPr="00FC12C0">
              <w:rPr>
                <w:rFonts w:ascii="Times New Roman" w:hAnsi="Times New Roman" w:cs="Times New Roman"/>
                <w:sz w:val="20"/>
                <w:szCs w:val="20"/>
              </w:rPr>
              <w:t xml:space="preserve"> eur a v prípade jedného povinného s dvoma vy</w:t>
            </w:r>
            <w:r w:rsidRPr="00FA06B3">
              <w:rPr>
                <w:rFonts w:ascii="Times New Roman" w:hAnsi="Times New Roman" w:cs="Times New Roman"/>
                <w:sz w:val="20"/>
                <w:szCs w:val="20"/>
              </w:rPr>
              <w:t>živovanými</w:t>
            </w:r>
            <w:r w:rsidRPr="00FC12C0">
              <w:rPr>
                <w:rFonts w:ascii="Times New Roman" w:hAnsi="Times New Roman" w:cs="Times New Roman"/>
                <w:sz w:val="20"/>
                <w:szCs w:val="20"/>
              </w:rPr>
              <w:t xml:space="preserve"> osobami je základná suma vo výške 32</w:t>
            </w:r>
            <w:r w:rsidR="00B04610">
              <w:rPr>
                <w:rFonts w:ascii="Times New Roman" w:hAnsi="Times New Roman" w:cs="Times New Roman"/>
                <w:sz w:val="20"/>
                <w:szCs w:val="20"/>
              </w:rPr>
              <w:t>7,09</w:t>
            </w:r>
            <w:r w:rsidRPr="00FC12C0">
              <w:rPr>
                <w:rFonts w:ascii="Times New Roman" w:hAnsi="Times New Roman" w:cs="Times New Roman"/>
                <w:sz w:val="20"/>
                <w:szCs w:val="20"/>
              </w:rPr>
              <w:t xml:space="preserve"> eur. Táto základná suma ostáva povinnému vždy. Následne sa však zostávajúca časť </w:t>
            </w:r>
            <w:r w:rsidR="003770D4">
              <w:rPr>
                <w:rFonts w:ascii="Times New Roman" w:hAnsi="Times New Roman" w:cs="Times New Roman"/>
                <w:sz w:val="20"/>
                <w:szCs w:val="20"/>
              </w:rPr>
              <w:t xml:space="preserve">čistej </w:t>
            </w:r>
            <w:r w:rsidRPr="00FC12C0">
              <w:rPr>
                <w:rFonts w:ascii="Times New Roman" w:hAnsi="Times New Roman" w:cs="Times New Roman"/>
                <w:sz w:val="20"/>
                <w:szCs w:val="20"/>
              </w:rPr>
              <w:t>mzdy posudzuje z hľadiska tzv. zrážky bez obmedzenia, ktorá je v súčasnosti vo výške 150 % životného minima, t. j. 32</w:t>
            </w:r>
            <w:r w:rsidR="00B04610">
              <w:rPr>
                <w:rFonts w:ascii="Times New Roman" w:hAnsi="Times New Roman" w:cs="Times New Roman"/>
                <w:sz w:val="20"/>
                <w:szCs w:val="20"/>
              </w:rPr>
              <w:t>7,09</w:t>
            </w:r>
            <w:r w:rsidRPr="00FC12C0">
              <w:rPr>
                <w:rFonts w:ascii="Times New Roman" w:hAnsi="Times New Roman" w:cs="Times New Roman"/>
                <w:sz w:val="20"/>
                <w:szCs w:val="20"/>
              </w:rPr>
              <w:t xml:space="preserve"> eur. </w:t>
            </w:r>
          </w:p>
          <w:p w14:paraId="61AA5417" w14:textId="77777777" w:rsidR="00FC12C0" w:rsidRPr="00FC12C0" w:rsidRDefault="00FC12C0" w:rsidP="00FC12C0">
            <w:pPr>
              <w:jc w:val="both"/>
              <w:rPr>
                <w:rFonts w:ascii="Times New Roman" w:hAnsi="Times New Roman" w:cs="Times New Roman"/>
                <w:sz w:val="20"/>
                <w:szCs w:val="20"/>
              </w:rPr>
            </w:pPr>
          </w:p>
          <w:p w14:paraId="5E68D776" w14:textId="44CD3950" w:rsidR="00FC12C0" w:rsidRDefault="00FC12C0" w:rsidP="00FC12C0">
            <w:pPr>
              <w:jc w:val="both"/>
              <w:rPr>
                <w:rFonts w:ascii="Times New Roman" w:hAnsi="Times New Roman" w:cs="Times New Roman"/>
                <w:sz w:val="20"/>
                <w:szCs w:val="20"/>
              </w:rPr>
            </w:pPr>
            <w:r w:rsidRPr="00FC12C0">
              <w:rPr>
                <w:rFonts w:ascii="Times New Roman" w:hAnsi="Times New Roman" w:cs="Times New Roman"/>
                <w:sz w:val="20"/>
                <w:szCs w:val="20"/>
              </w:rPr>
              <w:t>Príkladný výpočet s uvedením čistej mzdy, ktorá ostáva povinnému po vykonaní zrážky zo mzdy alebo iného príjmu pri výkone exekúcie zrážkami zo mzdy alebo iných príjmov na uspokojenie neprednostnej pohľadávky podľa aktuálnej právnej úpravy, je uvedený v nasledujúcej tabuľke:</w:t>
            </w:r>
          </w:p>
          <w:p w14:paraId="101C8157" w14:textId="309AA0D3" w:rsidR="00727D64" w:rsidRDefault="00727D64" w:rsidP="00FC12C0">
            <w:pPr>
              <w:jc w:val="both"/>
              <w:rPr>
                <w:rFonts w:ascii="Times New Roman" w:hAnsi="Times New Roman" w:cs="Times New Roman"/>
                <w:sz w:val="20"/>
                <w:szCs w:val="20"/>
              </w:rPr>
            </w:pPr>
          </w:p>
          <w:p w14:paraId="37189DAA" w14:textId="77777777" w:rsidR="00727D64" w:rsidRPr="00FC12C0" w:rsidRDefault="00727D64" w:rsidP="00FC12C0">
            <w:pPr>
              <w:jc w:val="both"/>
              <w:rPr>
                <w:rFonts w:ascii="Times New Roman" w:hAnsi="Times New Roman" w:cs="Times New Roman"/>
                <w:sz w:val="20"/>
                <w:szCs w:val="20"/>
              </w:rPr>
            </w:pPr>
          </w:p>
          <w:tbl>
            <w:tblPr>
              <w:tblStyle w:val="Mriekatabuky"/>
              <w:tblW w:w="8284" w:type="dxa"/>
              <w:tblLayout w:type="fixed"/>
              <w:tblLook w:val="04A0" w:firstRow="1" w:lastRow="0" w:firstColumn="1" w:lastColumn="0" w:noHBand="0" w:noVBand="1"/>
            </w:tblPr>
            <w:tblGrid>
              <w:gridCol w:w="1109"/>
              <w:gridCol w:w="1326"/>
              <w:gridCol w:w="1893"/>
              <w:gridCol w:w="1984"/>
              <w:gridCol w:w="1972"/>
            </w:tblGrid>
            <w:tr w:rsidR="00FC12C0" w:rsidRPr="00727D64" w14:paraId="5A98F917" w14:textId="77777777" w:rsidTr="00727D64">
              <w:tc>
                <w:tcPr>
                  <w:tcW w:w="1109" w:type="dxa"/>
                  <w:shd w:val="clear" w:color="auto" w:fill="auto"/>
                </w:tcPr>
                <w:p w14:paraId="04E6622F" w14:textId="77777777" w:rsidR="00727D64" w:rsidRPr="00727D64" w:rsidRDefault="00FC12C0" w:rsidP="00FC12C0">
                  <w:pPr>
                    <w:jc w:val="both"/>
                    <w:rPr>
                      <w:rFonts w:ascii="Times New Roman" w:hAnsi="Times New Roman" w:cs="Times New Roman"/>
                      <w:bCs/>
                      <w:sz w:val="16"/>
                      <w:szCs w:val="16"/>
                    </w:rPr>
                  </w:pPr>
                  <w:r w:rsidRPr="00727D64">
                    <w:rPr>
                      <w:rFonts w:ascii="Times New Roman" w:hAnsi="Times New Roman" w:cs="Times New Roman"/>
                      <w:bCs/>
                      <w:sz w:val="16"/>
                      <w:szCs w:val="16"/>
                    </w:rPr>
                    <w:t>Čistá mzda</w:t>
                  </w:r>
                </w:p>
                <w:p w14:paraId="771EB34A" w14:textId="756A2A51" w:rsidR="00FC12C0" w:rsidRPr="00727D64" w:rsidRDefault="00727D64" w:rsidP="00FC12C0">
                  <w:pPr>
                    <w:jc w:val="both"/>
                    <w:rPr>
                      <w:rFonts w:ascii="Times New Roman" w:hAnsi="Times New Roman" w:cs="Times New Roman"/>
                      <w:bCs/>
                      <w:sz w:val="16"/>
                      <w:szCs w:val="16"/>
                    </w:rPr>
                  </w:pPr>
                  <w:r w:rsidRPr="00727D64">
                    <w:rPr>
                      <w:rFonts w:ascii="Times New Roman" w:hAnsi="Times New Roman" w:cs="Times New Roman"/>
                      <w:sz w:val="16"/>
                      <w:szCs w:val="16"/>
                    </w:rPr>
                    <w:t>(eur)</w:t>
                  </w:r>
                </w:p>
              </w:tc>
              <w:tc>
                <w:tcPr>
                  <w:tcW w:w="1326" w:type="dxa"/>
                  <w:shd w:val="clear" w:color="auto" w:fill="auto"/>
                </w:tcPr>
                <w:p w14:paraId="0216772B" w14:textId="77777777" w:rsidR="00FC12C0" w:rsidRDefault="00727D64" w:rsidP="00FC12C0">
                  <w:pPr>
                    <w:jc w:val="both"/>
                    <w:rPr>
                      <w:rFonts w:ascii="Times New Roman" w:hAnsi="Times New Roman" w:cs="Times New Roman"/>
                      <w:bCs/>
                      <w:sz w:val="16"/>
                      <w:szCs w:val="16"/>
                    </w:rPr>
                  </w:pPr>
                  <w:r>
                    <w:rPr>
                      <w:rFonts w:ascii="Times New Roman" w:hAnsi="Times New Roman" w:cs="Times New Roman"/>
                      <w:bCs/>
                      <w:sz w:val="16"/>
                      <w:szCs w:val="16"/>
                    </w:rPr>
                    <w:t>Povinný bez vyživovaných osôb</w:t>
                  </w:r>
                </w:p>
                <w:p w14:paraId="4200C065" w14:textId="32E65E13" w:rsidR="00727D64" w:rsidRPr="00727D64" w:rsidRDefault="00727D64" w:rsidP="00FC12C0">
                  <w:pPr>
                    <w:jc w:val="both"/>
                    <w:rPr>
                      <w:rFonts w:ascii="Times New Roman" w:hAnsi="Times New Roman" w:cs="Times New Roman"/>
                      <w:bCs/>
                      <w:sz w:val="16"/>
                      <w:szCs w:val="16"/>
                    </w:rPr>
                  </w:pPr>
                  <w:r>
                    <w:rPr>
                      <w:rFonts w:ascii="Times New Roman" w:hAnsi="Times New Roman" w:cs="Times New Roman"/>
                      <w:sz w:val="16"/>
                      <w:szCs w:val="16"/>
                    </w:rPr>
                    <w:t>(eur)</w:t>
                  </w:r>
                </w:p>
              </w:tc>
              <w:tc>
                <w:tcPr>
                  <w:tcW w:w="1893" w:type="dxa"/>
                  <w:shd w:val="clear" w:color="auto" w:fill="auto"/>
                </w:tcPr>
                <w:p w14:paraId="1D363CD0" w14:textId="3D6EF3FC" w:rsidR="00727D64" w:rsidRDefault="00727D64" w:rsidP="00FC12C0">
                  <w:pPr>
                    <w:ind w:right="-199"/>
                    <w:jc w:val="both"/>
                    <w:rPr>
                      <w:rFonts w:ascii="Times New Roman" w:hAnsi="Times New Roman" w:cs="Times New Roman"/>
                      <w:bCs/>
                      <w:sz w:val="16"/>
                      <w:szCs w:val="16"/>
                    </w:rPr>
                  </w:pPr>
                  <w:r>
                    <w:rPr>
                      <w:rFonts w:ascii="Times New Roman" w:hAnsi="Times New Roman" w:cs="Times New Roman"/>
                      <w:bCs/>
                      <w:sz w:val="16"/>
                      <w:szCs w:val="16"/>
                    </w:rPr>
                    <w:t>Povinný s jednou</w:t>
                  </w:r>
                </w:p>
                <w:p w14:paraId="6FE26175" w14:textId="77777777" w:rsidR="00FC12C0" w:rsidRDefault="00727D64" w:rsidP="00FC12C0">
                  <w:pPr>
                    <w:ind w:right="-199"/>
                    <w:jc w:val="both"/>
                    <w:rPr>
                      <w:rFonts w:ascii="Times New Roman" w:hAnsi="Times New Roman" w:cs="Times New Roman"/>
                      <w:bCs/>
                      <w:sz w:val="16"/>
                      <w:szCs w:val="16"/>
                    </w:rPr>
                  </w:pPr>
                  <w:r>
                    <w:rPr>
                      <w:rFonts w:ascii="Times New Roman" w:hAnsi="Times New Roman" w:cs="Times New Roman"/>
                      <w:bCs/>
                      <w:sz w:val="16"/>
                      <w:szCs w:val="16"/>
                    </w:rPr>
                    <w:t>vyživovanou osobou</w:t>
                  </w:r>
                </w:p>
                <w:p w14:paraId="3C9478DF" w14:textId="5AC1A6E9" w:rsidR="00727D64" w:rsidRPr="00727D64" w:rsidRDefault="00727D64" w:rsidP="00FC12C0">
                  <w:pPr>
                    <w:ind w:right="-199"/>
                    <w:jc w:val="both"/>
                    <w:rPr>
                      <w:rFonts w:ascii="Times New Roman" w:hAnsi="Times New Roman" w:cs="Times New Roman"/>
                      <w:bCs/>
                      <w:sz w:val="16"/>
                      <w:szCs w:val="16"/>
                    </w:rPr>
                  </w:pPr>
                  <w:r>
                    <w:rPr>
                      <w:rFonts w:ascii="Times New Roman" w:hAnsi="Times New Roman" w:cs="Times New Roman"/>
                      <w:sz w:val="16"/>
                      <w:szCs w:val="16"/>
                    </w:rPr>
                    <w:t>(eur)</w:t>
                  </w:r>
                </w:p>
              </w:tc>
              <w:tc>
                <w:tcPr>
                  <w:tcW w:w="1984" w:type="dxa"/>
                  <w:shd w:val="clear" w:color="auto" w:fill="auto"/>
                </w:tcPr>
                <w:p w14:paraId="26EE67ED" w14:textId="4FCDD290" w:rsidR="00FC12C0" w:rsidRDefault="00727D64" w:rsidP="00727D64">
                  <w:pPr>
                    <w:jc w:val="both"/>
                    <w:rPr>
                      <w:rFonts w:ascii="Times New Roman" w:hAnsi="Times New Roman" w:cs="Times New Roman"/>
                      <w:bCs/>
                      <w:sz w:val="16"/>
                      <w:szCs w:val="16"/>
                    </w:rPr>
                  </w:pPr>
                  <w:r>
                    <w:rPr>
                      <w:rFonts w:ascii="Times New Roman" w:hAnsi="Times New Roman" w:cs="Times New Roman"/>
                      <w:bCs/>
                      <w:sz w:val="16"/>
                      <w:szCs w:val="16"/>
                    </w:rPr>
                    <w:t xml:space="preserve">Povinný s dvoma vyživovanými osobami (napr. </w:t>
                  </w:r>
                  <w:r w:rsidR="00FC12C0" w:rsidRPr="00727D64">
                    <w:rPr>
                      <w:rFonts w:ascii="Times New Roman" w:hAnsi="Times New Roman" w:cs="Times New Roman"/>
                      <w:bCs/>
                      <w:sz w:val="16"/>
                      <w:szCs w:val="16"/>
                    </w:rPr>
                    <w:t>dieťa</w:t>
                  </w:r>
                  <w:r>
                    <w:rPr>
                      <w:rFonts w:ascii="Times New Roman" w:hAnsi="Times New Roman" w:cs="Times New Roman"/>
                      <w:bCs/>
                      <w:sz w:val="16"/>
                      <w:szCs w:val="16"/>
                    </w:rPr>
                    <w:t xml:space="preserve"> a manžel alebo  dve deti</w:t>
                  </w:r>
                  <w:r w:rsidR="00FC12C0" w:rsidRPr="00727D64">
                    <w:rPr>
                      <w:rFonts w:ascii="Times New Roman" w:hAnsi="Times New Roman" w:cs="Times New Roman"/>
                      <w:bCs/>
                      <w:sz w:val="16"/>
                      <w:szCs w:val="16"/>
                    </w:rPr>
                    <w:t>)</w:t>
                  </w:r>
                </w:p>
                <w:p w14:paraId="7FA25370" w14:textId="2315BCCD" w:rsidR="00727D64" w:rsidRPr="00727D64" w:rsidRDefault="00727D64" w:rsidP="00727D64">
                  <w:pPr>
                    <w:jc w:val="both"/>
                    <w:rPr>
                      <w:rFonts w:ascii="Times New Roman" w:hAnsi="Times New Roman" w:cs="Times New Roman"/>
                      <w:bCs/>
                      <w:sz w:val="16"/>
                      <w:szCs w:val="16"/>
                    </w:rPr>
                  </w:pPr>
                  <w:r>
                    <w:rPr>
                      <w:rFonts w:ascii="Times New Roman" w:hAnsi="Times New Roman" w:cs="Times New Roman"/>
                      <w:sz w:val="16"/>
                      <w:szCs w:val="16"/>
                    </w:rPr>
                    <w:t>(eur)</w:t>
                  </w:r>
                </w:p>
              </w:tc>
              <w:tc>
                <w:tcPr>
                  <w:tcW w:w="1972" w:type="dxa"/>
                  <w:shd w:val="clear" w:color="auto" w:fill="auto"/>
                </w:tcPr>
                <w:p w14:paraId="49C97F06" w14:textId="0228DE85" w:rsidR="00FC12C0" w:rsidRDefault="00727D64" w:rsidP="00FC12C0">
                  <w:pPr>
                    <w:jc w:val="both"/>
                    <w:rPr>
                      <w:rFonts w:ascii="Times New Roman" w:hAnsi="Times New Roman" w:cs="Times New Roman"/>
                      <w:bCs/>
                      <w:sz w:val="16"/>
                      <w:szCs w:val="16"/>
                    </w:rPr>
                  </w:pPr>
                  <w:r>
                    <w:rPr>
                      <w:rFonts w:ascii="Times New Roman" w:hAnsi="Times New Roman" w:cs="Times New Roman"/>
                      <w:bCs/>
                      <w:sz w:val="16"/>
                      <w:szCs w:val="16"/>
                    </w:rPr>
                    <w:t>Povinný (dôchodca) a jedna</w:t>
                  </w:r>
                  <w:r w:rsidR="00FC12C0" w:rsidRPr="00727D64">
                    <w:rPr>
                      <w:rFonts w:ascii="Times New Roman" w:hAnsi="Times New Roman" w:cs="Times New Roman"/>
                      <w:bCs/>
                      <w:sz w:val="16"/>
                      <w:szCs w:val="16"/>
                    </w:rPr>
                    <w:t xml:space="preserve"> vyživovaná osoba</w:t>
                  </w:r>
                  <w:r>
                    <w:rPr>
                      <w:rFonts w:ascii="Times New Roman" w:hAnsi="Times New Roman" w:cs="Times New Roman"/>
                      <w:bCs/>
                      <w:sz w:val="16"/>
                      <w:szCs w:val="16"/>
                    </w:rPr>
                    <w:t xml:space="preserve"> (napr. manžel)</w:t>
                  </w:r>
                </w:p>
                <w:p w14:paraId="1167EA6C" w14:textId="521AE770" w:rsidR="00727D64" w:rsidRPr="00727D64" w:rsidRDefault="00727D64" w:rsidP="00FC12C0">
                  <w:pPr>
                    <w:jc w:val="both"/>
                    <w:rPr>
                      <w:rFonts w:ascii="Times New Roman" w:hAnsi="Times New Roman" w:cs="Times New Roman"/>
                      <w:bCs/>
                      <w:sz w:val="16"/>
                      <w:szCs w:val="16"/>
                    </w:rPr>
                  </w:pPr>
                  <w:r>
                    <w:rPr>
                      <w:rFonts w:ascii="Times New Roman" w:hAnsi="Times New Roman" w:cs="Times New Roman"/>
                      <w:sz w:val="16"/>
                      <w:szCs w:val="16"/>
                    </w:rPr>
                    <w:t>(eur)</w:t>
                  </w:r>
                </w:p>
              </w:tc>
            </w:tr>
            <w:tr w:rsidR="00FC12C0" w:rsidRPr="00727D64" w14:paraId="5F2F6808" w14:textId="77777777" w:rsidTr="00727D64">
              <w:tc>
                <w:tcPr>
                  <w:tcW w:w="1109" w:type="dxa"/>
                  <w:shd w:val="clear" w:color="auto" w:fill="auto"/>
                </w:tcPr>
                <w:p w14:paraId="3998C89D" w14:textId="25601B75" w:rsidR="00FC12C0" w:rsidRPr="00727D64" w:rsidRDefault="00727D64" w:rsidP="00727D64">
                  <w:pPr>
                    <w:jc w:val="right"/>
                    <w:rPr>
                      <w:rFonts w:ascii="Times New Roman" w:hAnsi="Times New Roman" w:cs="Times New Roman"/>
                      <w:bCs/>
                      <w:sz w:val="16"/>
                      <w:szCs w:val="16"/>
                    </w:rPr>
                  </w:pPr>
                  <w:r>
                    <w:rPr>
                      <w:rFonts w:ascii="Times New Roman" w:hAnsi="Times New Roman" w:cs="Times New Roman"/>
                      <w:bCs/>
                      <w:sz w:val="16"/>
                      <w:szCs w:val="16"/>
                    </w:rPr>
                    <w:t>500</w:t>
                  </w:r>
                </w:p>
              </w:tc>
              <w:tc>
                <w:tcPr>
                  <w:tcW w:w="1326" w:type="dxa"/>
                  <w:shd w:val="clear" w:color="auto" w:fill="auto"/>
                </w:tcPr>
                <w:p w14:paraId="35550009" w14:textId="04257B7A"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40</w:t>
                  </w:r>
                  <w:r w:rsidR="008E749A">
                    <w:rPr>
                      <w:rFonts w:ascii="Times New Roman" w:hAnsi="Times New Roman" w:cs="Times New Roman"/>
                      <w:bCs/>
                      <w:sz w:val="16"/>
                      <w:szCs w:val="16"/>
                    </w:rPr>
                    <w:t>6,02</w:t>
                  </w:r>
                </w:p>
              </w:tc>
              <w:tc>
                <w:tcPr>
                  <w:tcW w:w="1893" w:type="dxa"/>
                  <w:shd w:val="clear" w:color="auto" w:fill="auto"/>
                </w:tcPr>
                <w:p w14:paraId="18EF1A4F" w14:textId="2CFEAFE5"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42</w:t>
                  </w:r>
                  <w:r w:rsidR="008E749A">
                    <w:rPr>
                      <w:rFonts w:ascii="Times New Roman" w:hAnsi="Times New Roman" w:cs="Times New Roman"/>
                      <w:bCs/>
                      <w:sz w:val="16"/>
                      <w:szCs w:val="16"/>
                    </w:rPr>
                    <w:t>4,19</w:t>
                  </w:r>
                </w:p>
              </w:tc>
              <w:tc>
                <w:tcPr>
                  <w:tcW w:w="1984" w:type="dxa"/>
                  <w:shd w:val="clear" w:color="auto" w:fill="auto"/>
                </w:tcPr>
                <w:p w14:paraId="27D115A7" w14:textId="41AE9CFD"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44</w:t>
                  </w:r>
                  <w:r w:rsidR="00B04610">
                    <w:rPr>
                      <w:rFonts w:ascii="Times New Roman" w:hAnsi="Times New Roman" w:cs="Times New Roman"/>
                      <w:bCs/>
                      <w:sz w:val="16"/>
                      <w:szCs w:val="16"/>
                    </w:rPr>
                    <w:t>2,35</w:t>
                  </w:r>
                </w:p>
              </w:tc>
              <w:tc>
                <w:tcPr>
                  <w:tcW w:w="1972" w:type="dxa"/>
                  <w:shd w:val="clear" w:color="auto" w:fill="auto"/>
                </w:tcPr>
                <w:p w14:paraId="1B38700D" w14:textId="62C9639C"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44</w:t>
                  </w:r>
                  <w:r w:rsidR="00B04610">
                    <w:rPr>
                      <w:rFonts w:ascii="Times New Roman" w:hAnsi="Times New Roman" w:cs="Times New Roman"/>
                      <w:bCs/>
                      <w:sz w:val="16"/>
                      <w:szCs w:val="16"/>
                    </w:rPr>
                    <w:t>2,35</w:t>
                  </w:r>
                </w:p>
              </w:tc>
            </w:tr>
            <w:tr w:rsidR="00FC12C0" w:rsidRPr="00727D64" w14:paraId="474587FD" w14:textId="77777777" w:rsidTr="00727D64">
              <w:tc>
                <w:tcPr>
                  <w:tcW w:w="1109" w:type="dxa"/>
                  <w:shd w:val="clear" w:color="auto" w:fill="auto"/>
                </w:tcPr>
                <w:p w14:paraId="38B6D56C" w14:textId="503F90A1" w:rsidR="00FC12C0" w:rsidRPr="00727D64" w:rsidRDefault="00727D64" w:rsidP="00727D64">
                  <w:pPr>
                    <w:jc w:val="right"/>
                    <w:rPr>
                      <w:rFonts w:ascii="Times New Roman" w:hAnsi="Times New Roman" w:cs="Times New Roman"/>
                      <w:bCs/>
                      <w:sz w:val="16"/>
                      <w:szCs w:val="16"/>
                    </w:rPr>
                  </w:pPr>
                  <w:r>
                    <w:rPr>
                      <w:rFonts w:ascii="Times New Roman" w:hAnsi="Times New Roman" w:cs="Times New Roman"/>
                      <w:bCs/>
                      <w:sz w:val="16"/>
                      <w:szCs w:val="16"/>
                    </w:rPr>
                    <w:t>700</w:t>
                  </w:r>
                </w:p>
              </w:tc>
              <w:tc>
                <w:tcPr>
                  <w:tcW w:w="1326" w:type="dxa"/>
                  <w:shd w:val="clear" w:color="auto" w:fill="auto"/>
                </w:tcPr>
                <w:p w14:paraId="592653E5" w14:textId="62FF3F5F"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36,12</w:t>
                  </w:r>
                </w:p>
              </w:tc>
              <w:tc>
                <w:tcPr>
                  <w:tcW w:w="1893" w:type="dxa"/>
                  <w:shd w:val="clear" w:color="auto" w:fill="auto"/>
                </w:tcPr>
                <w:p w14:paraId="2E6D52DB" w14:textId="752F0855"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90,62</w:t>
                  </w:r>
                </w:p>
              </w:tc>
              <w:tc>
                <w:tcPr>
                  <w:tcW w:w="1984" w:type="dxa"/>
                  <w:shd w:val="clear" w:color="auto" w:fill="auto"/>
                </w:tcPr>
                <w:p w14:paraId="33106D28" w14:textId="285FA981"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c>
                <w:tcPr>
                  <w:tcW w:w="1972" w:type="dxa"/>
                  <w:shd w:val="clear" w:color="auto" w:fill="auto"/>
                </w:tcPr>
                <w:p w14:paraId="183869F5" w14:textId="78F680D1"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r>
            <w:tr w:rsidR="00FC12C0" w:rsidRPr="00727D64" w14:paraId="20FDEBF7" w14:textId="77777777" w:rsidTr="00727D64">
              <w:tc>
                <w:tcPr>
                  <w:tcW w:w="1109" w:type="dxa"/>
                  <w:shd w:val="clear" w:color="auto" w:fill="auto"/>
                </w:tcPr>
                <w:p w14:paraId="517EC04A" w14:textId="4372433E" w:rsidR="00FC12C0" w:rsidRPr="00727D64" w:rsidRDefault="00727D64" w:rsidP="00727D64">
                  <w:pPr>
                    <w:jc w:val="right"/>
                    <w:rPr>
                      <w:rFonts w:ascii="Times New Roman" w:hAnsi="Times New Roman" w:cs="Times New Roman"/>
                      <w:bCs/>
                      <w:sz w:val="16"/>
                      <w:szCs w:val="16"/>
                    </w:rPr>
                  </w:pPr>
                  <w:r>
                    <w:rPr>
                      <w:rFonts w:ascii="Times New Roman" w:hAnsi="Times New Roman" w:cs="Times New Roman"/>
                      <w:bCs/>
                      <w:sz w:val="16"/>
                      <w:szCs w:val="16"/>
                    </w:rPr>
                    <w:t>1 000</w:t>
                  </w:r>
                </w:p>
              </w:tc>
              <w:tc>
                <w:tcPr>
                  <w:tcW w:w="1326" w:type="dxa"/>
                  <w:shd w:val="clear" w:color="auto" w:fill="auto"/>
                </w:tcPr>
                <w:p w14:paraId="06A3A663" w14:textId="23B8D2A8"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36,12</w:t>
                  </w:r>
                </w:p>
              </w:tc>
              <w:tc>
                <w:tcPr>
                  <w:tcW w:w="1893" w:type="dxa"/>
                  <w:shd w:val="clear" w:color="auto" w:fill="auto"/>
                </w:tcPr>
                <w:p w14:paraId="4F32CCBA" w14:textId="04762CE9"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90,62</w:t>
                  </w:r>
                </w:p>
              </w:tc>
              <w:tc>
                <w:tcPr>
                  <w:tcW w:w="1984" w:type="dxa"/>
                  <w:shd w:val="clear" w:color="auto" w:fill="auto"/>
                </w:tcPr>
                <w:p w14:paraId="6AE4CE37" w14:textId="44A58AC3"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c>
                <w:tcPr>
                  <w:tcW w:w="1972" w:type="dxa"/>
                  <w:shd w:val="clear" w:color="auto" w:fill="auto"/>
                </w:tcPr>
                <w:p w14:paraId="66C7FB3B" w14:textId="1DC92373"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r>
            <w:tr w:rsidR="00FC12C0" w:rsidRPr="00727D64" w14:paraId="77DCC71F" w14:textId="77777777" w:rsidTr="00727D64">
              <w:tc>
                <w:tcPr>
                  <w:tcW w:w="1109" w:type="dxa"/>
                  <w:shd w:val="clear" w:color="auto" w:fill="auto"/>
                </w:tcPr>
                <w:p w14:paraId="48521AED" w14:textId="34FF5D2C" w:rsidR="00FC12C0" w:rsidRPr="00727D64" w:rsidRDefault="00727D64" w:rsidP="00727D64">
                  <w:pPr>
                    <w:jc w:val="right"/>
                    <w:rPr>
                      <w:rFonts w:ascii="Times New Roman" w:hAnsi="Times New Roman" w:cs="Times New Roman"/>
                      <w:bCs/>
                      <w:sz w:val="16"/>
                      <w:szCs w:val="16"/>
                    </w:rPr>
                  </w:pPr>
                  <w:r>
                    <w:rPr>
                      <w:rFonts w:ascii="Times New Roman" w:hAnsi="Times New Roman" w:cs="Times New Roman"/>
                      <w:bCs/>
                      <w:sz w:val="16"/>
                      <w:szCs w:val="16"/>
                    </w:rPr>
                    <w:t>1 300</w:t>
                  </w:r>
                </w:p>
              </w:tc>
              <w:tc>
                <w:tcPr>
                  <w:tcW w:w="1326" w:type="dxa"/>
                  <w:shd w:val="clear" w:color="auto" w:fill="auto"/>
                </w:tcPr>
                <w:p w14:paraId="10DFD8C8" w14:textId="4861A6A1"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36,12</w:t>
                  </w:r>
                </w:p>
              </w:tc>
              <w:tc>
                <w:tcPr>
                  <w:tcW w:w="1893" w:type="dxa"/>
                  <w:shd w:val="clear" w:color="auto" w:fill="auto"/>
                </w:tcPr>
                <w:p w14:paraId="768C2C99" w14:textId="65423CA3"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90,62</w:t>
                  </w:r>
                </w:p>
              </w:tc>
              <w:tc>
                <w:tcPr>
                  <w:tcW w:w="1984" w:type="dxa"/>
                  <w:shd w:val="clear" w:color="auto" w:fill="auto"/>
                </w:tcPr>
                <w:p w14:paraId="7A97CF68" w14:textId="391D245D"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c>
                <w:tcPr>
                  <w:tcW w:w="1972" w:type="dxa"/>
                  <w:shd w:val="clear" w:color="auto" w:fill="auto"/>
                </w:tcPr>
                <w:p w14:paraId="2CFCC34A" w14:textId="2E08D3E3"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r>
            <w:tr w:rsidR="00FC12C0" w:rsidRPr="00727D64" w14:paraId="29ADD705" w14:textId="77777777" w:rsidTr="00727D64">
              <w:tc>
                <w:tcPr>
                  <w:tcW w:w="1109" w:type="dxa"/>
                  <w:shd w:val="clear" w:color="auto" w:fill="auto"/>
                </w:tcPr>
                <w:p w14:paraId="6BCFD6E9" w14:textId="747A4E26" w:rsidR="00FC12C0" w:rsidRPr="00727D64" w:rsidRDefault="00727D64" w:rsidP="00727D64">
                  <w:pPr>
                    <w:jc w:val="right"/>
                    <w:rPr>
                      <w:rFonts w:ascii="Times New Roman" w:hAnsi="Times New Roman" w:cs="Times New Roman"/>
                      <w:bCs/>
                      <w:sz w:val="16"/>
                      <w:szCs w:val="16"/>
                    </w:rPr>
                  </w:pPr>
                  <w:r>
                    <w:rPr>
                      <w:rFonts w:ascii="Times New Roman" w:hAnsi="Times New Roman" w:cs="Times New Roman"/>
                      <w:bCs/>
                      <w:sz w:val="16"/>
                      <w:szCs w:val="16"/>
                    </w:rPr>
                    <w:t>1 500</w:t>
                  </w:r>
                </w:p>
              </w:tc>
              <w:tc>
                <w:tcPr>
                  <w:tcW w:w="1326" w:type="dxa"/>
                  <w:shd w:val="clear" w:color="auto" w:fill="auto"/>
                </w:tcPr>
                <w:p w14:paraId="1F74A328" w14:textId="23B5659C"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36,12</w:t>
                  </w:r>
                </w:p>
              </w:tc>
              <w:tc>
                <w:tcPr>
                  <w:tcW w:w="1893" w:type="dxa"/>
                  <w:shd w:val="clear" w:color="auto" w:fill="auto"/>
                </w:tcPr>
                <w:p w14:paraId="58A3E868" w14:textId="0107E9B7"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90,62</w:t>
                  </w:r>
                </w:p>
              </w:tc>
              <w:tc>
                <w:tcPr>
                  <w:tcW w:w="1984" w:type="dxa"/>
                  <w:shd w:val="clear" w:color="auto" w:fill="auto"/>
                </w:tcPr>
                <w:p w14:paraId="2317C46F" w14:textId="279DD55E"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c>
                <w:tcPr>
                  <w:tcW w:w="1972" w:type="dxa"/>
                  <w:shd w:val="clear" w:color="auto" w:fill="auto"/>
                </w:tcPr>
                <w:p w14:paraId="61D7AA51" w14:textId="6D0F405A"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r>
            <w:tr w:rsidR="00FC12C0" w:rsidRPr="00727D64" w14:paraId="6037E6D9" w14:textId="77777777" w:rsidTr="00727D64">
              <w:tc>
                <w:tcPr>
                  <w:tcW w:w="1109" w:type="dxa"/>
                  <w:shd w:val="clear" w:color="auto" w:fill="auto"/>
                </w:tcPr>
                <w:p w14:paraId="0D1E9C62" w14:textId="17FAEE24" w:rsidR="00FC12C0" w:rsidRPr="00727D64" w:rsidRDefault="00727D64" w:rsidP="00727D64">
                  <w:pPr>
                    <w:jc w:val="right"/>
                    <w:rPr>
                      <w:rFonts w:ascii="Times New Roman" w:hAnsi="Times New Roman" w:cs="Times New Roman"/>
                      <w:bCs/>
                      <w:sz w:val="16"/>
                      <w:szCs w:val="16"/>
                    </w:rPr>
                  </w:pPr>
                  <w:r>
                    <w:rPr>
                      <w:rFonts w:ascii="Times New Roman" w:hAnsi="Times New Roman" w:cs="Times New Roman"/>
                      <w:bCs/>
                      <w:sz w:val="16"/>
                      <w:szCs w:val="16"/>
                    </w:rPr>
                    <w:t>2 000</w:t>
                  </w:r>
                </w:p>
              </w:tc>
              <w:tc>
                <w:tcPr>
                  <w:tcW w:w="1326" w:type="dxa"/>
                  <w:shd w:val="clear" w:color="auto" w:fill="auto"/>
                </w:tcPr>
                <w:p w14:paraId="6A620C9A" w14:textId="7D24B3CA"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36,12</w:t>
                  </w:r>
                </w:p>
              </w:tc>
              <w:tc>
                <w:tcPr>
                  <w:tcW w:w="1893" w:type="dxa"/>
                  <w:shd w:val="clear" w:color="auto" w:fill="auto"/>
                </w:tcPr>
                <w:p w14:paraId="4E8A6834" w14:textId="041254FB"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4</w:t>
                  </w:r>
                  <w:r w:rsidR="008E749A">
                    <w:rPr>
                      <w:rFonts w:ascii="Times New Roman" w:hAnsi="Times New Roman" w:cs="Times New Roman"/>
                      <w:bCs/>
                      <w:sz w:val="16"/>
                      <w:szCs w:val="16"/>
                    </w:rPr>
                    <w:t>90,62</w:t>
                  </w:r>
                </w:p>
              </w:tc>
              <w:tc>
                <w:tcPr>
                  <w:tcW w:w="1984" w:type="dxa"/>
                  <w:shd w:val="clear" w:color="auto" w:fill="auto"/>
                </w:tcPr>
                <w:p w14:paraId="2ECC8130" w14:textId="4E52D9C1"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c>
                <w:tcPr>
                  <w:tcW w:w="1972" w:type="dxa"/>
                  <w:shd w:val="clear" w:color="auto" w:fill="auto"/>
                </w:tcPr>
                <w:p w14:paraId="7684D04C" w14:textId="5B78A045" w:rsidR="00FC12C0" w:rsidRPr="00727D64" w:rsidRDefault="00FC12C0" w:rsidP="00727D64">
                  <w:pPr>
                    <w:jc w:val="right"/>
                    <w:rPr>
                      <w:rFonts w:ascii="Times New Roman" w:hAnsi="Times New Roman" w:cs="Times New Roman"/>
                      <w:bCs/>
                      <w:sz w:val="16"/>
                      <w:szCs w:val="16"/>
                    </w:rPr>
                  </w:pPr>
                  <w:r w:rsidRPr="00727D64">
                    <w:rPr>
                      <w:rFonts w:ascii="Times New Roman" w:hAnsi="Times New Roman" w:cs="Times New Roman"/>
                      <w:bCs/>
                      <w:sz w:val="16"/>
                      <w:szCs w:val="16"/>
                    </w:rPr>
                    <w:t>5</w:t>
                  </w:r>
                  <w:r w:rsidR="00B04610">
                    <w:rPr>
                      <w:rFonts w:ascii="Times New Roman" w:hAnsi="Times New Roman" w:cs="Times New Roman"/>
                      <w:bCs/>
                      <w:sz w:val="16"/>
                      <w:szCs w:val="16"/>
                    </w:rPr>
                    <w:t>45,12</w:t>
                  </w:r>
                </w:p>
              </w:tc>
            </w:tr>
          </w:tbl>
          <w:p w14:paraId="5B9FFAC2" w14:textId="77777777" w:rsidR="00FC12C0" w:rsidRPr="00FC12C0" w:rsidRDefault="00FC12C0" w:rsidP="00FC12C0">
            <w:pPr>
              <w:jc w:val="both"/>
              <w:rPr>
                <w:rFonts w:ascii="Times New Roman" w:hAnsi="Times New Roman" w:cs="Times New Roman"/>
                <w:sz w:val="20"/>
                <w:szCs w:val="20"/>
              </w:rPr>
            </w:pPr>
          </w:p>
          <w:p w14:paraId="35B5D843" w14:textId="77777777" w:rsidR="00727D64" w:rsidRDefault="00727D64" w:rsidP="003770D4">
            <w:pPr>
              <w:jc w:val="both"/>
              <w:rPr>
                <w:rFonts w:ascii="Times New Roman" w:hAnsi="Times New Roman" w:cs="Times New Roman"/>
                <w:sz w:val="20"/>
                <w:szCs w:val="20"/>
              </w:rPr>
            </w:pPr>
          </w:p>
          <w:p w14:paraId="597D7872" w14:textId="4BC3E05B" w:rsidR="003770D4" w:rsidRDefault="00FC12C0" w:rsidP="003770D4">
            <w:pPr>
              <w:jc w:val="both"/>
              <w:rPr>
                <w:rFonts w:ascii="Times New Roman" w:hAnsi="Times New Roman" w:cs="Times New Roman"/>
                <w:sz w:val="20"/>
                <w:szCs w:val="20"/>
              </w:rPr>
            </w:pPr>
            <w:r w:rsidRPr="00FC12C0">
              <w:rPr>
                <w:rFonts w:ascii="Times New Roman" w:hAnsi="Times New Roman" w:cs="Times New Roman"/>
                <w:sz w:val="20"/>
                <w:szCs w:val="20"/>
              </w:rPr>
              <w:t>Navrhovaná právna úprava zvyšuje základnú sumu na 140% životného minima na plnoletú fyzickú osobu. Do tejto základnej</w:t>
            </w:r>
            <w:r w:rsidR="003770D4">
              <w:rPr>
                <w:rFonts w:ascii="Times New Roman" w:hAnsi="Times New Roman" w:cs="Times New Roman"/>
                <w:sz w:val="20"/>
                <w:szCs w:val="20"/>
              </w:rPr>
              <w:t xml:space="preserve"> sumy sa započítava suma zodpovedajúca </w:t>
            </w:r>
            <w:r w:rsidRPr="00FC12C0">
              <w:rPr>
                <w:rFonts w:ascii="Times New Roman" w:hAnsi="Times New Roman" w:cs="Times New Roman"/>
                <w:sz w:val="20"/>
                <w:szCs w:val="20"/>
              </w:rPr>
              <w:t>25 % z</w:t>
            </w:r>
            <w:r w:rsidR="003770D4">
              <w:rPr>
                <w:rFonts w:ascii="Times New Roman" w:hAnsi="Times New Roman" w:cs="Times New Roman"/>
                <w:sz w:val="20"/>
                <w:szCs w:val="20"/>
              </w:rPr>
              <w:t>o</w:t>
            </w:r>
            <w:r w:rsidRPr="00FC12C0">
              <w:rPr>
                <w:rFonts w:ascii="Times New Roman" w:hAnsi="Times New Roman" w:cs="Times New Roman"/>
                <w:sz w:val="20"/>
                <w:szCs w:val="20"/>
              </w:rPr>
              <w:t> základnej sumy</w:t>
            </w:r>
            <w:r w:rsidR="003770D4">
              <w:rPr>
                <w:rFonts w:ascii="Times New Roman" w:hAnsi="Times New Roman" w:cs="Times New Roman"/>
                <w:sz w:val="20"/>
                <w:szCs w:val="20"/>
              </w:rPr>
              <w:t xml:space="preserve"> na každú vyživovanú osobu. </w:t>
            </w:r>
            <w:r w:rsidR="00272E66">
              <w:rPr>
                <w:rFonts w:ascii="Times New Roman" w:hAnsi="Times New Roman" w:cs="Times New Roman"/>
                <w:sz w:val="20"/>
                <w:szCs w:val="20"/>
              </w:rPr>
              <w:t>Súčasne sa zvyšuje tzv. zrážka bez obmedzenia na trojnásobok základnej sumy, t. j. na sumu 915,84 eur.</w:t>
            </w:r>
          </w:p>
          <w:p w14:paraId="2A5F4C14" w14:textId="77777777" w:rsidR="00CD7F28" w:rsidRDefault="00CD7F28" w:rsidP="00FC12C0">
            <w:pPr>
              <w:jc w:val="both"/>
              <w:rPr>
                <w:rFonts w:ascii="Times New Roman" w:hAnsi="Times New Roman" w:cs="Times New Roman"/>
                <w:sz w:val="20"/>
                <w:szCs w:val="20"/>
              </w:rPr>
            </w:pPr>
          </w:p>
          <w:p w14:paraId="2363BBD8" w14:textId="382C2D51" w:rsidR="00FC12C0" w:rsidRDefault="00FC12C0" w:rsidP="00FC12C0">
            <w:pPr>
              <w:jc w:val="both"/>
              <w:rPr>
                <w:rFonts w:ascii="Times New Roman" w:hAnsi="Times New Roman" w:cs="Times New Roman"/>
                <w:sz w:val="20"/>
                <w:szCs w:val="20"/>
              </w:rPr>
            </w:pPr>
            <w:r w:rsidRPr="00C36901">
              <w:rPr>
                <w:rFonts w:ascii="Times New Roman" w:hAnsi="Times New Roman" w:cs="Times New Roman"/>
                <w:sz w:val="20"/>
                <w:szCs w:val="20"/>
              </w:rPr>
              <w:t xml:space="preserve">Napríklad, ak ide o jedného povinného, </w:t>
            </w:r>
            <w:r w:rsidR="003770D4" w:rsidRPr="00C36901">
              <w:rPr>
                <w:rFonts w:ascii="Times New Roman" w:hAnsi="Times New Roman" w:cs="Times New Roman"/>
                <w:sz w:val="20"/>
                <w:szCs w:val="20"/>
              </w:rPr>
              <w:t>základná suma by bola vo výške 30</w:t>
            </w:r>
            <w:r w:rsidR="00E011AF" w:rsidRPr="00C36901">
              <w:rPr>
                <w:rFonts w:ascii="Times New Roman" w:hAnsi="Times New Roman" w:cs="Times New Roman"/>
                <w:sz w:val="20"/>
                <w:szCs w:val="20"/>
              </w:rPr>
              <w:t>5,28</w:t>
            </w:r>
            <w:r w:rsidR="003770D4" w:rsidRPr="00C36901">
              <w:rPr>
                <w:rFonts w:ascii="Times New Roman" w:hAnsi="Times New Roman" w:cs="Times New Roman"/>
                <w:sz w:val="20"/>
                <w:szCs w:val="20"/>
              </w:rPr>
              <w:t xml:space="preserve"> eur; v prípade </w:t>
            </w:r>
            <w:r w:rsidR="00FA06B3" w:rsidRPr="00C36901">
              <w:rPr>
                <w:rFonts w:ascii="Times New Roman" w:hAnsi="Times New Roman" w:cs="Times New Roman"/>
                <w:sz w:val="20"/>
                <w:szCs w:val="20"/>
              </w:rPr>
              <w:t>jedného povinného s</w:t>
            </w:r>
            <w:r w:rsidR="003770D4" w:rsidRPr="00C36901">
              <w:rPr>
                <w:rFonts w:ascii="Times New Roman" w:hAnsi="Times New Roman" w:cs="Times New Roman"/>
                <w:sz w:val="20"/>
                <w:szCs w:val="20"/>
              </w:rPr>
              <w:t> </w:t>
            </w:r>
            <w:r w:rsidR="00FA06B3" w:rsidRPr="00C36901">
              <w:rPr>
                <w:rFonts w:ascii="Times New Roman" w:hAnsi="Times New Roman" w:cs="Times New Roman"/>
                <w:sz w:val="20"/>
                <w:szCs w:val="20"/>
              </w:rPr>
              <w:t>jedn</w:t>
            </w:r>
            <w:r w:rsidR="003770D4" w:rsidRPr="00C36901">
              <w:rPr>
                <w:rFonts w:ascii="Times New Roman" w:hAnsi="Times New Roman" w:cs="Times New Roman"/>
                <w:sz w:val="20"/>
                <w:szCs w:val="20"/>
              </w:rPr>
              <w:t xml:space="preserve">ou vyživovanou osobou by základná suma predstavovala </w:t>
            </w:r>
            <w:r w:rsidRPr="00C36901">
              <w:rPr>
                <w:rFonts w:ascii="Times New Roman" w:hAnsi="Times New Roman" w:cs="Times New Roman"/>
                <w:sz w:val="20"/>
                <w:szCs w:val="20"/>
              </w:rPr>
              <w:t>3</w:t>
            </w:r>
            <w:r w:rsidR="00E011AF" w:rsidRPr="00C36901">
              <w:rPr>
                <w:rFonts w:ascii="Times New Roman" w:hAnsi="Times New Roman" w:cs="Times New Roman"/>
                <w:sz w:val="20"/>
                <w:szCs w:val="20"/>
              </w:rPr>
              <w:t>81,6</w:t>
            </w:r>
            <w:r w:rsidR="00512E1C" w:rsidRPr="00C36901">
              <w:rPr>
                <w:rFonts w:ascii="Times New Roman" w:hAnsi="Times New Roman" w:cs="Times New Roman"/>
                <w:sz w:val="20"/>
                <w:szCs w:val="20"/>
              </w:rPr>
              <w:t>0</w:t>
            </w:r>
            <w:r w:rsidRPr="00C36901">
              <w:rPr>
                <w:rFonts w:ascii="Times New Roman" w:hAnsi="Times New Roman" w:cs="Times New Roman"/>
                <w:sz w:val="20"/>
                <w:szCs w:val="20"/>
              </w:rPr>
              <w:t xml:space="preserve"> eur a v prípade jedného povinného s dvoma </w:t>
            </w:r>
            <w:r w:rsidR="003770D4" w:rsidRPr="00C36901">
              <w:rPr>
                <w:rFonts w:ascii="Times New Roman" w:hAnsi="Times New Roman" w:cs="Times New Roman"/>
                <w:sz w:val="20"/>
                <w:szCs w:val="20"/>
              </w:rPr>
              <w:t>vyživovanými osobami by išlo</w:t>
            </w:r>
            <w:r w:rsidR="00FA06B3" w:rsidRPr="00C36901">
              <w:rPr>
                <w:rFonts w:ascii="Times New Roman" w:hAnsi="Times New Roman" w:cs="Times New Roman"/>
                <w:sz w:val="20"/>
                <w:szCs w:val="20"/>
              </w:rPr>
              <w:t xml:space="preserve"> </w:t>
            </w:r>
            <w:r w:rsidRPr="00C36901">
              <w:rPr>
                <w:rFonts w:ascii="Times New Roman" w:hAnsi="Times New Roman" w:cs="Times New Roman"/>
                <w:sz w:val="20"/>
                <w:szCs w:val="20"/>
              </w:rPr>
              <w:t>o sumu 45</w:t>
            </w:r>
            <w:r w:rsidR="00E011AF" w:rsidRPr="00C36901">
              <w:rPr>
                <w:rFonts w:ascii="Times New Roman" w:hAnsi="Times New Roman" w:cs="Times New Roman"/>
                <w:sz w:val="20"/>
                <w:szCs w:val="20"/>
              </w:rPr>
              <w:t>7,92</w:t>
            </w:r>
            <w:r w:rsidRPr="00C36901">
              <w:rPr>
                <w:rFonts w:ascii="Times New Roman" w:hAnsi="Times New Roman" w:cs="Times New Roman"/>
                <w:sz w:val="20"/>
                <w:szCs w:val="20"/>
              </w:rPr>
              <w:t xml:space="preserve"> eur. Táto základná suma ostáva povinnému vždy.</w:t>
            </w:r>
            <w:r w:rsidRPr="00FC12C0">
              <w:rPr>
                <w:rFonts w:ascii="Times New Roman" w:hAnsi="Times New Roman" w:cs="Times New Roman"/>
                <w:sz w:val="20"/>
                <w:szCs w:val="20"/>
              </w:rPr>
              <w:t xml:space="preserve"> </w:t>
            </w:r>
          </w:p>
          <w:p w14:paraId="1BF7B581" w14:textId="77777777" w:rsidR="00CD7F28" w:rsidRDefault="00CD7F28" w:rsidP="00CD7F28">
            <w:pPr>
              <w:jc w:val="both"/>
              <w:rPr>
                <w:rFonts w:ascii="Times New Roman" w:hAnsi="Times New Roman" w:cs="Times New Roman"/>
                <w:sz w:val="20"/>
                <w:szCs w:val="20"/>
              </w:rPr>
            </w:pPr>
          </w:p>
          <w:p w14:paraId="1F022115" w14:textId="296E2C95" w:rsidR="00FC12C0" w:rsidRDefault="00FC12C0" w:rsidP="00FC12C0">
            <w:pPr>
              <w:jc w:val="both"/>
              <w:rPr>
                <w:rFonts w:ascii="Times New Roman" w:hAnsi="Times New Roman" w:cs="Times New Roman"/>
                <w:sz w:val="20"/>
                <w:szCs w:val="20"/>
              </w:rPr>
            </w:pPr>
            <w:r w:rsidRPr="00FC12C0">
              <w:rPr>
                <w:rFonts w:ascii="Times New Roman" w:hAnsi="Times New Roman" w:cs="Times New Roman"/>
                <w:sz w:val="20"/>
                <w:szCs w:val="20"/>
              </w:rPr>
              <w:t>Príkladný výpočet s uvedením čistej mzdy, ktorá by mala ostať povinnému po vykonaní zrážky zo mzdy alebo iného príjmu pri výkone exekúcie zrážkami zo mzdy alebo iných príjmov na uspokojenie neprednostnej pohľadávky podľa navrhovanej právnej úpravy je uvedený v nasledujúcej tabuľke:</w:t>
            </w:r>
          </w:p>
          <w:p w14:paraId="6499E23C" w14:textId="7E891107" w:rsidR="00CD7F28" w:rsidRDefault="00CD7F28" w:rsidP="00FC12C0">
            <w:pPr>
              <w:jc w:val="both"/>
              <w:rPr>
                <w:rFonts w:ascii="Times New Roman" w:hAnsi="Times New Roman" w:cs="Times New Roman"/>
                <w:sz w:val="20"/>
                <w:szCs w:val="20"/>
              </w:rPr>
            </w:pPr>
          </w:p>
          <w:tbl>
            <w:tblPr>
              <w:tblStyle w:val="Mriekatabuky"/>
              <w:tblW w:w="8387" w:type="dxa"/>
              <w:tblLayout w:type="fixed"/>
              <w:tblLook w:val="04A0" w:firstRow="1" w:lastRow="0" w:firstColumn="1" w:lastColumn="0" w:noHBand="0" w:noVBand="1"/>
            </w:tblPr>
            <w:tblGrid>
              <w:gridCol w:w="1158"/>
              <w:gridCol w:w="1276"/>
              <w:gridCol w:w="1984"/>
              <w:gridCol w:w="1843"/>
              <w:gridCol w:w="2126"/>
            </w:tblGrid>
            <w:tr w:rsidR="00FD5B5F" w:rsidRPr="0088224E" w14:paraId="758B28A2" w14:textId="77777777" w:rsidTr="00253EB0">
              <w:trPr>
                <w:trHeight w:val="699"/>
              </w:trPr>
              <w:tc>
                <w:tcPr>
                  <w:tcW w:w="1158" w:type="dxa"/>
                </w:tcPr>
                <w:p w14:paraId="2E30640B" w14:textId="77777777" w:rsidR="00FD5B5F" w:rsidRPr="00253EB0" w:rsidRDefault="00FD5B5F" w:rsidP="00727D64">
                  <w:pPr>
                    <w:ind w:right="-139"/>
                    <w:rPr>
                      <w:rFonts w:ascii="Times New Roman" w:hAnsi="Times New Roman" w:cs="Times New Roman"/>
                      <w:sz w:val="16"/>
                      <w:szCs w:val="16"/>
                    </w:rPr>
                  </w:pPr>
                  <w:r w:rsidRPr="00253EB0">
                    <w:rPr>
                      <w:rFonts w:ascii="Times New Roman" w:hAnsi="Times New Roman" w:cs="Times New Roman"/>
                      <w:sz w:val="16"/>
                      <w:szCs w:val="16"/>
                    </w:rPr>
                    <w:t>Čistá mzda</w:t>
                  </w:r>
                </w:p>
                <w:p w14:paraId="6C7C039D" w14:textId="2489D0C9" w:rsidR="00FD5B5F" w:rsidRPr="00253EB0" w:rsidRDefault="00FD5B5F" w:rsidP="00727D64">
                  <w:pPr>
                    <w:ind w:right="-139"/>
                    <w:rPr>
                      <w:rFonts w:ascii="Times New Roman" w:hAnsi="Times New Roman" w:cs="Times New Roman"/>
                      <w:sz w:val="16"/>
                      <w:szCs w:val="16"/>
                    </w:rPr>
                  </w:pPr>
                  <w:r w:rsidRPr="00253EB0">
                    <w:rPr>
                      <w:rFonts w:ascii="Times New Roman" w:hAnsi="Times New Roman" w:cs="Times New Roman"/>
                      <w:sz w:val="16"/>
                      <w:szCs w:val="16"/>
                    </w:rPr>
                    <w:t>(eur)</w:t>
                  </w:r>
                </w:p>
              </w:tc>
              <w:tc>
                <w:tcPr>
                  <w:tcW w:w="1276" w:type="dxa"/>
                </w:tcPr>
                <w:p w14:paraId="6CA3898E" w14:textId="404E1B75" w:rsidR="00FD5B5F" w:rsidRPr="00253EB0" w:rsidRDefault="00FD5B5F" w:rsidP="00F8185A">
                  <w:pPr>
                    <w:rPr>
                      <w:rFonts w:ascii="Times New Roman" w:hAnsi="Times New Roman" w:cs="Times New Roman"/>
                      <w:sz w:val="16"/>
                      <w:szCs w:val="16"/>
                    </w:rPr>
                  </w:pPr>
                  <w:r w:rsidRPr="00253EB0">
                    <w:rPr>
                      <w:rFonts w:ascii="Times New Roman" w:hAnsi="Times New Roman" w:cs="Times New Roman"/>
                      <w:sz w:val="16"/>
                      <w:szCs w:val="16"/>
                    </w:rPr>
                    <w:t>Povinný bez vyživovaných osôb</w:t>
                  </w:r>
                </w:p>
                <w:p w14:paraId="089768CB" w14:textId="339BEDE4" w:rsidR="00FD5B5F" w:rsidRPr="00253EB0" w:rsidRDefault="00FD5B5F" w:rsidP="00F8185A">
                  <w:pPr>
                    <w:rPr>
                      <w:rFonts w:ascii="Times New Roman" w:hAnsi="Times New Roman" w:cs="Times New Roman"/>
                      <w:sz w:val="16"/>
                      <w:szCs w:val="16"/>
                    </w:rPr>
                  </w:pPr>
                  <w:r w:rsidRPr="00253EB0">
                    <w:rPr>
                      <w:rFonts w:ascii="Times New Roman" w:hAnsi="Times New Roman" w:cs="Times New Roman"/>
                      <w:sz w:val="16"/>
                      <w:szCs w:val="16"/>
                    </w:rPr>
                    <w:t>(eur)</w:t>
                  </w:r>
                </w:p>
                <w:p w14:paraId="58E0FF9A" w14:textId="6B3287A0" w:rsidR="00FD5B5F" w:rsidRPr="00253EB0" w:rsidRDefault="00FD5B5F" w:rsidP="00F8185A">
                  <w:pPr>
                    <w:rPr>
                      <w:rFonts w:ascii="Times New Roman" w:hAnsi="Times New Roman" w:cs="Times New Roman"/>
                      <w:sz w:val="16"/>
                      <w:szCs w:val="16"/>
                    </w:rPr>
                  </w:pPr>
                </w:p>
              </w:tc>
              <w:tc>
                <w:tcPr>
                  <w:tcW w:w="1984" w:type="dxa"/>
                </w:tcPr>
                <w:p w14:paraId="1B7C7E4C" w14:textId="77777777" w:rsidR="00FD5B5F" w:rsidRPr="00253EB0" w:rsidRDefault="00FD5B5F" w:rsidP="0088224E">
                  <w:pPr>
                    <w:widowControl w:val="0"/>
                    <w:autoSpaceDE w:val="0"/>
                    <w:autoSpaceDN w:val="0"/>
                    <w:adjustRightInd w:val="0"/>
                    <w:jc w:val="both"/>
                    <w:rPr>
                      <w:rFonts w:ascii="Times New Roman" w:eastAsia="Times New Roman" w:hAnsi="Times New Roman" w:cs="Times New Roman"/>
                      <w:bCs/>
                      <w:iCs/>
                      <w:color w:val="000000"/>
                      <w:sz w:val="16"/>
                      <w:szCs w:val="16"/>
                      <w:lang w:eastAsia="sk-SK"/>
                    </w:rPr>
                  </w:pPr>
                  <w:r w:rsidRPr="00253EB0">
                    <w:rPr>
                      <w:rFonts w:ascii="Times New Roman" w:hAnsi="Times New Roman" w:cs="Times New Roman"/>
                      <w:sz w:val="16"/>
                      <w:szCs w:val="16"/>
                    </w:rPr>
                    <w:t>Povinný s jednou vyživovanou osobou (napr. dieťa</w:t>
                  </w:r>
                  <w:r w:rsidRPr="00253EB0">
                    <w:rPr>
                      <w:rFonts w:ascii="Times New Roman" w:eastAsia="Times New Roman" w:hAnsi="Times New Roman" w:cs="Times New Roman"/>
                      <w:bCs/>
                      <w:iCs/>
                      <w:color w:val="000000"/>
                      <w:sz w:val="16"/>
                      <w:szCs w:val="16"/>
                      <w:lang w:eastAsia="sk-SK"/>
                    </w:rPr>
                    <w:t>)</w:t>
                  </w:r>
                </w:p>
                <w:p w14:paraId="10DD91C1" w14:textId="1205EE66" w:rsidR="00FD5B5F" w:rsidRPr="00253EB0" w:rsidRDefault="00FD5B5F" w:rsidP="0088224E">
                  <w:pPr>
                    <w:widowControl w:val="0"/>
                    <w:autoSpaceDE w:val="0"/>
                    <w:autoSpaceDN w:val="0"/>
                    <w:adjustRightInd w:val="0"/>
                    <w:jc w:val="both"/>
                    <w:rPr>
                      <w:rFonts w:ascii="Times New Roman" w:hAnsi="Times New Roman" w:cs="Times New Roman"/>
                      <w:sz w:val="16"/>
                      <w:szCs w:val="16"/>
                    </w:rPr>
                  </w:pPr>
                  <w:r w:rsidRPr="00253EB0">
                    <w:rPr>
                      <w:rFonts w:ascii="Times New Roman" w:eastAsia="Times New Roman" w:hAnsi="Times New Roman" w:cs="Times New Roman"/>
                      <w:bCs/>
                      <w:iCs/>
                      <w:color w:val="000000"/>
                      <w:sz w:val="16"/>
                      <w:szCs w:val="16"/>
                      <w:lang w:eastAsia="sk-SK"/>
                    </w:rPr>
                    <w:t>(eur)</w:t>
                  </w:r>
                </w:p>
              </w:tc>
              <w:tc>
                <w:tcPr>
                  <w:tcW w:w="1843" w:type="dxa"/>
                </w:tcPr>
                <w:p w14:paraId="4D5FC7E8" w14:textId="25788469" w:rsidR="00FD5B5F" w:rsidRPr="00253EB0" w:rsidRDefault="00FD5B5F" w:rsidP="00727D64">
                  <w:pPr>
                    <w:jc w:val="both"/>
                    <w:rPr>
                      <w:rFonts w:ascii="Times New Roman" w:hAnsi="Times New Roman" w:cs="Times New Roman"/>
                      <w:sz w:val="16"/>
                      <w:szCs w:val="16"/>
                    </w:rPr>
                  </w:pPr>
                  <w:r w:rsidRPr="00253EB0">
                    <w:rPr>
                      <w:rFonts w:ascii="Times New Roman" w:hAnsi="Times New Roman" w:cs="Times New Roman"/>
                      <w:sz w:val="16"/>
                      <w:szCs w:val="16"/>
                    </w:rPr>
                    <w:t>Povinný a dve vyživované osoby (napr. dieťa a manžel alebo dve deti)</w:t>
                  </w:r>
                </w:p>
                <w:p w14:paraId="698BF995" w14:textId="09D898A5" w:rsidR="00FD5B5F" w:rsidRPr="00253EB0" w:rsidRDefault="00FD5B5F" w:rsidP="00727D64">
                  <w:pPr>
                    <w:jc w:val="both"/>
                    <w:rPr>
                      <w:rFonts w:ascii="Times New Roman" w:hAnsi="Times New Roman" w:cs="Times New Roman"/>
                      <w:sz w:val="16"/>
                      <w:szCs w:val="16"/>
                    </w:rPr>
                  </w:pPr>
                  <w:r w:rsidRPr="00253EB0">
                    <w:rPr>
                      <w:rFonts w:ascii="Times New Roman" w:hAnsi="Times New Roman" w:cs="Times New Roman"/>
                      <w:sz w:val="16"/>
                      <w:szCs w:val="16"/>
                    </w:rPr>
                    <w:t>(eur)</w:t>
                  </w:r>
                </w:p>
              </w:tc>
              <w:tc>
                <w:tcPr>
                  <w:tcW w:w="2126" w:type="dxa"/>
                </w:tcPr>
                <w:p w14:paraId="2D1E8C36" w14:textId="780C3EE3" w:rsidR="00FD5B5F" w:rsidRPr="00253EB0" w:rsidRDefault="00FD5B5F" w:rsidP="0088224E">
                  <w:pPr>
                    <w:jc w:val="both"/>
                    <w:rPr>
                      <w:rFonts w:ascii="Times New Roman" w:hAnsi="Times New Roman" w:cs="Times New Roman"/>
                      <w:sz w:val="16"/>
                      <w:szCs w:val="16"/>
                    </w:rPr>
                  </w:pPr>
                  <w:r w:rsidRPr="00253EB0">
                    <w:rPr>
                      <w:rFonts w:ascii="Times New Roman" w:hAnsi="Times New Roman" w:cs="Times New Roman"/>
                      <w:sz w:val="16"/>
                      <w:szCs w:val="16"/>
                    </w:rPr>
                    <w:t>1 povinný (dôchodca) a 1 vyživovaná osoba (</w:t>
                  </w:r>
                  <w:proofErr w:type="spellStart"/>
                  <w:r w:rsidRPr="00253EB0">
                    <w:rPr>
                      <w:rFonts w:ascii="Times New Roman" w:hAnsi="Times New Roman" w:cs="Times New Roman"/>
                      <w:sz w:val="16"/>
                      <w:szCs w:val="16"/>
                    </w:rPr>
                    <w:t>napr.manžel</w:t>
                  </w:r>
                  <w:proofErr w:type="spellEnd"/>
                  <w:r w:rsidRPr="00253EB0">
                    <w:rPr>
                      <w:rFonts w:ascii="Times New Roman" w:hAnsi="Times New Roman" w:cs="Times New Roman"/>
                      <w:sz w:val="16"/>
                      <w:szCs w:val="16"/>
                    </w:rPr>
                    <w:t>)</w:t>
                  </w:r>
                </w:p>
                <w:p w14:paraId="306AC757" w14:textId="07F5B422" w:rsidR="00FD5B5F" w:rsidRPr="00253EB0" w:rsidRDefault="00FD5B5F" w:rsidP="0088224E">
                  <w:pPr>
                    <w:jc w:val="both"/>
                    <w:rPr>
                      <w:rFonts w:ascii="Times New Roman" w:hAnsi="Times New Roman" w:cs="Times New Roman"/>
                      <w:sz w:val="16"/>
                      <w:szCs w:val="16"/>
                    </w:rPr>
                  </w:pPr>
                  <w:r w:rsidRPr="00253EB0">
                    <w:rPr>
                      <w:rFonts w:ascii="Times New Roman" w:eastAsia="Times New Roman" w:hAnsi="Times New Roman" w:cs="Times New Roman"/>
                      <w:bCs/>
                      <w:iCs/>
                      <w:color w:val="000000"/>
                      <w:sz w:val="16"/>
                      <w:szCs w:val="16"/>
                      <w:lang w:eastAsia="sk-SK"/>
                    </w:rPr>
                    <w:t>(eur)</w:t>
                  </w:r>
                </w:p>
              </w:tc>
            </w:tr>
            <w:tr w:rsidR="00FD5B5F" w:rsidRPr="0088224E" w14:paraId="4BE9FFD8" w14:textId="77777777" w:rsidTr="00253EB0">
              <w:tc>
                <w:tcPr>
                  <w:tcW w:w="1158" w:type="dxa"/>
                </w:tcPr>
                <w:p w14:paraId="76A2C802" w14:textId="439C4308"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500</w:t>
                  </w:r>
                </w:p>
              </w:tc>
              <w:tc>
                <w:tcPr>
                  <w:tcW w:w="1276" w:type="dxa"/>
                </w:tcPr>
                <w:p w14:paraId="5DDFE9FD" w14:textId="633EB719"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435,09</w:t>
                  </w:r>
                </w:p>
              </w:tc>
              <w:tc>
                <w:tcPr>
                  <w:tcW w:w="1984" w:type="dxa"/>
                </w:tcPr>
                <w:p w14:paraId="72207316" w14:textId="78032740"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460,53</w:t>
                  </w:r>
                </w:p>
              </w:tc>
              <w:tc>
                <w:tcPr>
                  <w:tcW w:w="1843" w:type="dxa"/>
                  <w:shd w:val="clear" w:color="auto" w:fill="auto"/>
                </w:tcPr>
                <w:p w14:paraId="37D1A089" w14:textId="71FF24F6" w:rsidR="00FD5B5F" w:rsidRPr="00253EB0" w:rsidRDefault="00FD5B5F" w:rsidP="00CD7F28">
                  <w:pPr>
                    <w:jc w:val="right"/>
                    <w:rPr>
                      <w:rFonts w:ascii="Times New Roman" w:hAnsi="Times New Roman" w:cs="Times New Roman"/>
                      <w:bCs/>
                      <w:sz w:val="16"/>
                      <w:szCs w:val="16"/>
                    </w:rPr>
                  </w:pPr>
                  <w:r w:rsidRPr="00253EB0">
                    <w:rPr>
                      <w:rFonts w:ascii="Times New Roman" w:hAnsi="Times New Roman" w:cs="Times New Roman"/>
                      <w:bCs/>
                      <w:sz w:val="16"/>
                      <w:szCs w:val="16"/>
                    </w:rPr>
                    <w:t>485,97</w:t>
                  </w:r>
                </w:p>
              </w:tc>
              <w:tc>
                <w:tcPr>
                  <w:tcW w:w="2126" w:type="dxa"/>
                </w:tcPr>
                <w:p w14:paraId="00088356" w14:textId="6439D385"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485,97</w:t>
                  </w:r>
                </w:p>
              </w:tc>
            </w:tr>
            <w:tr w:rsidR="00FD5B5F" w:rsidRPr="0088224E" w14:paraId="4E8976F7" w14:textId="77777777" w:rsidTr="00253EB0">
              <w:tc>
                <w:tcPr>
                  <w:tcW w:w="1158" w:type="dxa"/>
                </w:tcPr>
                <w:p w14:paraId="6B08E5F2" w14:textId="693D791D"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700</w:t>
                  </w:r>
                </w:p>
              </w:tc>
              <w:tc>
                <w:tcPr>
                  <w:tcW w:w="1276" w:type="dxa"/>
                </w:tcPr>
                <w:p w14:paraId="4F6A6502" w14:textId="70242AB8"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568,43</w:t>
                  </w:r>
                </w:p>
              </w:tc>
              <w:tc>
                <w:tcPr>
                  <w:tcW w:w="1984" w:type="dxa"/>
                </w:tcPr>
                <w:p w14:paraId="3FB1CD60" w14:textId="3687D546"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593,87</w:t>
                  </w:r>
                </w:p>
              </w:tc>
              <w:tc>
                <w:tcPr>
                  <w:tcW w:w="1843" w:type="dxa"/>
                  <w:shd w:val="clear" w:color="auto" w:fill="auto"/>
                </w:tcPr>
                <w:p w14:paraId="39639998" w14:textId="6991ACB5" w:rsidR="00FD5B5F" w:rsidRPr="00253EB0" w:rsidRDefault="00FD5B5F" w:rsidP="00CD7F28">
                  <w:pPr>
                    <w:jc w:val="right"/>
                    <w:rPr>
                      <w:rFonts w:ascii="Times New Roman" w:hAnsi="Times New Roman" w:cs="Times New Roman"/>
                      <w:bCs/>
                      <w:sz w:val="16"/>
                      <w:szCs w:val="16"/>
                    </w:rPr>
                  </w:pPr>
                  <w:r w:rsidRPr="00253EB0">
                    <w:rPr>
                      <w:rFonts w:ascii="Times New Roman" w:hAnsi="Times New Roman" w:cs="Times New Roman"/>
                      <w:bCs/>
                      <w:sz w:val="16"/>
                      <w:szCs w:val="16"/>
                    </w:rPr>
                    <w:t>619,31</w:t>
                  </w:r>
                </w:p>
              </w:tc>
              <w:tc>
                <w:tcPr>
                  <w:tcW w:w="2126" w:type="dxa"/>
                </w:tcPr>
                <w:p w14:paraId="3D081DDB" w14:textId="149B893A"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619,31</w:t>
                  </w:r>
                </w:p>
              </w:tc>
            </w:tr>
            <w:tr w:rsidR="00FD5B5F" w:rsidRPr="0088224E" w14:paraId="228FC0DA" w14:textId="77777777" w:rsidTr="00253EB0">
              <w:tc>
                <w:tcPr>
                  <w:tcW w:w="1158" w:type="dxa"/>
                </w:tcPr>
                <w:p w14:paraId="0AA5D08E" w14:textId="18ED5864"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 xml:space="preserve">1 000 </w:t>
                  </w:r>
                </w:p>
              </w:tc>
              <w:tc>
                <w:tcPr>
                  <w:tcW w:w="1276" w:type="dxa"/>
                </w:tcPr>
                <w:p w14:paraId="163E7D81" w14:textId="5A2D7892"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768,43</w:t>
                  </w:r>
                </w:p>
              </w:tc>
              <w:tc>
                <w:tcPr>
                  <w:tcW w:w="1984" w:type="dxa"/>
                </w:tcPr>
                <w:p w14:paraId="76616DE4" w14:textId="1D775CB2"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793,87</w:t>
                  </w:r>
                </w:p>
              </w:tc>
              <w:tc>
                <w:tcPr>
                  <w:tcW w:w="1843" w:type="dxa"/>
                  <w:shd w:val="clear" w:color="auto" w:fill="auto"/>
                </w:tcPr>
                <w:p w14:paraId="2B45BE37" w14:textId="399BEC36" w:rsidR="00FD5B5F" w:rsidRPr="00253EB0" w:rsidRDefault="00FD5B5F" w:rsidP="00CD7F28">
                  <w:pPr>
                    <w:jc w:val="right"/>
                    <w:rPr>
                      <w:rFonts w:ascii="Times New Roman" w:hAnsi="Times New Roman" w:cs="Times New Roman"/>
                      <w:bCs/>
                      <w:sz w:val="16"/>
                      <w:szCs w:val="16"/>
                    </w:rPr>
                  </w:pPr>
                  <w:r w:rsidRPr="00253EB0">
                    <w:rPr>
                      <w:rFonts w:ascii="Times New Roman" w:hAnsi="Times New Roman" w:cs="Times New Roman"/>
                      <w:bCs/>
                      <w:sz w:val="16"/>
                      <w:szCs w:val="16"/>
                    </w:rPr>
                    <w:t>819,31</w:t>
                  </w:r>
                </w:p>
              </w:tc>
              <w:tc>
                <w:tcPr>
                  <w:tcW w:w="2126" w:type="dxa"/>
                </w:tcPr>
                <w:p w14:paraId="2D9F00F9" w14:textId="2DC1AC8F"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819,31</w:t>
                  </w:r>
                </w:p>
              </w:tc>
            </w:tr>
            <w:tr w:rsidR="00FD5B5F" w:rsidRPr="0088224E" w14:paraId="0B78866C" w14:textId="77777777" w:rsidTr="00253EB0">
              <w:tc>
                <w:tcPr>
                  <w:tcW w:w="1158" w:type="dxa"/>
                </w:tcPr>
                <w:p w14:paraId="7FE642A2" w14:textId="0050A3A2"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 xml:space="preserve">1 300 </w:t>
                  </w:r>
                </w:p>
              </w:tc>
              <w:tc>
                <w:tcPr>
                  <w:tcW w:w="1276" w:type="dxa"/>
                </w:tcPr>
                <w:p w14:paraId="3F974015" w14:textId="78B2EC51"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915,84</w:t>
                  </w:r>
                </w:p>
              </w:tc>
              <w:tc>
                <w:tcPr>
                  <w:tcW w:w="1984" w:type="dxa"/>
                </w:tcPr>
                <w:p w14:paraId="28822997" w14:textId="2528EE01"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992,16</w:t>
                  </w:r>
                </w:p>
              </w:tc>
              <w:tc>
                <w:tcPr>
                  <w:tcW w:w="1843" w:type="dxa"/>
                  <w:shd w:val="clear" w:color="auto" w:fill="auto"/>
                </w:tcPr>
                <w:p w14:paraId="372B3205" w14:textId="18C85719" w:rsidR="00FD5B5F" w:rsidRPr="00253EB0" w:rsidRDefault="00FD5B5F" w:rsidP="00CD7F28">
                  <w:pPr>
                    <w:jc w:val="right"/>
                    <w:rPr>
                      <w:rFonts w:ascii="Times New Roman" w:hAnsi="Times New Roman" w:cs="Times New Roman"/>
                      <w:bCs/>
                      <w:sz w:val="16"/>
                      <w:szCs w:val="16"/>
                    </w:rPr>
                  </w:pPr>
                  <w:r w:rsidRPr="00253EB0">
                    <w:rPr>
                      <w:rFonts w:ascii="Times New Roman" w:hAnsi="Times New Roman" w:cs="Times New Roman"/>
                      <w:bCs/>
                      <w:sz w:val="16"/>
                      <w:szCs w:val="16"/>
                    </w:rPr>
                    <w:t>1 019,31</w:t>
                  </w:r>
                </w:p>
              </w:tc>
              <w:tc>
                <w:tcPr>
                  <w:tcW w:w="2126" w:type="dxa"/>
                </w:tcPr>
                <w:p w14:paraId="0F2ABDBD" w14:textId="2A327A3B"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1 019,31</w:t>
                  </w:r>
                </w:p>
              </w:tc>
            </w:tr>
            <w:tr w:rsidR="00FD5B5F" w:rsidRPr="0088224E" w14:paraId="5C334F25" w14:textId="77777777" w:rsidTr="00253EB0">
              <w:tc>
                <w:tcPr>
                  <w:tcW w:w="1158" w:type="dxa"/>
                </w:tcPr>
                <w:p w14:paraId="29C98E04" w14:textId="07D24540"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 xml:space="preserve">1 500 </w:t>
                  </w:r>
                </w:p>
              </w:tc>
              <w:tc>
                <w:tcPr>
                  <w:tcW w:w="1276" w:type="dxa"/>
                </w:tcPr>
                <w:p w14:paraId="3459EC72" w14:textId="4CEC6D20"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915,84</w:t>
                  </w:r>
                </w:p>
              </w:tc>
              <w:tc>
                <w:tcPr>
                  <w:tcW w:w="1984" w:type="dxa"/>
                </w:tcPr>
                <w:p w14:paraId="78D0A5B5" w14:textId="1BA1D38E"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992,16</w:t>
                  </w:r>
                </w:p>
              </w:tc>
              <w:tc>
                <w:tcPr>
                  <w:tcW w:w="1843" w:type="dxa"/>
                  <w:shd w:val="clear" w:color="auto" w:fill="auto"/>
                </w:tcPr>
                <w:p w14:paraId="6A3E63FF" w14:textId="4CC74D33" w:rsidR="00FD5B5F" w:rsidRPr="00253EB0" w:rsidRDefault="00253EB0" w:rsidP="00CD7F28">
                  <w:pPr>
                    <w:jc w:val="right"/>
                    <w:rPr>
                      <w:rFonts w:ascii="Times New Roman" w:hAnsi="Times New Roman" w:cs="Times New Roman"/>
                      <w:bCs/>
                      <w:sz w:val="16"/>
                      <w:szCs w:val="16"/>
                    </w:rPr>
                  </w:pPr>
                  <w:r w:rsidRPr="00253EB0">
                    <w:rPr>
                      <w:rFonts w:ascii="Times New Roman" w:hAnsi="Times New Roman" w:cs="Times New Roman"/>
                      <w:bCs/>
                      <w:sz w:val="16"/>
                      <w:szCs w:val="16"/>
                    </w:rPr>
                    <w:t>1068,48</w:t>
                  </w:r>
                </w:p>
              </w:tc>
              <w:tc>
                <w:tcPr>
                  <w:tcW w:w="2126" w:type="dxa"/>
                </w:tcPr>
                <w:p w14:paraId="768F2CF0" w14:textId="19F52F65"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1 068,48</w:t>
                  </w:r>
                </w:p>
              </w:tc>
            </w:tr>
            <w:tr w:rsidR="00FD5B5F" w14:paraId="73E97976" w14:textId="77777777" w:rsidTr="00253EB0">
              <w:tc>
                <w:tcPr>
                  <w:tcW w:w="1158" w:type="dxa"/>
                </w:tcPr>
                <w:p w14:paraId="3770162F" w14:textId="5C00FF59" w:rsidR="00FD5B5F" w:rsidRPr="00253EB0" w:rsidRDefault="00FD5B5F" w:rsidP="00CD7F28">
                  <w:pPr>
                    <w:jc w:val="right"/>
                    <w:rPr>
                      <w:rFonts w:ascii="Times New Roman" w:hAnsi="Times New Roman" w:cs="Times New Roman"/>
                      <w:sz w:val="16"/>
                      <w:szCs w:val="16"/>
                    </w:rPr>
                  </w:pPr>
                  <w:r w:rsidRPr="00253EB0">
                    <w:rPr>
                      <w:rFonts w:ascii="Times New Roman" w:hAnsi="Times New Roman" w:cs="Times New Roman"/>
                      <w:sz w:val="16"/>
                      <w:szCs w:val="16"/>
                    </w:rPr>
                    <w:t xml:space="preserve">2 000 </w:t>
                  </w:r>
                </w:p>
              </w:tc>
              <w:tc>
                <w:tcPr>
                  <w:tcW w:w="1276" w:type="dxa"/>
                </w:tcPr>
                <w:p w14:paraId="620FD773" w14:textId="7554588A"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915,84</w:t>
                  </w:r>
                </w:p>
              </w:tc>
              <w:tc>
                <w:tcPr>
                  <w:tcW w:w="1984" w:type="dxa"/>
                </w:tcPr>
                <w:p w14:paraId="14C93078" w14:textId="1F3539B0"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992,16</w:t>
                  </w:r>
                </w:p>
              </w:tc>
              <w:tc>
                <w:tcPr>
                  <w:tcW w:w="1843" w:type="dxa"/>
                  <w:shd w:val="clear" w:color="auto" w:fill="auto"/>
                </w:tcPr>
                <w:p w14:paraId="30058B26" w14:textId="5BD73FD8" w:rsidR="00FD5B5F" w:rsidRPr="00253EB0" w:rsidRDefault="00253EB0" w:rsidP="00CD7F28">
                  <w:pPr>
                    <w:jc w:val="right"/>
                    <w:rPr>
                      <w:rFonts w:ascii="Times New Roman" w:hAnsi="Times New Roman" w:cs="Times New Roman"/>
                      <w:bCs/>
                      <w:sz w:val="16"/>
                      <w:szCs w:val="16"/>
                    </w:rPr>
                  </w:pPr>
                  <w:r w:rsidRPr="00253EB0">
                    <w:rPr>
                      <w:rFonts w:ascii="Times New Roman" w:hAnsi="Times New Roman" w:cs="Times New Roman"/>
                      <w:bCs/>
                      <w:sz w:val="16"/>
                      <w:szCs w:val="16"/>
                    </w:rPr>
                    <w:t>1068,48</w:t>
                  </w:r>
                </w:p>
              </w:tc>
              <w:tc>
                <w:tcPr>
                  <w:tcW w:w="2126" w:type="dxa"/>
                </w:tcPr>
                <w:p w14:paraId="5FB7FE47" w14:textId="04AFC772" w:rsidR="00FD5B5F" w:rsidRPr="00253EB0" w:rsidRDefault="00253EB0" w:rsidP="00CD7F28">
                  <w:pPr>
                    <w:jc w:val="right"/>
                    <w:rPr>
                      <w:rFonts w:ascii="Times New Roman" w:hAnsi="Times New Roman" w:cs="Times New Roman"/>
                      <w:sz w:val="16"/>
                      <w:szCs w:val="16"/>
                    </w:rPr>
                  </w:pPr>
                  <w:r w:rsidRPr="00253EB0">
                    <w:rPr>
                      <w:rFonts w:ascii="Times New Roman" w:hAnsi="Times New Roman" w:cs="Times New Roman"/>
                      <w:sz w:val="16"/>
                      <w:szCs w:val="16"/>
                    </w:rPr>
                    <w:t>1 068,48</w:t>
                  </w:r>
                </w:p>
              </w:tc>
            </w:tr>
          </w:tbl>
          <w:p w14:paraId="34192B20" w14:textId="77777777" w:rsidR="00FC12C0" w:rsidRPr="00FC12C0" w:rsidRDefault="00FC12C0" w:rsidP="00FC12C0">
            <w:pPr>
              <w:jc w:val="both"/>
              <w:rPr>
                <w:rFonts w:ascii="Times New Roman" w:hAnsi="Times New Roman" w:cs="Times New Roman"/>
                <w:sz w:val="20"/>
                <w:szCs w:val="20"/>
              </w:rPr>
            </w:pPr>
          </w:p>
          <w:p w14:paraId="4498388D" w14:textId="34703408" w:rsidR="00FC12C0" w:rsidRPr="00FC12C0" w:rsidRDefault="00FC12C0" w:rsidP="00FC12C0">
            <w:pPr>
              <w:jc w:val="both"/>
              <w:rPr>
                <w:rFonts w:ascii="Times New Roman" w:hAnsi="Times New Roman" w:cs="Times New Roman"/>
                <w:sz w:val="20"/>
                <w:szCs w:val="20"/>
              </w:rPr>
            </w:pPr>
            <w:r w:rsidRPr="00FC12C0">
              <w:rPr>
                <w:rFonts w:ascii="Times New Roman" w:hAnsi="Times New Roman" w:cs="Times New Roman"/>
                <w:sz w:val="20"/>
                <w:szCs w:val="20"/>
              </w:rPr>
              <w:t>Je potrebné zdôrazniť, že výška zrážok zo mzdy alebo iného príjmu povinného, ak ide o vymoženie prednostných pohľadávok podľa § 71 ods. 2 Exekučného poriadku ostáva nezmenená</w:t>
            </w:r>
            <w:bookmarkStart w:id="0" w:name="_GoBack"/>
            <w:bookmarkEnd w:id="0"/>
            <w:r w:rsidRPr="00FC12C0">
              <w:rPr>
                <w:rFonts w:ascii="Times New Roman" w:hAnsi="Times New Roman" w:cs="Times New Roman"/>
                <w:sz w:val="20"/>
                <w:szCs w:val="20"/>
              </w:rPr>
              <w:t>.</w:t>
            </w:r>
          </w:p>
          <w:p w14:paraId="1EBE4F78" w14:textId="77777777" w:rsidR="00FC12C0" w:rsidRPr="00FC12C0" w:rsidRDefault="00FC12C0" w:rsidP="00FC12C0">
            <w:pPr>
              <w:jc w:val="both"/>
              <w:rPr>
                <w:rFonts w:ascii="Times New Roman" w:hAnsi="Times New Roman" w:cs="Times New Roman"/>
                <w:sz w:val="20"/>
                <w:szCs w:val="20"/>
              </w:rPr>
            </w:pPr>
          </w:p>
          <w:p w14:paraId="05FB64B2" w14:textId="77777777" w:rsidR="001B23B7" w:rsidRPr="00FC12C0" w:rsidRDefault="00FC12C0" w:rsidP="00070180">
            <w:pPr>
              <w:jc w:val="both"/>
              <w:rPr>
                <w:rFonts w:ascii="Times New Roman" w:eastAsia="Times New Roman" w:hAnsi="Times New Roman" w:cs="Times New Roman"/>
                <w:sz w:val="20"/>
                <w:szCs w:val="20"/>
                <w:lang w:eastAsia="sk-SK"/>
              </w:rPr>
            </w:pPr>
            <w:r w:rsidRPr="00FC12C0">
              <w:rPr>
                <w:rFonts w:ascii="Times New Roman" w:hAnsi="Times New Roman" w:cs="Times New Roman"/>
                <w:sz w:val="20"/>
                <w:szCs w:val="20"/>
              </w:rPr>
              <w:t xml:space="preserve">Výsledným stavom po prijatí návrhu nariadenia má byť zvýšenie životnej úrovne nízkopríjmových skupín obyvateľov a skupín obyvateľov ohrozených chudobou, vo vzťahu ku ktorým je voči jednotlivým členom domácností vedená exekúcia, zabezpečenie čistého príjmu zohľadňujúceho vysoký rast životných nákladov a potreby domácností. Súčasne sa predpokladá zvýšenie zamestnanosti (a súčasne zníženie zamestnania na čiernom trhu práce), otvorenie možností pre povinných získať lepšie mzdové zvýhodnenie a v konečnom dôsledku sa predpokladá aj zvýšenie uspokojenia pohľadávok oprávnených, ktorí svoje pohľadávky nemôžu </w:t>
            </w:r>
            <w:r w:rsidRPr="00FC12C0">
              <w:rPr>
                <w:rFonts w:ascii="Times New Roman" w:hAnsi="Times New Roman" w:cs="Times New Roman"/>
                <w:sz w:val="20"/>
                <w:szCs w:val="20"/>
              </w:rPr>
              <w:lastRenderedPageBreak/>
              <w:t>vymôcť v dôsledku toho, že povinný sa nezamestná práve z obavy vysokých zrážok zo mzdy, ktoré mu v rámci vedeného exekučného konania hrozia.</w:t>
            </w:r>
          </w:p>
        </w:tc>
      </w:tr>
      <w:tr w:rsidR="001B23B7" w:rsidRPr="00B043B4" w14:paraId="78F92D0C" w14:textId="77777777" w:rsidTr="00F8185A">
        <w:tc>
          <w:tcPr>
            <w:tcW w:w="9180" w:type="dxa"/>
            <w:gridSpan w:val="11"/>
            <w:tcBorders>
              <w:top w:val="single" w:sz="4" w:space="0" w:color="auto"/>
              <w:left w:val="single" w:sz="4" w:space="0" w:color="auto"/>
              <w:bottom w:val="nil"/>
              <w:right w:val="single" w:sz="4" w:space="0" w:color="auto"/>
            </w:tcBorders>
            <w:shd w:val="clear" w:color="auto" w:fill="E2E2E2"/>
          </w:tcPr>
          <w:p w14:paraId="38AA512E"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F383B" w14:paraId="23521D8C" w14:textId="77777777" w:rsidTr="00F8185A">
        <w:tc>
          <w:tcPr>
            <w:tcW w:w="9180" w:type="dxa"/>
            <w:gridSpan w:val="11"/>
            <w:tcBorders>
              <w:top w:val="nil"/>
              <w:left w:val="single" w:sz="4" w:space="0" w:color="auto"/>
              <w:bottom w:val="single" w:sz="4" w:space="0" w:color="auto"/>
              <w:right w:val="single" w:sz="4" w:space="0" w:color="auto"/>
            </w:tcBorders>
            <w:shd w:val="clear" w:color="auto" w:fill="FFFFFF"/>
          </w:tcPr>
          <w:p w14:paraId="0A420F50" w14:textId="77777777" w:rsidR="001B23B7" w:rsidRPr="00BF383B" w:rsidRDefault="00FC12C0" w:rsidP="00F8185A">
            <w:pPr>
              <w:rPr>
                <w:rFonts w:ascii="Times New Roman" w:eastAsia="Times New Roman" w:hAnsi="Times New Roman" w:cs="Times New Roman"/>
                <w:sz w:val="20"/>
                <w:szCs w:val="20"/>
                <w:lang w:eastAsia="sk-SK"/>
              </w:rPr>
            </w:pPr>
            <w:r>
              <w:rPr>
                <w:rFonts w:ascii="Times" w:hAnsi="Times" w:cs="Times"/>
                <w:sz w:val="20"/>
                <w:szCs w:val="20"/>
              </w:rPr>
              <w:t>Fyzické osoby, právnické osoby, štát, súdni exekútori</w:t>
            </w:r>
          </w:p>
        </w:tc>
      </w:tr>
      <w:tr w:rsidR="001B23B7" w:rsidRPr="00B043B4" w14:paraId="75843EF8" w14:textId="77777777" w:rsidTr="00F8185A">
        <w:tc>
          <w:tcPr>
            <w:tcW w:w="9180" w:type="dxa"/>
            <w:gridSpan w:val="11"/>
            <w:tcBorders>
              <w:top w:val="single" w:sz="4" w:space="0" w:color="auto"/>
              <w:left w:val="single" w:sz="4" w:space="0" w:color="auto"/>
              <w:bottom w:val="nil"/>
              <w:right w:val="single" w:sz="4" w:space="0" w:color="auto"/>
            </w:tcBorders>
            <w:shd w:val="clear" w:color="auto" w:fill="E2E2E2"/>
          </w:tcPr>
          <w:p w14:paraId="20444127"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F383B" w14:paraId="74574B52" w14:textId="77777777" w:rsidTr="00F8185A">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D70AD12" w14:textId="77777777" w:rsidR="00FC12C0" w:rsidRDefault="00FC12C0" w:rsidP="00FC12C0">
            <w:pPr>
              <w:jc w:val="both"/>
              <w:rPr>
                <w:rFonts w:ascii="Times" w:hAnsi="Times" w:cs="Times"/>
                <w:sz w:val="20"/>
                <w:szCs w:val="20"/>
              </w:rPr>
            </w:pPr>
            <w:r>
              <w:rPr>
                <w:rFonts w:ascii="Times" w:hAnsi="Times" w:cs="Times"/>
                <w:sz w:val="20"/>
                <w:szCs w:val="20"/>
              </w:rPr>
              <w:t xml:space="preserve">Alternatívne riešenia boli posudzované najmä z hľadiska okruhu osôb, vo vzťahu ku ktorým by došlo k zvýšeniu základnej sumy, ktorá sa nesmie zraziť povinnému z jeho čistej mesačnej mzdy, pričom toto „zvýhodnenie“ sa malo dotýkať výlučne povinného, ktorému by počas exekučného konania vznikol pracovný pomer alebo obdobný pracovný vzťah a v posledných 12 po sebe nasledujúcich mesiacoch pred začatím exekučného konania bol vedený v evidencii uchádzačov o zamestnanie najmenej počas troch po sebe nasledujúcich mesiacov. V takomto prípade sa počítalo so zvýšením základnej sumy na 130% zo životného minima na plnoletú fyzickú osobu, pričom by sa neaplikovalo ustanovenie o zrážke bez obmedzenia. </w:t>
            </w:r>
          </w:p>
          <w:p w14:paraId="16AC8AD8" w14:textId="61AF3919" w:rsidR="001B23B7" w:rsidRPr="00BF383B" w:rsidRDefault="00FC12C0" w:rsidP="00CD7F28">
            <w:pPr>
              <w:jc w:val="both"/>
              <w:rPr>
                <w:rFonts w:ascii="Times New Roman" w:eastAsia="Times New Roman" w:hAnsi="Times New Roman" w:cs="Times New Roman"/>
                <w:sz w:val="20"/>
                <w:szCs w:val="20"/>
                <w:lang w:eastAsia="sk-SK"/>
              </w:rPr>
            </w:pPr>
            <w:r>
              <w:rPr>
                <w:rFonts w:ascii="Times" w:hAnsi="Times" w:cs="Times"/>
                <w:sz w:val="20"/>
                <w:szCs w:val="20"/>
              </w:rPr>
              <w:t>Alternatívne riešenia boli ďalej posudzované z hľadiska určenia výšky základnej sumy a určenia limitu zrážky bez obmedzenia</w:t>
            </w:r>
            <w:r w:rsidR="00CD7F28">
              <w:rPr>
                <w:rFonts w:ascii="Times" w:hAnsi="Times" w:cs="Times"/>
                <w:sz w:val="20"/>
                <w:szCs w:val="20"/>
              </w:rPr>
              <w:t xml:space="preserve"> (navýšenie na 200 %, 250 %, 300 %)</w:t>
            </w:r>
            <w:r>
              <w:rPr>
                <w:rFonts w:ascii="Times" w:hAnsi="Times" w:cs="Times"/>
                <w:sz w:val="20"/>
                <w:szCs w:val="20"/>
              </w:rPr>
              <w:t xml:space="preserve">, pričom navrhované parametre pre určenie základnej sumy a zrážky bez obmedzenia sú výsledkom práce pracovnej skupiny a výpočtov realizovaných na základe rôznych parametrov v pracovnej skupine, </w:t>
            </w:r>
            <w:r w:rsidR="00CD7F28">
              <w:rPr>
                <w:rFonts w:ascii="Times" w:hAnsi="Times" w:cs="Times"/>
                <w:sz w:val="20"/>
                <w:szCs w:val="20"/>
              </w:rPr>
              <w:t>nakoľko</w:t>
            </w:r>
            <w:r>
              <w:rPr>
                <w:rFonts w:ascii="Times" w:hAnsi="Times" w:cs="Times"/>
                <w:sz w:val="20"/>
                <w:szCs w:val="20"/>
              </w:rPr>
              <w:t xml:space="preserve"> boli posúdené ako najvhodnejšie, najefektívnejšie a najspravodlivejšie vzhľadom k cieľom navrhovanej právnej úpravy a vzhľadom na dostupné údaje o raste životných nákladov, dopadov pandémie COVID-19 a priemernej mesačnej mzde v Slovenskej republike.</w:t>
            </w:r>
          </w:p>
        </w:tc>
      </w:tr>
      <w:tr w:rsidR="001B23B7" w:rsidRPr="00B043B4" w14:paraId="71050DEA" w14:textId="77777777" w:rsidTr="00F8185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3F1743C"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225E6D97" w14:textId="77777777" w:rsidTr="00F8185A">
        <w:tc>
          <w:tcPr>
            <w:tcW w:w="6203" w:type="dxa"/>
            <w:gridSpan w:val="7"/>
            <w:tcBorders>
              <w:top w:val="single" w:sz="4" w:space="0" w:color="FFFFFF"/>
              <w:left w:val="single" w:sz="4" w:space="0" w:color="auto"/>
              <w:bottom w:val="nil"/>
              <w:right w:val="nil"/>
            </w:tcBorders>
            <w:shd w:val="clear" w:color="auto" w:fill="FFFFFF"/>
          </w:tcPr>
          <w:p w14:paraId="69F3CE54" w14:textId="77777777" w:rsidR="001B23B7" w:rsidRPr="00B043B4" w:rsidRDefault="001B23B7" w:rsidP="00F8185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93F6453" w14:textId="77777777" w:rsidR="001B23B7" w:rsidRPr="00B043B4" w:rsidRDefault="001F5186" w:rsidP="00F8185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FC12C0"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FF8AF01" w14:textId="77777777" w:rsidR="001B23B7" w:rsidRPr="00B043B4" w:rsidRDefault="001F5186" w:rsidP="00FC12C0">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sdt>
                  <w:sdtPr>
                    <w:rPr>
                      <w:rFonts w:ascii="Times New Roman" w:eastAsia="Times New Roman" w:hAnsi="Times New Roman" w:cs="Times New Roman"/>
                      <w:b/>
                      <w:sz w:val="20"/>
                      <w:szCs w:val="20"/>
                      <w:lang w:eastAsia="sk-SK"/>
                    </w:rPr>
                    <w:id w:val="-2118517110"/>
                  </w:sdtPr>
                  <w:sdtEndPr/>
                  <w:sdtContent>
                    <w:r w:rsidR="00FC12C0" w:rsidRPr="00AD2484">
                      <w:rPr>
                        <w:rFonts w:ascii="Wingdings 2" w:hAnsi="Wingdings 2" w:cs="Times"/>
                        <w:sz w:val="20"/>
                        <w:szCs w:val="20"/>
                      </w:rPr>
                      <w:t></w:t>
                    </w:r>
                  </w:sdtContent>
                </w:sdt>
                <w:r w:rsidR="00FC12C0" w:rsidRPr="00B043B4">
                  <w:rPr>
                    <w:rFonts w:ascii="Segoe UI Symbol" w:eastAsia="Times New Roman" w:hAnsi="Segoe UI Symbol" w:cs="Segoe UI Symbol"/>
                    <w:b/>
                    <w:sz w:val="20"/>
                    <w:szCs w:val="20"/>
                    <w:lang w:eastAsia="sk-SK"/>
                  </w:rPr>
                  <w:t xml:space="preserve"> </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1DDE14EB" w14:textId="77777777" w:rsidTr="00F8185A">
        <w:tc>
          <w:tcPr>
            <w:tcW w:w="9180" w:type="dxa"/>
            <w:gridSpan w:val="11"/>
            <w:tcBorders>
              <w:top w:val="nil"/>
              <w:left w:val="single" w:sz="4" w:space="0" w:color="auto"/>
              <w:bottom w:val="single" w:sz="4" w:space="0" w:color="auto"/>
              <w:right w:val="single" w:sz="4" w:space="0" w:color="auto"/>
            </w:tcBorders>
            <w:shd w:val="clear" w:color="auto" w:fill="FFFFFF"/>
          </w:tcPr>
          <w:p w14:paraId="1B9F047D" w14:textId="77777777" w:rsidR="001B23B7" w:rsidRDefault="001B23B7" w:rsidP="00F8185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E7BDF97" w14:textId="77777777" w:rsidR="00BF383B" w:rsidRPr="00BF383B" w:rsidRDefault="00BF383B" w:rsidP="00F8185A">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 </w:t>
            </w:r>
          </w:p>
          <w:p w14:paraId="313D75D4" w14:textId="77777777" w:rsidR="001B23B7" w:rsidRPr="00B043B4" w:rsidRDefault="001B23B7" w:rsidP="00F8185A">
            <w:pPr>
              <w:rPr>
                <w:rFonts w:ascii="Times New Roman" w:eastAsia="Times New Roman" w:hAnsi="Times New Roman" w:cs="Times New Roman"/>
                <w:sz w:val="20"/>
                <w:szCs w:val="20"/>
                <w:lang w:eastAsia="sk-SK"/>
              </w:rPr>
            </w:pPr>
          </w:p>
        </w:tc>
      </w:tr>
      <w:tr w:rsidR="001B23B7" w:rsidRPr="00B043B4" w14:paraId="6DFCDAC9" w14:textId="77777777" w:rsidTr="00F8185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BD5391C"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F383B" w14:paraId="0AA57991" w14:textId="77777777" w:rsidTr="00F8185A">
        <w:trPr>
          <w:trHeight w:val="157"/>
        </w:trPr>
        <w:tc>
          <w:tcPr>
            <w:tcW w:w="9180" w:type="dxa"/>
            <w:gridSpan w:val="11"/>
            <w:tcBorders>
              <w:top w:val="nil"/>
              <w:left w:val="single" w:sz="4" w:space="0" w:color="000000"/>
              <w:bottom w:val="nil"/>
              <w:right w:val="single" w:sz="4" w:space="0" w:color="auto"/>
            </w:tcBorders>
            <w:shd w:val="clear" w:color="auto" w:fill="FFFFFF"/>
          </w:tcPr>
          <w:p w14:paraId="1862355A" w14:textId="77777777" w:rsidR="001B23B7" w:rsidRPr="00BF383B" w:rsidRDefault="00BF383B" w:rsidP="00F8185A">
            <w:pPr>
              <w:jc w:val="both"/>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Nejde o transpozíciu práva EÚ.</w:t>
            </w:r>
          </w:p>
        </w:tc>
      </w:tr>
      <w:tr w:rsidR="001B23B7" w:rsidRPr="00B043B4" w14:paraId="60EA382C" w14:textId="77777777" w:rsidTr="00F8185A">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935682D" w14:textId="77777777" w:rsidR="001B23B7" w:rsidRPr="00B043B4" w:rsidRDefault="001B23B7" w:rsidP="00F8185A">
            <w:pPr>
              <w:jc w:val="center"/>
              <w:rPr>
                <w:rFonts w:ascii="Times New Roman" w:eastAsia="Times New Roman" w:hAnsi="Times New Roman" w:cs="Times New Roman"/>
                <w:sz w:val="20"/>
                <w:szCs w:val="20"/>
                <w:lang w:eastAsia="sk-SK"/>
              </w:rPr>
            </w:pPr>
          </w:p>
        </w:tc>
      </w:tr>
      <w:tr w:rsidR="001B23B7" w:rsidRPr="00B043B4" w14:paraId="23CCA0F3" w14:textId="77777777" w:rsidTr="00F8185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479E82C"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446C964C" w14:textId="77777777" w:rsidTr="00F8185A">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C475042" w14:textId="77777777" w:rsidR="001B23B7" w:rsidRPr="00B043B4" w:rsidRDefault="001B23B7" w:rsidP="00F8185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6DEE6D7" w14:textId="77777777" w:rsidR="001B23B7" w:rsidRDefault="001B23B7" w:rsidP="00F8185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404AB17A" w14:textId="77777777" w:rsidR="0019513F" w:rsidRDefault="0019513F" w:rsidP="00F8185A">
            <w:pPr>
              <w:rPr>
                <w:rFonts w:ascii="Times New Roman" w:eastAsia="Times New Roman" w:hAnsi="Times New Roman" w:cs="Times New Roman"/>
                <w:i/>
                <w:sz w:val="20"/>
                <w:szCs w:val="20"/>
                <w:lang w:eastAsia="sk-SK"/>
              </w:rPr>
            </w:pPr>
          </w:p>
          <w:p w14:paraId="6E0326E5" w14:textId="77777777" w:rsidR="001B23B7" w:rsidRDefault="0019513F" w:rsidP="0019513F">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Preskúmanie účelnosti navrhovaného predpisu bude vykonávané priebežne po n</w:t>
            </w:r>
            <w:r w:rsidR="00FC12C0">
              <w:rPr>
                <w:rFonts w:ascii="Times New Roman" w:eastAsia="Times New Roman" w:hAnsi="Times New Roman" w:cs="Times New Roman"/>
                <w:sz w:val="20"/>
                <w:szCs w:val="20"/>
                <w:lang w:eastAsia="sk-SK"/>
              </w:rPr>
              <w:t>adobudnutí jeho účinnosti</w:t>
            </w:r>
            <w:r w:rsidRPr="0019513F">
              <w:rPr>
                <w:rFonts w:ascii="Times New Roman" w:eastAsia="Times New Roman" w:hAnsi="Times New Roman" w:cs="Times New Roman"/>
                <w:sz w:val="20"/>
                <w:szCs w:val="20"/>
                <w:lang w:eastAsia="sk-SK"/>
              </w:rPr>
              <w:t>.</w:t>
            </w:r>
          </w:p>
          <w:p w14:paraId="0C877A54" w14:textId="39FF9629" w:rsidR="00B56FDD" w:rsidRPr="00B043B4" w:rsidRDefault="00B56FDD" w:rsidP="0019513F">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Preskúmanie účelnosti navrhovaného predpisu sa predpokladá do jedného roka od jeho účinnosti na základe dostupných štatistických údajov o obyvateľoch a údajov vedených v informačných systémoch Ministerstva spravodlivosti Slovenskej republiky a Centrálnom registri exekúcií.</w:t>
            </w:r>
          </w:p>
        </w:tc>
      </w:tr>
      <w:tr w:rsidR="001B23B7" w:rsidRPr="00B043B4" w14:paraId="59E01D9D"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4CEBAC7"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1991BC0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05DCE828" w14:textId="77777777" w:rsidR="001B23B7" w:rsidRPr="00B043B4" w:rsidRDefault="001B23B7" w:rsidP="00F8185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14:paraId="06C2EB06" w14:textId="77777777" w:rsidR="001B23B7" w:rsidRPr="00B043B4" w:rsidRDefault="001B23B7" w:rsidP="00F8185A">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EBF0A43" w14:textId="77777777" w:rsidR="001B23B7" w:rsidRPr="00B043B4" w:rsidRDefault="001B23B7" w:rsidP="00F8185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14:paraId="01F99851" w14:textId="77777777" w:rsidR="001B23B7" w:rsidRPr="00B043B4" w:rsidRDefault="001F5186" w:rsidP="00FC12C0">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51753330"/>
                  </w:sdtPr>
                  <w:sdtEndPr/>
                  <w:sdtContent>
                    <w:r w:rsidR="00FC12C0" w:rsidRPr="00AD2484">
                      <w:rPr>
                        <w:rFonts w:ascii="Wingdings 2" w:hAnsi="Wingdings 2" w:cs="Times"/>
                        <w:sz w:val="20"/>
                        <w:szCs w:val="20"/>
                      </w:rPr>
                      <w:t></w:t>
                    </w:r>
                  </w:sdtContent>
                </w:sdt>
                <w:r w:rsidR="00FC12C0" w:rsidRPr="00B043B4">
                  <w:rPr>
                    <w:rFonts w:ascii="Segoe UI Symbol" w:eastAsia="Times New Roman" w:hAnsi="Segoe UI Symbol" w:cs="Segoe UI Symbol"/>
                    <w:b/>
                    <w:sz w:val="20"/>
                    <w:szCs w:val="20"/>
                    <w:lang w:eastAsia="sk-SK"/>
                  </w:rPr>
                  <w:t xml:space="preserve"> </w:t>
                </w:r>
              </w:p>
            </w:tc>
          </w:sdtContent>
        </w:sdt>
        <w:tc>
          <w:tcPr>
            <w:tcW w:w="1133" w:type="dxa"/>
            <w:tcBorders>
              <w:top w:val="single" w:sz="4" w:space="0" w:color="auto"/>
              <w:left w:val="nil"/>
              <w:bottom w:val="dotted" w:sz="4" w:space="0" w:color="auto"/>
              <w:right w:val="nil"/>
            </w:tcBorders>
          </w:tcPr>
          <w:p w14:paraId="5F550529" w14:textId="77777777" w:rsidR="001B23B7" w:rsidRPr="00B043B4" w:rsidRDefault="001B23B7" w:rsidP="00F8185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14:paraId="5BB3D667" w14:textId="77777777" w:rsidR="001B23B7" w:rsidRPr="00B043B4" w:rsidRDefault="00FC12C0" w:rsidP="00FC12C0">
                <w:pPr>
                  <w:ind w:left="-107"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   </w:t>
                </w: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1D351C77" w14:textId="77777777" w:rsidR="001B23B7" w:rsidRPr="00B043B4" w:rsidRDefault="001B23B7" w:rsidP="00F8185A">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58112A8C" w14:textId="77777777" w:rsidTr="009431E3">
        <w:tc>
          <w:tcPr>
            <w:tcW w:w="3812" w:type="dxa"/>
            <w:tcBorders>
              <w:top w:val="nil"/>
              <w:left w:val="single" w:sz="4" w:space="0" w:color="auto"/>
              <w:bottom w:val="single" w:sz="4" w:space="0" w:color="000000"/>
              <w:right w:val="single" w:sz="4" w:space="0" w:color="auto"/>
            </w:tcBorders>
            <w:shd w:val="clear" w:color="auto" w:fill="E2E2E2"/>
          </w:tcPr>
          <w:p w14:paraId="06E808C1"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0EA49947"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5B98DF01"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14:paraId="12B01BA2" w14:textId="77777777" w:rsidR="001B23B7" w:rsidRPr="00B043B4" w:rsidRDefault="001B23B7" w:rsidP="00F8185A">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tcPr>
          <w:p w14:paraId="0920C968" w14:textId="77777777" w:rsidR="001B23B7" w:rsidRPr="00B043B4" w:rsidRDefault="001B23B7" w:rsidP="00F8185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1509591516"/>
              </w:sdtPr>
              <w:sdtEndPr/>
              <w:sdtContent>
                <w:tc>
                  <w:tcPr>
                    <w:tcW w:w="538" w:type="dxa"/>
                    <w:gridSpan w:val="2"/>
                    <w:tcBorders>
                      <w:top w:val="dotted" w:sz="4" w:space="0" w:color="auto"/>
                      <w:left w:val="nil"/>
                      <w:bottom w:val="single" w:sz="4" w:space="0" w:color="auto"/>
                      <w:right w:val="nil"/>
                    </w:tcBorders>
                  </w:tcPr>
                  <w:p w14:paraId="49DB4D0F" w14:textId="57205BAD" w:rsidR="001B23B7" w:rsidRPr="00B043B4" w:rsidRDefault="00B56FDD" w:rsidP="00F8185A">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tc>
          <w:tcPr>
            <w:tcW w:w="1133" w:type="dxa"/>
            <w:tcBorders>
              <w:top w:val="dotted" w:sz="4" w:space="0" w:color="auto"/>
              <w:left w:val="nil"/>
              <w:bottom w:val="single" w:sz="4" w:space="0" w:color="auto"/>
              <w:right w:val="nil"/>
            </w:tcBorders>
          </w:tcPr>
          <w:p w14:paraId="7D280DB7" w14:textId="77777777" w:rsidR="001B23B7" w:rsidRPr="00B043B4" w:rsidRDefault="001B23B7" w:rsidP="00F8185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14:paraId="04A31A73" w14:textId="77777777" w:rsidR="001B23B7" w:rsidRPr="00B043B4" w:rsidRDefault="001B23B7" w:rsidP="00F8185A">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14:paraId="003A4FB9" w14:textId="77777777" w:rsidR="001B23B7" w:rsidRPr="00B043B4" w:rsidRDefault="001B23B7" w:rsidP="00F8185A">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14965F91" w14:textId="77777777" w:rsidTr="009431E3">
        <w:tc>
          <w:tcPr>
            <w:tcW w:w="3812" w:type="dxa"/>
            <w:tcBorders>
              <w:top w:val="single" w:sz="4" w:space="0" w:color="000000"/>
              <w:left w:val="single" w:sz="4" w:space="0" w:color="auto"/>
              <w:bottom w:val="nil"/>
              <w:right w:val="single" w:sz="4" w:space="0" w:color="auto"/>
            </w:tcBorders>
            <w:shd w:val="clear" w:color="auto" w:fill="E2E2E2"/>
          </w:tcPr>
          <w:p w14:paraId="259A1B7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sdt>
              <w:sdtPr>
                <w:rPr>
                  <w:rFonts w:ascii="Times New Roman" w:eastAsia="Times New Roman" w:hAnsi="Times New Roman" w:cs="Times New Roman"/>
                  <w:b/>
                  <w:sz w:val="20"/>
                  <w:szCs w:val="20"/>
                  <w:lang w:eastAsia="sk-SK"/>
                </w:rPr>
                <w:id w:val="-803534907"/>
              </w:sdtPr>
              <w:sdtEndPr/>
              <w:sdtContent>
                <w:tc>
                  <w:tcPr>
                    <w:tcW w:w="541" w:type="dxa"/>
                    <w:gridSpan w:val="2"/>
                    <w:tcBorders>
                      <w:top w:val="single" w:sz="4" w:space="0" w:color="auto"/>
                      <w:left w:val="single" w:sz="4" w:space="0" w:color="auto"/>
                      <w:bottom w:val="dotted" w:sz="4" w:space="0" w:color="auto"/>
                      <w:right w:val="nil"/>
                    </w:tcBorders>
                  </w:tcPr>
                  <w:p w14:paraId="241DA8D0" w14:textId="77777777" w:rsidR="00F87681" w:rsidRPr="00B043B4" w:rsidRDefault="00FC12C0"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dotted" w:sz="4" w:space="0" w:color="auto"/>
              <w:right w:val="nil"/>
            </w:tcBorders>
          </w:tcPr>
          <w:p w14:paraId="20E1E697"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sdt>
              <w:sdtPr>
                <w:rPr>
                  <w:rFonts w:ascii="Times New Roman" w:eastAsia="Times New Roman" w:hAnsi="Times New Roman" w:cs="Times New Roman"/>
                  <w:b/>
                  <w:sz w:val="20"/>
                  <w:szCs w:val="20"/>
                  <w:lang w:eastAsia="sk-SK"/>
                </w:rPr>
                <w:id w:val="-1578199536"/>
              </w:sdtPr>
              <w:sdtEndPr>
                <w:rPr>
                  <w:b w:val="0"/>
                </w:rPr>
              </w:sdtEndPr>
              <w:sdtContent>
                <w:tc>
                  <w:tcPr>
                    <w:tcW w:w="538" w:type="dxa"/>
                    <w:gridSpan w:val="2"/>
                    <w:tcBorders>
                      <w:top w:val="single" w:sz="4" w:space="0" w:color="auto"/>
                      <w:left w:val="nil"/>
                      <w:bottom w:val="dotted" w:sz="4" w:space="0" w:color="auto"/>
                      <w:right w:val="nil"/>
                    </w:tcBorders>
                  </w:tcPr>
                  <w:p w14:paraId="1557FD15" w14:textId="77777777" w:rsidR="00F87681" w:rsidRPr="00B043B4" w:rsidRDefault="00FC12C0"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single" w:sz="4" w:space="0" w:color="auto"/>
              <w:left w:val="nil"/>
              <w:bottom w:val="dotted" w:sz="4" w:space="0" w:color="auto"/>
              <w:right w:val="nil"/>
            </w:tcBorders>
          </w:tcPr>
          <w:p w14:paraId="6B94DA6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sdt>
              <w:sdtPr>
                <w:rPr>
                  <w:rFonts w:ascii="Times New Roman" w:eastAsia="Times New Roman" w:hAnsi="Times New Roman" w:cs="Times New Roman"/>
                  <w:b/>
                  <w:sz w:val="20"/>
                  <w:szCs w:val="20"/>
                  <w:lang w:eastAsia="sk-SK"/>
                </w:rPr>
                <w:id w:val="1567603566"/>
              </w:sdtPr>
              <w:sdtEndPr/>
              <w:sdtContent>
                <w:tc>
                  <w:tcPr>
                    <w:tcW w:w="547" w:type="dxa"/>
                    <w:gridSpan w:val="2"/>
                    <w:tcBorders>
                      <w:top w:val="single" w:sz="4" w:space="0" w:color="auto"/>
                      <w:left w:val="nil"/>
                      <w:bottom w:val="dotted" w:sz="4" w:space="0" w:color="auto"/>
                      <w:right w:val="nil"/>
                    </w:tcBorders>
                  </w:tcPr>
                  <w:p w14:paraId="488AAD94" w14:textId="77777777" w:rsidR="00F87681" w:rsidRPr="00B043B4" w:rsidRDefault="00FC12C0"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297" w:type="dxa"/>
            <w:tcBorders>
              <w:top w:val="single" w:sz="4" w:space="0" w:color="auto"/>
              <w:left w:val="nil"/>
              <w:bottom w:val="dotted" w:sz="4" w:space="0" w:color="auto"/>
              <w:right w:val="single" w:sz="4" w:space="0" w:color="auto"/>
            </w:tcBorders>
          </w:tcPr>
          <w:p w14:paraId="0B31E7CD"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897CBDF" w14:textId="77777777" w:rsidTr="009431E3">
        <w:tc>
          <w:tcPr>
            <w:tcW w:w="3812" w:type="dxa"/>
            <w:tcBorders>
              <w:top w:val="nil"/>
              <w:left w:val="single" w:sz="4" w:space="0" w:color="000000"/>
              <w:bottom w:val="nil"/>
              <w:right w:val="single" w:sz="4" w:space="0" w:color="000000"/>
            </w:tcBorders>
            <w:shd w:val="clear" w:color="auto" w:fill="E2E2E2"/>
          </w:tcPr>
          <w:p w14:paraId="67DD0B13"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25FECA18"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sdt>
              <w:sdtPr>
                <w:rPr>
                  <w:rFonts w:ascii="Times New Roman" w:eastAsia="Times New Roman" w:hAnsi="Times New Roman" w:cs="Times New Roman"/>
                  <w:sz w:val="20"/>
                  <w:szCs w:val="20"/>
                  <w:lang w:eastAsia="sk-SK"/>
                </w:rPr>
                <w:id w:val="-495570411"/>
              </w:sdtPr>
              <w:sdtEndPr>
                <w:rPr>
                  <w:b/>
                </w:rPr>
              </w:sdtEndPr>
              <w:sdtContent>
                <w:tc>
                  <w:tcPr>
                    <w:tcW w:w="541" w:type="dxa"/>
                    <w:gridSpan w:val="2"/>
                    <w:tcBorders>
                      <w:top w:val="dotted" w:sz="4" w:space="0" w:color="auto"/>
                      <w:left w:val="single" w:sz="4" w:space="0" w:color="000000"/>
                      <w:bottom w:val="dotted" w:sz="4" w:space="0" w:color="auto"/>
                      <w:right w:val="nil"/>
                    </w:tcBorders>
                  </w:tcPr>
                  <w:p w14:paraId="3A9BCDAA" w14:textId="77777777" w:rsidR="00F87681" w:rsidRPr="00B043B4" w:rsidRDefault="00FC12C0" w:rsidP="00F87681">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tc>
          <w:tcPr>
            <w:tcW w:w="1312" w:type="dxa"/>
            <w:gridSpan w:val="2"/>
            <w:tcBorders>
              <w:top w:val="dotted" w:sz="4" w:space="0" w:color="auto"/>
              <w:left w:val="nil"/>
              <w:bottom w:val="dotted" w:sz="4" w:space="0" w:color="auto"/>
              <w:right w:val="nil"/>
            </w:tcBorders>
          </w:tcPr>
          <w:p w14:paraId="062DCF86" w14:textId="77777777"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14:paraId="267EF636" w14:textId="77777777"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14:paraId="6FB847BC"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sdt>
              <w:sdtPr>
                <w:rPr>
                  <w:rFonts w:ascii="Times New Roman" w:eastAsia="Times New Roman" w:hAnsi="Times New Roman" w:cs="Times New Roman"/>
                  <w:sz w:val="20"/>
                  <w:szCs w:val="20"/>
                  <w:lang w:eastAsia="sk-SK"/>
                </w:rPr>
                <w:id w:val="-1689362459"/>
              </w:sdtPr>
              <w:sdtEndPr>
                <w:rPr>
                  <w:b/>
                </w:rPr>
              </w:sdtEndPr>
              <w:sdtContent>
                <w:tc>
                  <w:tcPr>
                    <w:tcW w:w="547" w:type="dxa"/>
                    <w:gridSpan w:val="2"/>
                    <w:tcBorders>
                      <w:top w:val="dotted" w:sz="4" w:space="0" w:color="auto"/>
                      <w:left w:val="nil"/>
                      <w:bottom w:val="dotted" w:sz="4" w:space="0" w:color="auto"/>
                      <w:right w:val="nil"/>
                    </w:tcBorders>
                  </w:tcPr>
                  <w:p w14:paraId="0BA4FA80" w14:textId="77777777" w:rsidR="00F87681" w:rsidRPr="00B043B4" w:rsidRDefault="00FC12C0" w:rsidP="00F87681">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tc>
          <w:tcPr>
            <w:tcW w:w="1297" w:type="dxa"/>
            <w:tcBorders>
              <w:top w:val="dotted" w:sz="4" w:space="0" w:color="auto"/>
              <w:left w:val="nil"/>
              <w:bottom w:val="dotted" w:sz="4" w:space="0" w:color="auto"/>
              <w:right w:val="single" w:sz="4" w:space="0" w:color="auto"/>
            </w:tcBorders>
          </w:tcPr>
          <w:p w14:paraId="532AB613" w14:textId="77777777"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615776C0" w14:textId="77777777" w:rsidTr="00F8185A">
        <w:tc>
          <w:tcPr>
            <w:tcW w:w="3812" w:type="dxa"/>
            <w:tcBorders>
              <w:top w:val="nil"/>
              <w:left w:val="single" w:sz="4" w:space="0" w:color="auto"/>
              <w:bottom w:val="single" w:sz="4" w:space="0" w:color="auto"/>
              <w:right w:val="single" w:sz="4" w:space="0" w:color="auto"/>
            </w:tcBorders>
            <w:shd w:val="clear" w:color="auto" w:fill="E2E2E2"/>
          </w:tcPr>
          <w:p w14:paraId="6275031A"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3E04D529"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14:paraId="5A726221"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14:paraId="712B7CD4"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14:paraId="2C60BFFC" w14:textId="77777777"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14:paraId="16B200D7" w14:textId="77777777"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1539884161"/>
              </w:sdtPr>
              <w:sdtEndPr>
                <w:rPr>
                  <w:b/>
                </w:rPr>
              </w:sdtEndPr>
              <w:sdtContent>
                <w:tc>
                  <w:tcPr>
                    <w:tcW w:w="547" w:type="dxa"/>
                    <w:gridSpan w:val="2"/>
                    <w:tcBorders>
                      <w:top w:val="dotted" w:sz="4" w:space="0" w:color="auto"/>
                      <w:left w:val="nil"/>
                      <w:bottom w:val="single" w:sz="4" w:space="0" w:color="auto"/>
                      <w:right w:val="nil"/>
                    </w:tcBorders>
                  </w:tcPr>
                  <w:p w14:paraId="45D6E6DC" w14:textId="64DAB281" w:rsidR="00F87681" w:rsidRPr="00B043B4" w:rsidRDefault="003D1DA0"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297" w:type="dxa"/>
            <w:tcBorders>
              <w:top w:val="dotted" w:sz="4" w:space="0" w:color="auto"/>
              <w:left w:val="nil"/>
              <w:bottom w:val="single" w:sz="4" w:space="0" w:color="auto"/>
              <w:right w:val="single" w:sz="4" w:space="0" w:color="auto"/>
            </w:tcBorders>
          </w:tcPr>
          <w:p w14:paraId="60636CF2"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361C7CDC"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737380B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sdt>
              <w:sdtPr>
                <w:rPr>
                  <w:rFonts w:ascii="Times New Roman" w:eastAsia="Times New Roman" w:hAnsi="Times New Roman" w:cs="Times New Roman"/>
                  <w:b/>
                  <w:sz w:val="20"/>
                  <w:szCs w:val="20"/>
                  <w:lang w:eastAsia="sk-SK"/>
                </w:rPr>
                <w:id w:val="1381746695"/>
              </w:sdtPr>
              <w:sdtEndPr/>
              <w:sdtContent>
                <w:tc>
                  <w:tcPr>
                    <w:tcW w:w="541" w:type="dxa"/>
                    <w:gridSpan w:val="2"/>
                    <w:tcBorders>
                      <w:top w:val="single" w:sz="4" w:space="0" w:color="auto"/>
                      <w:left w:val="single" w:sz="4" w:space="0" w:color="auto"/>
                      <w:bottom w:val="single" w:sz="4" w:space="0" w:color="auto"/>
                      <w:right w:val="nil"/>
                    </w:tcBorders>
                  </w:tcPr>
                  <w:p w14:paraId="311E9619" w14:textId="77777777" w:rsidR="00F87681" w:rsidRPr="00B043B4" w:rsidRDefault="00FC12C0"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single" w:sz="4" w:space="0" w:color="auto"/>
              <w:right w:val="nil"/>
            </w:tcBorders>
          </w:tcPr>
          <w:p w14:paraId="7D7102D6"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sdt>
              <w:sdtPr>
                <w:rPr>
                  <w:rFonts w:ascii="Times New Roman" w:eastAsia="Times New Roman" w:hAnsi="Times New Roman" w:cs="Times New Roman"/>
                  <w:b/>
                  <w:sz w:val="20"/>
                  <w:szCs w:val="20"/>
                  <w:lang w:eastAsia="sk-SK"/>
                </w:rPr>
                <w:id w:val="878522327"/>
              </w:sdtPr>
              <w:sdtEndPr>
                <w:rPr>
                  <w:b w:val="0"/>
                </w:rPr>
              </w:sdtEndPr>
              <w:sdtContent>
                <w:tc>
                  <w:tcPr>
                    <w:tcW w:w="538" w:type="dxa"/>
                    <w:gridSpan w:val="2"/>
                    <w:tcBorders>
                      <w:top w:val="single" w:sz="4" w:space="0" w:color="auto"/>
                      <w:left w:val="nil"/>
                      <w:bottom w:val="single" w:sz="4" w:space="0" w:color="auto"/>
                      <w:right w:val="nil"/>
                    </w:tcBorders>
                  </w:tcPr>
                  <w:p w14:paraId="7386D010" w14:textId="77777777" w:rsidR="00F87681" w:rsidRPr="00B043B4" w:rsidRDefault="00FC12C0"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15E8EDA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sdt>
              <w:sdtPr>
                <w:rPr>
                  <w:rFonts w:ascii="Times New Roman" w:eastAsia="Times New Roman" w:hAnsi="Times New Roman" w:cs="Times New Roman"/>
                  <w:b/>
                  <w:sz w:val="20"/>
                  <w:szCs w:val="20"/>
                  <w:lang w:eastAsia="sk-SK"/>
                </w:rPr>
                <w:id w:val="455377202"/>
              </w:sdtPr>
              <w:sdtEndPr/>
              <w:sdtContent>
                <w:sdt>
                  <w:sdtPr>
                    <w:rPr>
                      <w:rFonts w:ascii="Times New Roman" w:eastAsia="Times New Roman" w:hAnsi="Times New Roman" w:cs="Times New Roman"/>
                      <w:b/>
                      <w:sz w:val="20"/>
                      <w:szCs w:val="20"/>
                      <w:lang w:eastAsia="sk-SK"/>
                    </w:rPr>
                    <w:id w:val="-452323140"/>
                  </w:sdtPr>
                  <w:sdtEndPr>
                    <w:rPr>
                      <w:b w:val="0"/>
                    </w:rPr>
                  </w:sdtEndPr>
                  <w:sdtContent>
                    <w:tc>
                      <w:tcPr>
                        <w:tcW w:w="547" w:type="dxa"/>
                        <w:gridSpan w:val="2"/>
                        <w:tcBorders>
                          <w:top w:val="single" w:sz="4" w:space="0" w:color="auto"/>
                          <w:left w:val="nil"/>
                          <w:bottom w:val="single" w:sz="4" w:space="0" w:color="auto"/>
                          <w:right w:val="nil"/>
                        </w:tcBorders>
                      </w:tcPr>
                      <w:p w14:paraId="23F0D7B0" w14:textId="1A65C651" w:rsidR="00F87681" w:rsidRPr="00B043B4" w:rsidRDefault="00E57BE6"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1297" w:type="dxa"/>
            <w:tcBorders>
              <w:top w:val="single" w:sz="4" w:space="0" w:color="auto"/>
              <w:left w:val="nil"/>
              <w:bottom w:val="single" w:sz="4" w:space="0" w:color="auto"/>
              <w:right w:val="single" w:sz="4" w:space="0" w:color="auto"/>
            </w:tcBorders>
          </w:tcPr>
          <w:p w14:paraId="698F3621"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5A7A764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7DEEDAD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14:paraId="4F4E388E"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6DC8052"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sdt>
              <w:sdtPr>
                <w:rPr>
                  <w:rFonts w:ascii="Times New Roman" w:eastAsia="Times New Roman" w:hAnsi="Times New Roman" w:cs="Times New Roman"/>
                  <w:b/>
                  <w:sz w:val="20"/>
                  <w:szCs w:val="20"/>
                  <w:lang w:eastAsia="sk-SK"/>
                </w:rPr>
                <w:id w:val="-1609955253"/>
              </w:sdtPr>
              <w:sdtEndPr>
                <w:rPr>
                  <w:b w:val="0"/>
                </w:rPr>
              </w:sdtEndPr>
              <w:sdtContent>
                <w:sdt>
                  <w:sdtPr>
                    <w:rPr>
                      <w:rFonts w:ascii="Times New Roman" w:eastAsia="Times New Roman" w:hAnsi="Times New Roman" w:cs="Times New Roman"/>
                      <w:b/>
                      <w:sz w:val="20"/>
                      <w:szCs w:val="20"/>
                      <w:lang w:eastAsia="sk-SK"/>
                    </w:rPr>
                    <w:id w:val="-1401975905"/>
                  </w:sdtPr>
                  <w:sdtEndPr/>
                  <w:sdtContent>
                    <w:tc>
                      <w:tcPr>
                        <w:tcW w:w="538" w:type="dxa"/>
                        <w:gridSpan w:val="2"/>
                        <w:tcBorders>
                          <w:top w:val="single" w:sz="4" w:space="0" w:color="auto"/>
                          <w:left w:val="nil"/>
                          <w:bottom w:val="single" w:sz="4" w:space="0" w:color="auto"/>
                          <w:right w:val="nil"/>
                        </w:tcBorders>
                      </w:tcPr>
                      <w:p w14:paraId="5433905F" w14:textId="77777777" w:rsidR="00F87681" w:rsidRPr="00B043B4" w:rsidRDefault="00FC12C0"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sdtContent>
        </w:sdt>
        <w:tc>
          <w:tcPr>
            <w:tcW w:w="1133" w:type="dxa"/>
            <w:tcBorders>
              <w:top w:val="single" w:sz="4" w:space="0" w:color="auto"/>
              <w:left w:val="nil"/>
              <w:bottom w:val="single" w:sz="4" w:space="0" w:color="auto"/>
              <w:right w:val="nil"/>
            </w:tcBorders>
          </w:tcPr>
          <w:p w14:paraId="59366A65"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14:paraId="179C9563"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D1BB1A2"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3AFAAD56"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719824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654453762"/>
              </w:sdtPr>
              <w:sdtEndPr/>
              <w:sdtContent>
                <w:sdt>
                  <w:sdtPr>
                    <w:rPr>
                      <w:rFonts w:ascii="Times New Roman" w:eastAsia="Times New Roman" w:hAnsi="Times New Roman" w:cs="Times New Roman"/>
                      <w:b/>
                      <w:sz w:val="20"/>
                      <w:szCs w:val="20"/>
                      <w:lang w:eastAsia="sk-SK"/>
                    </w:rPr>
                    <w:id w:val="1641997030"/>
                  </w:sdtPr>
                  <w:sdtEndPr>
                    <w:rPr>
                      <w:b w:val="0"/>
                    </w:rPr>
                  </w:sdtEndPr>
                  <w:sdtContent>
                    <w:tc>
                      <w:tcPr>
                        <w:tcW w:w="541" w:type="dxa"/>
                        <w:gridSpan w:val="2"/>
                        <w:tcBorders>
                          <w:top w:val="single" w:sz="4" w:space="0" w:color="auto"/>
                          <w:left w:val="single" w:sz="4" w:space="0" w:color="auto"/>
                          <w:bottom w:val="single" w:sz="4" w:space="0" w:color="auto"/>
                          <w:right w:val="nil"/>
                        </w:tcBorders>
                      </w:tcPr>
                      <w:p w14:paraId="18A6AB04" w14:textId="77777777" w:rsidR="00F87681" w:rsidRPr="00B043B4" w:rsidRDefault="00FC12C0"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sdtContent>
        </w:sdt>
        <w:tc>
          <w:tcPr>
            <w:tcW w:w="1312" w:type="dxa"/>
            <w:gridSpan w:val="2"/>
            <w:tcBorders>
              <w:top w:val="single" w:sz="4" w:space="0" w:color="auto"/>
              <w:left w:val="nil"/>
              <w:bottom w:val="single" w:sz="4" w:space="0" w:color="auto"/>
              <w:right w:val="nil"/>
            </w:tcBorders>
          </w:tcPr>
          <w:p w14:paraId="4CFB8328"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84176792"/>
              </w:sdtPr>
              <w:sdtEndPr/>
              <w:sdtContent>
                <w:sdt>
                  <w:sdtPr>
                    <w:rPr>
                      <w:rFonts w:ascii="Times New Roman" w:eastAsia="Times New Roman" w:hAnsi="Times New Roman" w:cs="Times New Roman"/>
                      <w:b/>
                      <w:sz w:val="20"/>
                      <w:szCs w:val="20"/>
                      <w:lang w:eastAsia="sk-SK"/>
                    </w:rPr>
                    <w:id w:val="-1551529490"/>
                  </w:sdtPr>
                  <w:sdtEndPr/>
                  <w:sdtContent>
                    <w:tc>
                      <w:tcPr>
                        <w:tcW w:w="538" w:type="dxa"/>
                        <w:gridSpan w:val="2"/>
                        <w:tcBorders>
                          <w:top w:val="single" w:sz="4" w:space="0" w:color="auto"/>
                          <w:left w:val="nil"/>
                          <w:bottom w:val="single" w:sz="4" w:space="0" w:color="auto"/>
                          <w:right w:val="nil"/>
                        </w:tcBorders>
                      </w:tcPr>
                      <w:p w14:paraId="67E3730A" w14:textId="77777777" w:rsidR="00F87681" w:rsidRPr="00B043B4" w:rsidRDefault="00FC12C0"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sdtContent>
        </w:sdt>
        <w:tc>
          <w:tcPr>
            <w:tcW w:w="1133" w:type="dxa"/>
            <w:tcBorders>
              <w:top w:val="single" w:sz="4" w:space="0" w:color="auto"/>
              <w:left w:val="nil"/>
              <w:bottom w:val="single" w:sz="4" w:space="0" w:color="auto"/>
              <w:right w:val="nil"/>
            </w:tcBorders>
          </w:tcPr>
          <w:p w14:paraId="1BC13AD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14:paraId="5EFB661B" w14:textId="77777777"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D88FA64"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08FBF85"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DD8A25F" w14:textId="77777777" w:rsidR="000F2BE9" w:rsidRPr="00B043B4" w:rsidRDefault="000F2BE9" w:rsidP="00F8185A">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AD9E018" w14:textId="77777777" w:rsidR="000F2BE9" w:rsidRPr="00B043B4" w:rsidRDefault="000F2BE9" w:rsidP="00F8185A">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376BA6E" w14:textId="77777777" w:rsidR="000F2BE9" w:rsidRPr="00B043B4" w:rsidRDefault="000F2BE9" w:rsidP="00F8185A">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CDAF344" w14:textId="77777777" w:rsidR="000F2BE9" w:rsidRPr="00B043B4" w:rsidRDefault="000F2BE9" w:rsidP="00F8185A">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6B3415C" w14:textId="77777777" w:rsidR="000F2BE9" w:rsidRPr="00B043B4" w:rsidRDefault="000F2BE9" w:rsidP="00F8185A">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5DF2F1A" w14:textId="77777777" w:rsidR="000F2BE9" w:rsidRPr="00B043B4" w:rsidRDefault="000F2BE9" w:rsidP="00F8185A">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3E1ED9A1" w14:textId="77777777" w:rsidR="000F2BE9" w:rsidRPr="00B043B4" w:rsidRDefault="000F2BE9" w:rsidP="00F8185A">
            <w:pPr>
              <w:spacing w:after="0" w:line="240" w:lineRule="auto"/>
              <w:ind w:left="54"/>
              <w:rPr>
                <w:rFonts w:ascii="Times New Roman" w:eastAsia="Times New Roman" w:hAnsi="Times New Roman" w:cs="Times New Roman"/>
                <w:b/>
                <w:sz w:val="20"/>
                <w:szCs w:val="20"/>
                <w:lang w:eastAsia="sk-SK"/>
              </w:rPr>
            </w:pPr>
          </w:p>
        </w:tc>
      </w:tr>
      <w:tr w:rsidR="000F2BE9" w:rsidRPr="00B043B4" w14:paraId="0B0DA0EA" w14:textId="77777777" w:rsidTr="009431E3">
        <w:tc>
          <w:tcPr>
            <w:tcW w:w="3812" w:type="dxa"/>
            <w:tcBorders>
              <w:top w:val="nil"/>
              <w:left w:val="single" w:sz="4" w:space="0" w:color="auto"/>
              <w:bottom w:val="nil"/>
              <w:right w:val="single" w:sz="4" w:space="0" w:color="auto"/>
            </w:tcBorders>
            <w:shd w:val="clear" w:color="auto" w:fill="E2E2E2"/>
          </w:tcPr>
          <w:p w14:paraId="65B31679" w14:textId="77777777" w:rsidR="000F2BE9" w:rsidRPr="00B043B4" w:rsidRDefault="000F2BE9" w:rsidP="00F8185A">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14:paraId="227212E6" w14:textId="77777777" w:rsidR="000F2BE9" w:rsidRPr="00B043B4" w:rsidRDefault="000F2BE9" w:rsidP="00F8185A">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0D4BCD76" w14:textId="77777777" w:rsidR="000F2BE9" w:rsidRPr="00B043B4" w:rsidRDefault="000F2BE9" w:rsidP="00F8185A">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14:paraId="3015DB6B" w14:textId="77777777" w:rsidR="000F2BE9" w:rsidRPr="00B043B4" w:rsidRDefault="002D4F7B" w:rsidP="00F8185A">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nil"/>
              <w:left w:val="nil"/>
              <w:bottom w:val="dotted" w:sz="4" w:space="0" w:color="auto"/>
              <w:right w:val="nil"/>
            </w:tcBorders>
            <w:shd w:val="clear" w:color="auto" w:fill="auto"/>
          </w:tcPr>
          <w:p w14:paraId="518F7083" w14:textId="77777777" w:rsidR="000F2BE9" w:rsidRPr="00B043B4" w:rsidRDefault="000F2BE9" w:rsidP="00F8185A">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14:paraId="06DC26DD" w14:textId="77777777" w:rsidR="000F2BE9" w:rsidRPr="00B043B4" w:rsidRDefault="000F2BE9" w:rsidP="00F8185A">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6CB9486" w14:textId="77777777" w:rsidR="000F2BE9" w:rsidRPr="00B043B4" w:rsidRDefault="000F2BE9" w:rsidP="00F8185A">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E3E4F94" w14:textId="77777777" w:rsidTr="00BA2BF4">
        <w:tc>
          <w:tcPr>
            <w:tcW w:w="3812" w:type="dxa"/>
            <w:tcBorders>
              <w:top w:val="nil"/>
              <w:left w:val="single" w:sz="4" w:space="0" w:color="auto"/>
              <w:bottom w:val="nil"/>
              <w:right w:val="single" w:sz="4" w:space="0" w:color="auto"/>
            </w:tcBorders>
            <w:shd w:val="clear" w:color="auto" w:fill="E2E2E2"/>
          </w:tcPr>
          <w:p w14:paraId="24E2E862" w14:textId="77777777" w:rsidR="000F2BE9" w:rsidRPr="00B043B4" w:rsidRDefault="000F2BE9" w:rsidP="00F8185A">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14:paraId="2FF9B3FF" w14:textId="77777777" w:rsidR="000F2BE9" w:rsidRPr="00B043B4" w:rsidRDefault="000F2BE9" w:rsidP="00F8185A">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14:paraId="197B008D" w14:textId="77777777" w:rsidR="000F2BE9" w:rsidRPr="00B043B4" w:rsidRDefault="000F2BE9" w:rsidP="00F8185A">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14:paraId="1ED0DC91" w14:textId="77777777" w:rsidR="000F2BE9" w:rsidRPr="00B043B4" w:rsidRDefault="002D4F7B" w:rsidP="00F8185A">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dotted" w:sz="4" w:space="0" w:color="auto"/>
              <w:left w:val="nil"/>
              <w:bottom w:val="dotted" w:sz="4" w:space="0" w:color="auto"/>
              <w:right w:val="nil"/>
            </w:tcBorders>
            <w:shd w:val="clear" w:color="auto" w:fill="auto"/>
          </w:tcPr>
          <w:p w14:paraId="4DAA7B1F" w14:textId="77777777" w:rsidR="000F2BE9" w:rsidRPr="00B043B4" w:rsidRDefault="000F2BE9" w:rsidP="00F8185A">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14:paraId="204222F0" w14:textId="77777777" w:rsidR="000F2BE9" w:rsidRPr="00B043B4" w:rsidRDefault="000F2BE9" w:rsidP="00F8185A">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14:paraId="24432064" w14:textId="77777777" w:rsidR="000F2BE9" w:rsidRPr="00B043B4" w:rsidRDefault="000F2BE9" w:rsidP="00F8185A">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58570C6" w14:textId="77777777" w:rsidTr="0019513F">
        <w:tc>
          <w:tcPr>
            <w:tcW w:w="3812" w:type="dxa"/>
            <w:tcBorders>
              <w:top w:val="single" w:sz="4" w:space="0" w:color="000000"/>
              <w:left w:val="single" w:sz="4" w:space="0" w:color="auto"/>
              <w:bottom w:val="single" w:sz="4" w:space="0" w:color="auto"/>
              <w:right w:val="single" w:sz="4" w:space="0" w:color="auto"/>
            </w:tcBorders>
            <w:shd w:val="clear" w:color="auto" w:fill="E2E2E2"/>
          </w:tcPr>
          <w:p w14:paraId="777FC3E5" w14:textId="77777777" w:rsidR="00A340BB" w:rsidRPr="00B043B4" w:rsidRDefault="00A340BB" w:rsidP="00F8185A">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1072578581"/>
              </w:sdtPr>
              <w:sdtEndPr/>
              <w:sdtContent>
                <w:tc>
                  <w:tcPr>
                    <w:tcW w:w="541" w:type="dxa"/>
                    <w:tcBorders>
                      <w:top w:val="single" w:sz="4" w:space="0" w:color="auto"/>
                      <w:left w:val="single" w:sz="4" w:space="0" w:color="auto"/>
                      <w:bottom w:val="single" w:sz="4" w:space="0" w:color="auto"/>
                      <w:right w:val="nil"/>
                    </w:tcBorders>
                  </w:tcPr>
                  <w:p w14:paraId="7B8B0DF1" w14:textId="77777777" w:rsidR="00A340BB" w:rsidRPr="00B043B4" w:rsidRDefault="00FC12C0" w:rsidP="00F8185A">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tcBorders>
              <w:top w:val="single" w:sz="4" w:space="0" w:color="auto"/>
              <w:left w:val="nil"/>
              <w:bottom w:val="single" w:sz="4" w:space="0" w:color="auto"/>
              <w:right w:val="nil"/>
            </w:tcBorders>
          </w:tcPr>
          <w:p w14:paraId="20A2CA2B" w14:textId="77777777" w:rsidR="00A340BB" w:rsidRPr="00B043B4" w:rsidRDefault="00A340BB" w:rsidP="00F8185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sdt>
              <w:sdtPr>
                <w:rPr>
                  <w:rFonts w:ascii="Times New Roman" w:eastAsia="Times New Roman" w:hAnsi="Times New Roman" w:cs="Times New Roman"/>
                  <w:b/>
                  <w:sz w:val="20"/>
                  <w:szCs w:val="20"/>
                  <w:lang w:eastAsia="sk-SK"/>
                </w:rPr>
                <w:id w:val="83269065"/>
              </w:sdtPr>
              <w:sdtEndPr>
                <w:rPr>
                  <w:b w:val="0"/>
                </w:rPr>
              </w:sdtEndPr>
              <w:sdtContent>
                <w:tc>
                  <w:tcPr>
                    <w:tcW w:w="538" w:type="dxa"/>
                    <w:tcBorders>
                      <w:top w:val="single" w:sz="4" w:space="0" w:color="auto"/>
                      <w:left w:val="nil"/>
                      <w:bottom w:val="single" w:sz="4" w:space="0" w:color="auto"/>
                      <w:right w:val="nil"/>
                    </w:tcBorders>
                  </w:tcPr>
                  <w:p w14:paraId="20329197" w14:textId="77777777" w:rsidR="00A340BB" w:rsidRPr="00B043B4" w:rsidRDefault="00FC12C0" w:rsidP="00F8185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4F0809A6" w14:textId="77777777" w:rsidR="00A340BB" w:rsidRPr="00B043B4" w:rsidRDefault="00A340BB" w:rsidP="00F8185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14:paraId="0266FD33" w14:textId="77777777" w:rsidR="00A340BB" w:rsidRPr="00B043B4" w:rsidRDefault="00A340BB" w:rsidP="00F8185A">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40C437A" w14:textId="77777777" w:rsidR="00A340BB" w:rsidRPr="00B043B4" w:rsidRDefault="00A340BB" w:rsidP="00F8185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4D4F179C" w14:textId="77777777" w:rsidTr="0019513F">
        <w:tc>
          <w:tcPr>
            <w:tcW w:w="9176" w:type="dxa"/>
            <w:gridSpan w:val="7"/>
            <w:tcBorders>
              <w:top w:val="single" w:sz="4" w:space="0" w:color="auto"/>
              <w:left w:val="single" w:sz="4" w:space="0" w:color="auto"/>
              <w:bottom w:val="nil"/>
              <w:right w:val="single" w:sz="4" w:space="0" w:color="auto"/>
            </w:tcBorders>
            <w:shd w:val="clear" w:color="auto" w:fill="E2E2E2"/>
          </w:tcPr>
          <w:p w14:paraId="0B44110F"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15D1AD18" w14:textId="77777777" w:rsidTr="0019513F">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14:paraId="6E49871F" w14:textId="77777777" w:rsidR="001B23B7" w:rsidRPr="00FC12C0" w:rsidRDefault="00FC12C0" w:rsidP="0019513F">
            <w:pPr>
              <w:jc w:val="both"/>
              <w:rPr>
                <w:rFonts w:ascii="Times New Roman" w:eastAsia="Calibri" w:hAnsi="Times New Roman" w:cs="Times New Roman"/>
                <w:b/>
              </w:rPr>
            </w:pPr>
            <w:r w:rsidRPr="00FC12C0">
              <w:rPr>
                <w:rFonts w:ascii="Times New Roman" w:hAnsi="Times New Roman" w:cs="Times New Roman"/>
                <w:sz w:val="20"/>
                <w:szCs w:val="20"/>
              </w:rPr>
              <w:lastRenderedPageBreak/>
              <w:t>Vzhľadom na skutočnosť, že sa zmena, resp. zvýšenie základnej sumy a zvýšenie limitu zrážky bez obmedzenia nedotýka prednostných pohľadávok podľa § 71 ods. 2 Exekučného poriadku, nepredpokladajú sa vplyvy na rozpočet verejnej správy.</w:t>
            </w:r>
          </w:p>
        </w:tc>
      </w:tr>
      <w:tr w:rsidR="001B23B7" w:rsidRPr="00B043B4" w14:paraId="602E17F8" w14:textId="77777777"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27EA3CE0"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19513F" w14:paraId="1D3805A7" w14:textId="77777777" w:rsidTr="0019513F">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635A6094" w14:textId="77777777" w:rsidR="001B23B7" w:rsidRPr="0019513F" w:rsidRDefault="0019513F" w:rsidP="00FC12C0">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JUDr. </w:t>
            </w:r>
            <w:r w:rsidR="00FC12C0">
              <w:rPr>
                <w:rFonts w:ascii="Times New Roman" w:eastAsia="Times New Roman" w:hAnsi="Times New Roman" w:cs="Times New Roman"/>
                <w:sz w:val="20"/>
                <w:szCs w:val="20"/>
                <w:lang w:eastAsia="sk-SK"/>
              </w:rPr>
              <w:t>Alena Hambáleková</w:t>
            </w:r>
            <w:r w:rsidRPr="0019513F">
              <w:rPr>
                <w:rFonts w:ascii="Times New Roman" w:eastAsia="Times New Roman" w:hAnsi="Times New Roman" w:cs="Times New Roman"/>
                <w:sz w:val="20"/>
                <w:szCs w:val="20"/>
                <w:lang w:eastAsia="sk-SK"/>
              </w:rPr>
              <w:t xml:space="preserve">, </w:t>
            </w:r>
            <w:hyperlink r:id="rId8" w:history="1">
              <w:r w:rsidR="00FC12C0" w:rsidRPr="00020582">
                <w:rPr>
                  <w:rStyle w:val="Hypertextovprepojenie"/>
                  <w:rFonts w:ascii="Times New Roman" w:eastAsia="Times New Roman" w:hAnsi="Times New Roman" w:cs="Times New Roman"/>
                  <w:sz w:val="20"/>
                  <w:szCs w:val="20"/>
                  <w:lang w:eastAsia="sk-SK"/>
                </w:rPr>
                <w:t>alena.hambalekova@justice.sk</w:t>
              </w:r>
            </w:hyperlink>
            <w:r w:rsidR="00FC12C0">
              <w:rPr>
                <w:rFonts w:ascii="Times New Roman" w:eastAsia="Times New Roman" w:hAnsi="Times New Roman" w:cs="Times New Roman"/>
                <w:sz w:val="20"/>
                <w:szCs w:val="20"/>
                <w:lang w:eastAsia="sk-SK"/>
              </w:rPr>
              <w:t xml:space="preserve"> </w:t>
            </w:r>
          </w:p>
        </w:tc>
      </w:tr>
      <w:tr w:rsidR="001B23B7" w:rsidRPr="00B043B4" w14:paraId="1CA7B2BB" w14:textId="77777777"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093DA320" w14:textId="77777777" w:rsidR="001B23B7" w:rsidRPr="00B043B4" w:rsidRDefault="001B23B7" w:rsidP="00F8185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19513F" w14:paraId="26BC00FC" w14:textId="77777777" w:rsidTr="0019513F">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68807AEF" w14:textId="77777777" w:rsidR="001B23B7" w:rsidRPr="0019513F" w:rsidRDefault="0019513F" w:rsidP="00F8185A">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Návrh </w:t>
            </w:r>
            <w:r w:rsidR="00FC12C0">
              <w:rPr>
                <w:rFonts w:ascii="Times New Roman" w:eastAsia="Times New Roman" w:hAnsi="Times New Roman" w:cs="Times New Roman"/>
                <w:sz w:val="20"/>
                <w:szCs w:val="20"/>
                <w:lang w:eastAsia="sk-SK"/>
              </w:rPr>
              <w:t>nariadenia</w:t>
            </w:r>
            <w:r w:rsidRPr="0019513F">
              <w:rPr>
                <w:rFonts w:ascii="Times New Roman" w:eastAsia="Times New Roman" w:hAnsi="Times New Roman" w:cs="Times New Roman"/>
                <w:sz w:val="20"/>
                <w:szCs w:val="20"/>
                <w:lang w:eastAsia="sk-SK"/>
              </w:rPr>
              <w:t xml:space="preserve"> je výstupom pracovnej skupiny zriadenej Ministerstvom spravodlivo</w:t>
            </w:r>
            <w:r w:rsidR="00FC12C0">
              <w:rPr>
                <w:rFonts w:ascii="Times New Roman" w:eastAsia="Times New Roman" w:hAnsi="Times New Roman" w:cs="Times New Roman"/>
                <w:sz w:val="20"/>
                <w:szCs w:val="20"/>
                <w:lang w:eastAsia="sk-SK"/>
              </w:rPr>
              <w:t>sti Slovenskej republiky</w:t>
            </w:r>
            <w:r w:rsidRPr="0019513F">
              <w:rPr>
                <w:rFonts w:ascii="Times New Roman" w:eastAsia="Times New Roman" w:hAnsi="Times New Roman" w:cs="Times New Roman"/>
                <w:sz w:val="20"/>
                <w:szCs w:val="20"/>
                <w:lang w:eastAsia="sk-SK"/>
              </w:rPr>
              <w:t xml:space="preserve">. </w:t>
            </w:r>
          </w:p>
          <w:p w14:paraId="23F91C36" w14:textId="77777777" w:rsidR="001B23B7" w:rsidRPr="0019513F" w:rsidRDefault="001B23B7" w:rsidP="00F8185A">
            <w:pPr>
              <w:rPr>
                <w:rFonts w:ascii="Times New Roman" w:eastAsia="Times New Roman" w:hAnsi="Times New Roman" w:cs="Times New Roman"/>
                <w:b/>
                <w:sz w:val="20"/>
                <w:szCs w:val="20"/>
                <w:lang w:eastAsia="sk-SK"/>
              </w:rPr>
            </w:pPr>
          </w:p>
        </w:tc>
      </w:tr>
      <w:tr w:rsidR="001B23B7" w:rsidRPr="00B043B4" w14:paraId="6D0529D5" w14:textId="77777777"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157E9453" w14:textId="5DCED1A6" w:rsidR="001B23B7" w:rsidRPr="00B043B4" w:rsidRDefault="001B23B7" w:rsidP="002C7B5B">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B56FDD">
              <w:rPr>
                <w:rFonts w:ascii="Times New Roman" w:eastAsia="Calibri" w:hAnsi="Times New Roman" w:cs="Times New Roman"/>
                <w:b/>
              </w:rPr>
              <w:t>118</w:t>
            </w:r>
            <w:r w:rsidR="002C7B5B" w:rsidRPr="002C7B5B">
              <w:rPr>
                <w:rFonts w:ascii="Times New Roman" w:eastAsia="Calibri" w:hAnsi="Times New Roman" w:cs="Times New Roman"/>
                <w:b/>
              </w:rPr>
              <w:t>/2021</w:t>
            </w:r>
            <w:r w:rsidRPr="00B043B4">
              <w:rPr>
                <w:rFonts w:ascii="Calibri" w:eastAsia="Calibri" w:hAnsi="Calibri" w:cs="Times New Roman"/>
              </w:rPr>
              <w:t xml:space="preserve"> </w:t>
            </w:r>
          </w:p>
          <w:p w14:paraId="340CE049" w14:textId="77777777" w:rsidR="001B23B7" w:rsidRPr="00B043B4" w:rsidRDefault="001B23B7" w:rsidP="00F8185A">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8E09059" w14:textId="77777777" w:rsidTr="0019513F">
        <w:trPr>
          <w:trHeight w:val="123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7A22BDFF" w14:textId="77777777" w:rsidR="001B23B7" w:rsidRPr="00A92FD2" w:rsidRDefault="001B23B7" w:rsidP="00F8185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A92FD2" w14:paraId="338EA1ED" w14:textId="77777777" w:rsidTr="00F8185A">
              <w:trPr>
                <w:trHeight w:val="396"/>
              </w:trPr>
              <w:tc>
                <w:tcPr>
                  <w:tcW w:w="2552" w:type="dxa"/>
                </w:tcPr>
                <w:p w14:paraId="21DFD5F3" w14:textId="77777777" w:rsidR="001B23B7" w:rsidRPr="00A92FD2" w:rsidRDefault="001F5186" w:rsidP="00F8185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A92FD2">
                        <w:rPr>
                          <w:rFonts w:ascii="Segoe UI Symbol" w:eastAsia="Times New Roman" w:hAnsi="Segoe UI Symbol" w:cs="Segoe UI Symbol"/>
                          <w:b/>
                          <w:sz w:val="20"/>
                          <w:szCs w:val="20"/>
                          <w:lang w:eastAsia="sk-SK"/>
                        </w:rPr>
                        <w:t>☐</w:t>
                      </w:r>
                    </w:sdtContent>
                  </w:sdt>
                  <w:r w:rsidR="001B23B7" w:rsidRPr="00A92FD2">
                    <w:rPr>
                      <w:rFonts w:ascii="Times New Roman" w:eastAsia="Times New Roman" w:hAnsi="Times New Roman" w:cs="Times New Roman"/>
                      <w:b/>
                      <w:sz w:val="20"/>
                      <w:szCs w:val="20"/>
                      <w:lang w:eastAsia="sk-SK"/>
                    </w:rPr>
                    <w:t xml:space="preserve"> Súhlasné </w:t>
                  </w:r>
                </w:p>
              </w:tc>
              <w:tc>
                <w:tcPr>
                  <w:tcW w:w="3827" w:type="dxa"/>
                </w:tcPr>
                <w:p w14:paraId="231F9DED" w14:textId="50D8438E" w:rsidR="001B23B7" w:rsidRPr="00A92FD2" w:rsidRDefault="001F5186" w:rsidP="00F8185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sdt>
                        <w:sdtPr>
                          <w:rPr>
                            <w:rFonts w:ascii="Times New Roman" w:eastAsia="Times New Roman" w:hAnsi="Times New Roman" w:cs="Times New Roman"/>
                            <w:b/>
                            <w:sz w:val="20"/>
                            <w:szCs w:val="20"/>
                            <w:lang w:eastAsia="sk-SK"/>
                          </w:rPr>
                          <w:id w:val="-2281150"/>
                        </w:sdtPr>
                        <w:sdtEndPr/>
                        <w:sdtContent>
                          <w:sdt>
                            <w:sdtPr>
                              <w:rPr>
                                <w:rFonts w:ascii="Times New Roman" w:eastAsia="Times New Roman" w:hAnsi="Times New Roman" w:cs="Times New Roman"/>
                                <w:b/>
                                <w:sz w:val="20"/>
                                <w:szCs w:val="20"/>
                                <w:lang w:eastAsia="sk-SK"/>
                              </w:rPr>
                              <w:id w:val="242769657"/>
                            </w:sdtPr>
                            <w:sdtEndPr/>
                            <w:sdtContent>
                              <w:sdt>
                                <w:sdtPr>
                                  <w:rPr>
                                    <w:rFonts w:ascii="Times New Roman" w:eastAsia="Times New Roman" w:hAnsi="Times New Roman" w:cs="Times New Roman"/>
                                    <w:b/>
                                    <w:sz w:val="20"/>
                                    <w:szCs w:val="20"/>
                                    <w:lang w:eastAsia="sk-SK"/>
                                  </w:rPr>
                                  <w:id w:val="-1939288729"/>
                                </w:sdtPr>
                                <w:sdtEndPr/>
                                <w:sdtContent>
                                  <w:sdt>
                                    <w:sdtPr>
                                      <w:rPr>
                                        <w:rFonts w:ascii="Times New Roman" w:eastAsia="Times New Roman" w:hAnsi="Times New Roman" w:cs="Times New Roman"/>
                                        <w:b/>
                                        <w:sz w:val="20"/>
                                        <w:szCs w:val="20"/>
                                        <w:lang w:eastAsia="sk-SK"/>
                                      </w:rPr>
                                      <w:id w:val="410060362"/>
                                    </w:sdtPr>
                                    <w:sdtEndPr/>
                                    <w:sdtContent>
                                      <w:r w:rsidR="00A92FD2" w:rsidRPr="00AD2484">
                                        <w:rPr>
                                          <w:rFonts w:ascii="Wingdings 2" w:hAnsi="Wingdings 2" w:cs="Times"/>
                                          <w:sz w:val="20"/>
                                          <w:szCs w:val="20"/>
                                        </w:rPr>
                                        <w:t></w:t>
                                      </w:r>
                                    </w:sdtContent>
                                  </w:sdt>
                                </w:sdtContent>
                              </w:sdt>
                            </w:sdtContent>
                          </w:sdt>
                        </w:sdtContent>
                      </w:sdt>
                    </w:sdtContent>
                  </w:sdt>
                  <w:r w:rsidR="001B23B7" w:rsidRPr="00A92FD2">
                    <w:rPr>
                      <w:rFonts w:ascii="Times New Roman" w:eastAsia="Times New Roman" w:hAnsi="Times New Roman" w:cs="Times New Roman"/>
                      <w:b/>
                      <w:sz w:val="20"/>
                      <w:szCs w:val="20"/>
                      <w:lang w:eastAsia="sk-SK"/>
                    </w:rPr>
                    <w:t xml:space="preserve"> Súhlasné s návrhom na dopracovanie</w:t>
                  </w:r>
                </w:p>
              </w:tc>
              <w:tc>
                <w:tcPr>
                  <w:tcW w:w="2534" w:type="dxa"/>
                </w:tcPr>
                <w:p w14:paraId="0EFA4DFD" w14:textId="77777777" w:rsidR="001B23B7" w:rsidRPr="00A92FD2" w:rsidRDefault="001F5186" w:rsidP="00F8185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1316761996"/>
                        </w:sdtPr>
                        <w:sdtEndPr/>
                        <w:sdtContent>
                          <w:sdt>
                            <w:sdtPr>
                              <w:rPr>
                                <w:rFonts w:ascii="Times New Roman" w:eastAsia="Times New Roman" w:hAnsi="Times New Roman" w:cs="Times New Roman"/>
                                <w:b/>
                                <w:sz w:val="20"/>
                                <w:szCs w:val="20"/>
                                <w:lang w:eastAsia="sk-SK"/>
                              </w:rPr>
                              <w:id w:val="-456249703"/>
                            </w:sdtPr>
                            <w:sdtEndPr/>
                            <w:sdtContent>
                              <w:sdt>
                                <w:sdtPr>
                                  <w:rPr>
                                    <w:rFonts w:ascii="Times New Roman" w:eastAsia="Times New Roman" w:hAnsi="Times New Roman" w:cs="Times New Roman"/>
                                    <w:b/>
                                    <w:sz w:val="20"/>
                                    <w:szCs w:val="20"/>
                                    <w:lang w:eastAsia="sk-SK"/>
                                  </w:rPr>
                                  <w:id w:val="-251584408"/>
                                </w:sdtPr>
                                <w:sdtEndPr/>
                                <w:sdtContent>
                                  <w:sdt>
                                    <w:sdtPr>
                                      <w:rPr>
                                        <w:rFonts w:ascii="Times New Roman" w:eastAsia="Times New Roman" w:hAnsi="Times New Roman" w:cs="Times New Roman"/>
                                        <w:b/>
                                        <w:sz w:val="20"/>
                                        <w:szCs w:val="20"/>
                                        <w:lang w:eastAsia="sk-SK"/>
                                      </w:rPr>
                                      <w:id w:val="-2123447265"/>
                                    </w:sdtPr>
                                    <w:sdtEndPr/>
                                    <w:sdtContent>
                                      <w:r w:rsidR="00FC12C0" w:rsidRPr="00A92FD2">
                                        <w:rPr>
                                          <w:rFonts w:ascii="Segoe UI Symbol" w:eastAsia="Times New Roman" w:hAnsi="Segoe UI Symbol" w:cs="Segoe UI Symbol"/>
                                          <w:b/>
                                          <w:sz w:val="20"/>
                                          <w:szCs w:val="20"/>
                                          <w:lang w:eastAsia="sk-SK"/>
                                        </w:rPr>
                                        <w:t>☐</w:t>
                                      </w:r>
                                    </w:sdtContent>
                                  </w:sdt>
                                </w:sdtContent>
                              </w:sdt>
                            </w:sdtContent>
                          </w:sdt>
                        </w:sdtContent>
                      </w:sdt>
                    </w:sdtContent>
                  </w:sdt>
                  <w:r w:rsidR="001B23B7" w:rsidRPr="00A92FD2">
                    <w:rPr>
                      <w:rFonts w:ascii="Times New Roman" w:eastAsia="Times New Roman" w:hAnsi="Times New Roman" w:cs="Times New Roman"/>
                      <w:b/>
                      <w:sz w:val="20"/>
                      <w:szCs w:val="20"/>
                      <w:lang w:eastAsia="sk-SK"/>
                    </w:rPr>
                    <w:t xml:space="preserve"> Nesúhlasné</w:t>
                  </w:r>
                </w:p>
              </w:tc>
            </w:tr>
          </w:tbl>
          <w:p w14:paraId="01E6D1BA" w14:textId="77777777" w:rsidR="001B23B7" w:rsidRPr="00A92FD2" w:rsidRDefault="001B23B7" w:rsidP="00F8185A">
            <w:pPr>
              <w:jc w:val="both"/>
              <w:rPr>
                <w:rFonts w:ascii="Times New Roman" w:eastAsia="Times New Roman" w:hAnsi="Times New Roman" w:cs="Times New Roman"/>
                <w:b/>
                <w:sz w:val="20"/>
                <w:szCs w:val="20"/>
                <w:lang w:eastAsia="sk-SK"/>
              </w:rPr>
            </w:pPr>
            <w:r w:rsidRPr="00A92FD2">
              <w:rPr>
                <w:rFonts w:ascii="Times New Roman" w:eastAsia="Times New Roman" w:hAnsi="Times New Roman" w:cs="Times New Roman"/>
                <w:b/>
                <w:sz w:val="20"/>
                <w:szCs w:val="20"/>
                <w:lang w:eastAsia="sk-SK"/>
              </w:rPr>
              <w:t>Uveďte pripomienky zo stanoviska Komisie z časti II. spolu s Vaším vyhodnotením:</w:t>
            </w:r>
          </w:p>
          <w:p w14:paraId="0F086AC5" w14:textId="77777777" w:rsidR="001B23B7" w:rsidRPr="00A92FD2" w:rsidRDefault="001B23B7" w:rsidP="00F8185A">
            <w:pPr>
              <w:rPr>
                <w:rFonts w:ascii="Times New Roman" w:eastAsia="Times New Roman" w:hAnsi="Times New Roman" w:cs="Times New Roman"/>
                <w:b/>
                <w:sz w:val="20"/>
                <w:szCs w:val="20"/>
                <w:lang w:eastAsia="sk-SK"/>
              </w:rPr>
            </w:pPr>
          </w:p>
          <w:p w14:paraId="143CE200" w14:textId="77777777" w:rsidR="00B56FDD" w:rsidRPr="00A92FD2" w:rsidRDefault="00B56FDD" w:rsidP="00B56FDD">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K doložke vybraných vplyvov</w:t>
            </w:r>
          </w:p>
          <w:p w14:paraId="7EB6E90C" w14:textId="77777777" w:rsidR="00B56FDD" w:rsidRPr="00A92FD2" w:rsidRDefault="00B56FDD" w:rsidP="00B56FDD">
            <w:pPr>
              <w:pStyle w:val="Normlnywebov"/>
              <w:jc w:val="both"/>
              <w:rPr>
                <w:bCs/>
                <w:sz w:val="20"/>
                <w:szCs w:val="20"/>
                <w:lang w:eastAsia="ar-SA"/>
              </w:rPr>
            </w:pPr>
            <w:r w:rsidRPr="00A92FD2">
              <w:rPr>
                <w:bCs/>
                <w:sz w:val="20"/>
                <w:szCs w:val="20"/>
                <w:lang w:eastAsia="ar-SA"/>
              </w:rPr>
              <w:t>Komisia odporúča predkladateľovi v doložke vybraných vplyvov v časti 8. Preskúmanie účelnosti stanoviť si aj konkrétne termíny a príp. aj indikátory.</w:t>
            </w:r>
          </w:p>
          <w:p w14:paraId="4A176366" w14:textId="77777777" w:rsidR="00B56FDD" w:rsidRPr="00A92FD2" w:rsidRDefault="00B56FDD" w:rsidP="00B56FDD">
            <w:pPr>
              <w:pStyle w:val="Normlnywebov"/>
              <w:jc w:val="both"/>
              <w:rPr>
                <w:bCs/>
                <w:sz w:val="20"/>
                <w:szCs w:val="20"/>
                <w:lang w:eastAsia="ar-SA"/>
              </w:rPr>
            </w:pPr>
            <w:r w:rsidRPr="00A92FD2">
              <w:rPr>
                <w:bCs/>
                <w:sz w:val="20"/>
                <w:szCs w:val="20"/>
                <w:lang w:eastAsia="ar-SA"/>
              </w:rPr>
              <w:t>V doložke vybraných vplyvov je označený žiadny vplyv na rozpočet verejnej správy. Komisia si predkladateľa dovoľuje upozorniť, že ak návrh nemá žiadny vplyv na rozpočet verejnej správy, nie je potrebné v riadku rozpočtovo zabezpečené vplyvy označiť žiadnu z možností.</w:t>
            </w:r>
          </w:p>
          <w:p w14:paraId="7E4D2B93" w14:textId="7E7843EC" w:rsidR="00B56FDD" w:rsidRPr="00A92FD2" w:rsidRDefault="00B56FDD" w:rsidP="00B56FDD">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66D2C352" w14:textId="57D870AE" w:rsidR="00B56FDD" w:rsidRPr="00A92FD2" w:rsidRDefault="00B56FDD" w:rsidP="00B56FDD">
            <w:pPr>
              <w:jc w:val="both"/>
              <w:rPr>
                <w:rFonts w:ascii="Times New Roman" w:eastAsia="Times New Roman" w:hAnsi="Times New Roman" w:cs="Times New Roman"/>
                <w:bCs/>
                <w:sz w:val="20"/>
                <w:szCs w:val="20"/>
                <w:lang w:eastAsia="ar-SA"/>
              </w:rPr>
            </w:pPr>
            <w:r w:rsidRPr="00A92FD2">
              <w:rPr>
                <w:rFonts w:ascii="Times New Roman" w:eastAsia="Times New Roman" w:hAnsi="Times New Roman" w:cs="Times New Roman"/>
                <w:bCs/>
                <w:sz w:val="20"/>
                <w:szCs w:val="20"/>
                <w:lang w:eastAsia="ar-SA"/>
              </w:rPr>
              <w:t>Doložka vplyvov bola upravená v súlade s</w:t>
            </w:r>
            <w:r w:rsidR="00F56E12" w:rsidRPr="00A92FD2">
              <w:rPr>
                <w:rFonts w:ascii="Times New Roman" w:eastAsia="Times New Roman" w:hAnsi="Times New Roman" w:cs="Times New Roman"/>
                <w:bCs/>
                <w:sz w:val="20"/>
                <w:szCs w:val="20"/>
                <w:lang w:eastAsia="ar-SA"/>
              </w:rPr>
              <w:t> odporúčaním Komisie</w:t>
            </w:r>
            <w:r w:rsidRPr="00A92FD2">
              <w:rPr>
                <w:rFonts w:ascii="Times New Roman" w:eastAsia="Times New Roman" w:hAnsi="Times New Roman" w:cs="Times New Roman"/>
                <w:bCs/>
                <w:sz w:val="20"/>
                <w:szCs w:val="20"/>
                <w:lang w:eastAsia="ar-SA"/>
              </w:rPr>
              <w:t>.</w:t>
            </w:r>
          </w:p>
          <w:p w14:paraId="15CACC30" w14:textId="25679915" w:rsidR="00B56FDD" w:rsidRPr="00A92FD2" w:rsidRDefault="00B56FDD" w:rsidP="00B56FDD">
            <w:pPr>
              <w:jc w:val="both"/>
              <w:rPr>
                <w:rFonts w:ascii="Times New Roman" w:eastAsia="Times New Roman" w:hAnsi="Times New Roman" w:cs="Times New Roman"/>
                <w:bCs/>
                <w:sz w:val="20"/>
                <w:szCs w:val="20"/>
                <w:lang w:eastAsia="ar-SA"/>
              </w:rPr>
            </w:pPr>
          </w:p>
          <w:p w14:paraId="718D9957" w14:textId="77777777" w:rsidR="00B56FDD" w:rsidRPr="00A92FD2" w:rsidRDefault="00B56FDD" w:rsidP="00B56FDD">
            <w:pPr>
              <w:jc w:val="both"/>
              <w:rPr>
                <w:rFonts w:ascii="Times New Roman" w:eastAsia="Times New Roman" w:hAnsi="Times New Roman" w:cs="Times New Roman"/>
                <w:bCs/>
                <w:sz w:val="20"/>
                <w:szCs w:val="20"/>
                <w:lang w:eastAsia="ar-SA"/>
              </w:rPr>
            </w:pPr>
            <w:r w:rsidRPr="00A92FD2">
              <w:rPr>
                <w:rFonts w:ascii="Times New Roman" w:eastAsia="Times New Roman" w:hAnsi="Times New Roman" w:cs="Times New Roman"/>
                <w:b/>
                <w:bCs/>
                <w:sz w:val="20"/>
                <w:szCs w:val="20"/>
                <w:lang w:eastAsia="ar-SA"/>
              </w:rPr>
              <w:t>K analýze vplyvov na podnikateľské prostredie</w:t>
            </w:r>
          </w:p>
          <w:p w14:paraId="60409105" w14:textId="5AEF2AC1" w:rsidR="00B56FDD" w:rsidRPr="00A92FD2" w:rsidRDefault="00B56FDD" w:rsidP="00B56FDD">
            <w:pPr>
              <w:jc w:val="both"/>
              <w:rPr>
                <w:rFonts w:ascii="Times New Roman" w:eastAsia="Times New Roman" w:hAnsi="Times New Roman" w:cs="Times New Roman"/>
                <w:bCs/>
                <w:sz w:val="20"/>
                <w:szCs w:val="20"/>
                <w:lang w:eastAsia="ar-SA"/>
              </w:rPr>
            </w:pPr>
            <w:r w:rsidRPr="00A92FD2">
              <w:rPr>
                <w:rFonts w:ascii="Times New Roman" w:eastAsia="Times New Roman" w:hAnsi="Times New Roman" w:cs="Times New Roman"/>
                <w:bCs/>
                <w:sz w:val="20"/>
                <w:szCs w:val="20"/>
                <w:lang w:eastAsia="ar-SA"/>
              </w:rPr>
              <w:t>Komisia odporúča predkladateľovi v analýze vplyvov na podnikateľské prostredie pri opise iných vplyvov použiť a doplniť aj prípadné štatistické údaje z minulého roka – počet podnikateľských subjektov, ktoré to cca ovplyvní pozitívne/povinní a ktoré to cca ovplyvní negatívne/oprávnení.</w:t>
            </w:r>
          </w:p>
          <w:p w14:paraId="0200EE65" w14:textId="77777777" w:rsidR="00F56E12" w:rsidRPr="00A92FD2" w:rsidRDefault="00F56E12" w:rsidP="00F56E12">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78C646C5" w14:textId="73373BD0" w:rsidR="00F56E12" w:rsidRPr="00A92FD2" w:rsidRDefault="00F56E12" w:rsidP="00F56E12">
            <w:pPr>
              <w:jc w:val="both"/>
              <w:rPr>
                <w:rFonts w:ascii="Times New Roman" w:eastAsia="Times New Roman" w:hAnsi="Times New Roman" w:cs="Times New Roman"/>
                <w:bCs/>
                <w:sz w:val="20"/>
                <w:szCs w:val="20"/>
                <w:lang w:eastAsia="ar-SA"/>
              </w:rPr>
            </w:pPr>
            <w:r w:rsidRPr="00A92FD2">
              <w:rPr>
                <w:rFonts w:ascii="Times New Roman" w:eastAsia="Times New Roman" w:hAnsi="Times New Roman" w:cs="Times New Roman"/>
                <w:sz w:val="20"/>
                <w:szCs w:val="20"/>
              </w:rPr>
              <w:t>Odporúčani</w:t>
            </w:r>
            <w:r w:rsidR="00A92FD2">
              <w:rPr>
                <w:rFonts w:ascii="Times New Roman" w:eastAsia="Times New Roman" w:hAnsi="Times New Roman" w:cs="Times New Roman"/>
                <w:sz w:val="20"/>
                <w:szCs w:val="20"/>
              </w:rPr>
              <w:t>e Komisie</w:t>
            </w:r>
            <w:r w:rsidRPr="00A92FD2">
              <w:rPr>
                <w:rFonts w:ascii="Times New Roman" w:eastAsia="Times New Roman" w:hAnsi="Times New Roman" w:cs="Times New Roman"/>
                <w:sz w:val="20"/>
                <w:szCs w:val="20"/>
              </w:rPr>
              <w:t xml:space="preserve"> nie je možné zapracovať, nakoľko konkrétna kvantifikácia podnikateľských subjektov (a to ani z obdobia minulého roka), ktorý by mali byť pozitívne alebo negatívne ovplyvnení navrhovaným predpisom nie je uskutočniteľná, a to ani hrubým odhadom. Neuskutočniteľnosť doplnenia týchto štatistických údajov a kvantifikácie podnikateľských subjektov nie je možná vzhľadom na </w:t>
            </w:r>
            <w:r w:rsidRPr="00A92FD2">
              <w:rPr>
                <w:rFonts w:ascii="Times New Roman" w:hAnsi="Times New Roman" w:cs="Times New Roman"/>
                <w:sz w:val="20"/>
                <w:szCs w:val="20"/>
              </w:rPr>
              <w:t>nešpecifikovaný počet exekučných konaní, v ktorých dochádza k vymáhaniu pohľadávky oprávneného, ktorý je naviac podnikateľským subjektom (v súčasnosti totiž nie sú dostupné ani údaje o tom, či je v exekučnom konaní vymáhaná pohľadávka oprávneného</w:t>
            </w:r>
            <w:r w:rsidR="00676717" w:rsidRPr="00A92FD2">
              <w:rPr>
                <w:rFonts w:ascii="Times New Roman" w:hAnsi="Times New Roman" w:cs="Times New Roman"/>
                <w:sz w:val="20"/>
                <w:szCs w:val="20"/>
              </w:rPr>
              <w:t xml:space="preserve"> </w:t>
            </w:r>
            <w:r w:rsidRPr="00A92FD2">
              <w:rPr>
                <w:rFonts w:ascii="Times New Roman" w:hAnsi="Times New Roman" w:cs="Times New Roman"/>
                <w:sz w:val="20"/>
                <w:szCs w:val="20"/>
              </w:rPr>
              <w:t xml:space="preserve">súvisiaca s výkonom jeho podnikateľskej činnosti), zrážkami zo mzdy, </w:t>
            </w:r>
            <w:r w:rsidR="00676717" w:rsidRPr="00A92FD2">
              <w:rPr>
                <w:rFonts w:ascii="Times New Roman" w:hAnsi="Times New Roman" w:cs="Times New Roman"/>
                <w:sz w:val="20"/>
                <w:szCs w:val="20"/>
              </w:rPr>
              <w:t xml:space="preserve">ako aj </w:t>
            </w:r>
            <w:r w:rsidRPr="00A92FD2">
              <w:rPr>
                <w:rFonts w:ascii="Times New Roman" w:hAnsi="Times New Roman" w:cs="Times New Roman"/>
                <w:sz w:val="20"/>
                <w:szCs w:val="20"/>
              </w:rPr>
              <w:t>vzhľadom na nešpecifikovaný počet osôb, voči ktorým je vedená exekúcia zrážkami zo mzdy alebo iných príjmov</w:t>
            </w:r>
            <w:r w:rsidR="00676717" w:rsidRPr="00A92FD2">
              <w:rPr>
                <w:rFonts w:ascii="Times New Roman" w:hAnsi="Times New Roman" w:cs="Times New Roman"/>
                <w:sz w:val="20"/>
                <w:szCs w:val="20"/>
              </w:rPr>
              <w:t xml:space="preserve"> (vrátane podnikateľov fyzických osôb)</w:t>
            </w:r>
            <w:r w:rsidRPr="00A92FD2">
              <w:rPr>
                <w:rFonts w:ascii="Times New Roman" w:hAnsi="Times New Roman" w:cs="Times New Roman"/>
                <w:sz w:val="20"/>
                <w:szCs w:val="20"/>
              </w:rPr>
              <w:t>, na rôznorodosť nárokov vymáhaných v týchto exekučných konaniach (prednostné pohľadávky, neprednostné pohľadávky), vrátane ich druhu a</w:t>
            </w:r>
            <w:r w:rsidR="00676717" w:rsidRPr="00A92FD2">
              <w:rPr>
                <w:rFonts w:ascii="Times New Roman" w:hAnsi="Times New Roman" w:cs="Times New Roman"/>
                <w:sz w:val="20"/>
                <w:szCs w:val="20"/>
              </w:rPr>
              <w:t> </w:t>
            </w:r>
            <w:r w:rsidRPr="00A92FD2">
              <w:rPr>
                <w:rFonts w:ascii="Times New Roman" w:hAnsi="Times New Roman" w:cs="Times New Roman"/>
                <w:sz w:val="20"/>
                <w:szCs w:val="20"/>
              </w:rPr>
              <w:t>výšky</w:t>
            </w:r>
            <w:r w:rsidR="00676717" w:rsidRPr="00A92FD2">
              <w:rPr>
                <w:rFonts w:ascii="Times New Roman" w:hAnsi="Times New Roman" w:cs="Times New Roman"/>
                <w:sz w:val="20"/>
                <w:szCs w:val="20"/>
              </w:rPr>
              <w:t>, ako aj na možnosti výkonu iných spôsobov exekúcie, prípadne ich kumulácie</w:t>
            </w:r>
            <w:r w:rsidRPr="00A92FD2">
              <w:rPr>
                <w:rFonts w:ascii="Times New Roman" w:hAnsi="Times New Roman" w:cs="Times New Roman"/>
                <w:sz w:val="20"/>
                <w:szCs w:val="20"/>
              </w:rPr>
              <w:t>.</w:t>
            </w:r>
            <w:r w:rsidR="00676717" w:rsidRPr="00A92FD2">
              <w:rPr>
                <w:rFonts w:ascii="Times New Roman" w:hAnsi="Times New Roman" w:cs="Times New Roman"/>
                <w:sz w:val="20"/>
                <w:szCs w:val="20"/>
              </w:rPr>
              <w:t xml:space="preserve"> Odôvodnenie neuvedenia štatistických údajov bolo doplnené do analýzy vplyvov na podnikateľské prostredie.</w:t>
            </w:r>
            <w:r w:rsidRPr="00A92FD2">
              <w:rPr>
                <w:rFonts w:ascii="Times New Roman" w:hAnsi="Times New Roman" w:cs="Times New Roman"/>
                <w:sz w:val="20"/>
                <w:szCs w:val="20"/>
              </w:rPr>
              <w:t xml:space="preserve"> </w:t>
            </w:r>
          </w:p>
          <w:p w14:paraId="280854BE" w14:textId="77777777" w:rsidR="00B56FDD" w:rsidRPr="00A92FD2" w:rsidRDefault="00B56FDD" w:rsidP="00B56FDD">
            <w:pPr>
              <w:pStyle w:val="norm00e1lny"/>
              <w:spacing w:line="240" w:lineRule="auto"/>
              <w:jc w:val="both"/>
              <w:rPr>
                <w:rStyle w:val="norm00e1lnychar1"/>
                <w:b/>
                <w:bCs/>
              </w:rPr>
            </w:pPr>
          </w:p>
          <w:p w14:paraId="62A7D463" w14:textId="77777777" w:rsidR="00B56FDD" w:rsidRPr="00A92FD2" w:rsidRDefault="00B56FDD" w:rsidP="00B56FDD">
            <w:pPr>
              <w:pStyle w:val="norm00e1lny"/>
              <w:spacing w:line="240" w:lineRule="auto"/>
              <w:jc w:val="both"/>
              <w:rPr>
                <w:rStyle w:val="norm00e1lnychar1"/>
                <w:b/>
                <w:bCs/>
              </w:rPr>
            </w:pPr>
            <w:r w:rsidRPr="00A92FD2">
              <w:rPr>
                <w:rStyle w:val="norm00e1lnychar1"/>
                <w:b/>
                <w:bCs/>
              </w:rPr>
              <w:t>K analýze sociálnych vplyvov</w:t>
            </w:r>
          </w:p>
          <w:p w14:paraId="5B8BD239" w14:textId="77777777" w:rsidR="00B56FDD" w:rsidRPr="00A92FD2" w:rsidRDefault="00B56FDD" w:rsidP="00B56FDD">
            <w:pPr>
              <w:pStyle w:val="norm00e1lny"/>
              <w:spacing w:line="240" w:lineRule="auto"/>
              <w:jc w:val="both"/>
              <w:rPr>
                <w:rStyle w:val="norm00e1lnychar1"/>
                <w:bCs/>
              </w:rPr>
            </w:pPr>
            <w:r w:rsidRPr="00A92FD2">
              <w:rPr>
                <w:rStyle w:val="norm00e1lnychar1"/>
                <w:bCs/>
              </w:rPr>
              <w:t xml:space="preserve">Je potrebné, aby predkladateľ doplnil do časti 4.1.1 analýzy sociálnych vplyvov, kde sa kvantifikujú pozitívne vplyvy, aj také modelové príklady, kde sa uvažuje s vyšším čistým príjmom ako 500 eur, aby bolo explicitne vidno pozitívne vplyvy na domácnosti, ktoré budú </w:t>
            </w:r>
            <w:proofErr w:type="spellStart"/>
            <w:r w:rsidRPr="00A92FD2">
              <w:rPr>
                <w:rStyle w:val="norm00e1lnychar1"/>
                <w:bCs/>
              </w:rPr>
              <w:t>benefitovať</w:t>
            </w:r>
            <w:proofErr w:type="spellEnd"/>
            <w:r w:rsidRPr="00A92FD2">
              <w:rPr>
                <w:rStyle w:val="norm00e1lnychar1"/>
                <w:bCs/>
              </w:rPr>
              <w:t xml:space="preserve"> z opatrenia, ktorým sa zvyšuje tzv. zrážka bez obmedzenia (suma, nad ktorú sa zvyšok čistej mzdy povinného zrazí bez obmedzenia), ktorá sa navrhuje vo výške 80 % priemernej mesačnej mzdy zamestnanca hospodárstva Slovenskej republiky za predchádzajúci kalendárny rok (predtým 150 % životného minima).</w:t>
            </w:r>
          </w:p>
          <w:p w14:paraId="1E0CC301" w14:textId="77777777" w:rsidR="00B56FDD" w:rsidRPr="00A92FD2" w:rsidRDefault="00B56FDD" w:rsidP="00B56FDD">
            <w:pPr>
              <w:pStyle w:val="norm00e1lny"/>
              <w:spacing w:line="240" w:lineRule="auto"/>
              <w:jc w:val="both"/>
              <w:rPr>
                <w:rStyle w:val="norm00e1lnychar1"/>
                <w:bCs/>
                <w:u w:val="single"/>
              </w:rPr>
            </w:pPr>
          </w:p>
          <w:p w14:paraId="6AA1BF39" w14:textId="449EA888" w:rsidR="00B56FDD" w:rsidRPr="00A92FD2" w:rsidRDefault="00B56FDD" w:rsidP="00B56FDD">
            <w:pPr>
              <w:pStyle w:val="norm00e1lny"/>
              <w:spacing w:line="240" w:lineRule="auto"/>
              <w:jc w:val="both"/>
              <w:rPr>
                <w:rStyle w:val="norm00e1lnychar1"/>
                <w:bCs/>
              </w:rPr>
            </w:pPr>
            <w:r w:rsidRPr="00A92FD2">
              <w:rPr>
                <w:rStyle w:val="norm00e1lnychar1"/>
                <w:bCs/>
                <w:u w:val="single"/>
              </w:rPr>
              <w:t>Odôvodnenie:</w:t>
            </w:r>
            <w:r w:rsidRPr="00A92FD2">
              <w:rPr>
                <w:rStyle w:val="norm00e1lnychar1"/>
                <w:bCs/>
              </w:rPr>
              <w:t xml:space="preserve"> Predkladateľ zhodnotil pozitívne vplyvy len na modelových príkladoch, kde je čistý príjem 500 eur, na ktorých sa prejavuje pozitívny vplyv vyplývajúci len z prvého opísaného opatrenia, ktorým je zvýšenie základnej sumy na 140 % životného minima vrátane príslušného zvýšenia základnej sumy pre vyživovanú osobu. Pri takomto príjme sa vyššie uvedené opatrenie neprejavuje, pritom, ako uvádza predkladateľ, ide o významné opatrenie s cieľom motivovať dotknuté osoby hľadať si prácu. Z tohto dôvodu Komisia odporúča popísať vyššie </w:t>
            </w:r>
            <w:r w:rsidRPr="00A92FD2">
              <w:rPr>
                <w:rStyle w:val="norm00e1lnychar1"/>
                <w:bCs/>
              </w:rPr>
              <w:lastRenderedPageBreak/>
              <w:t>uvedené opatrenie a uviesť navrhované modelové príklady aj v časti 4.4 analýzy sociálnych vplyvov, kde sa hodnotí dosah na fungovanie trhu práce. Predkladateľ môže použiť modelové príklady, ktoré uviedol v doložke vybraných vplyvov v časti 3. Ciele a výsledný stav.</w:t>
            </w:r>
          </w:p>
          <w:p w14:paraId="7507AC4A" w14:textId="77777777" w:rsidR="00EC1110" w:rsidRPr="00A92FD2" w:rsidRDefault="00EC1110" w:rsidP="00EC1110">
            <w:pPr>
              <w:jc w:val="both"/>
              <w:rPr>
                <w:rFonts w:ascii="Times New Roman" w:eastAsia="Times New Roman" w:hAnsi="Times New Roman" w:cs="Times New Roman"/>
                <w:b/>
                <w:bCs/>
                <w:sz w:val="20"/>
                <w:szCs w:val="20"/>
                <w:lang w:eastAsia="ar-SA"/>
              </w:rPr>
            </w:pPr>
          </w:p>
          <w:p w14:paraId="3D5412C7" w14:textId="5D6133A8" w:rsidR="00EC1110" w:rsidRPr="00A92FD2" w:rsidRDefault="00EC1110" w:rsidP="00EC1110">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1FA460FB" w14:textId="54AF580F" w:rsidR="00272E66" w:rsidRPr="00272E66" w:rsidRDefault="00B00CDE" w:rsidP="00B56FDD">
            <w:pPr>
              <w:pStyle w:val="norm00e1lny"/>
              <w:spacing w:line="240" w:lineRule="auto"/>
              <w:jc w:val="both"/>
              <w:rPr>
                <w:rStyle w:val="norm00e1lnychar1"/>
                <w:bCs/>
              </w:rPr>
            </w:pPr>
            <w:r w:rsidRPr="00A92FD2">
              <w:rPr>
                <w:rStyle w:val="norm00e1lnychar1"/>
                <w:bCs/>
              </w:rPr>
              <w:t>Časť 4.1.1. analýzy sociálnych vplyvov bola dopracovaná a upravená v súlade s uplatnenou pripomienkou, rovnako ako časť 4.4, kde sa hodnotí dosah na fungovanie trhu práce.</w:t>
            </w:r>
            <w:r w:rsidR="002F52F0">
              <w:rPr>
                <w:rStyle w:val="norm00e1lnychar1"/>
                <w:bCs/>
              </w:rPr>
              <w:t xml:space="preserve"> </w:t>
            </w:r>
            <w:r w:rsidR="00272E66" w:rsidRPr="00272E66">
              <w:rPr>
                <w:rStyle w:val="norm00e1lnychar1"/>
                <w:bCs/>
              </w:rPr>
              <w:t>Analýza sociálnych vplyvov bola upravená v súlade so zmenami, ktoré boli vykonané v návrhu nariadenia po medzirezortnom pripomienkovom konaní.</w:t>
            </w:r>
          </w:p>
          <w:p w14:paraId="5A31E0F2" w14:textId="77777777" w:rsidR="00B56FDD" w:rsidRPr="00A92FD2" w:rsidRDefault="00B56FDD" w:rsidP="00B56FDD">
            <w:pPr>
              <w:pStyle w:val="norm00e1lny"/>
              <w:spacing w:line="240" w:lineRule="auto"/>
              <w:jc w:val="both"/>
              <w:rPr>
                <w:rStyle w:val="norm00e1lnychar1"/>
                <w:bCs/>
              </w:rPr>
            </w:pPr>
            <w:r w:rsidRPr="00A92FD2">
              <w:rPr>
                <w:rStyle w:val="norm00e1lnychar1"/>
                <w:bCs/>
              </w:rPr>
              <w:t xml:space="preserve"> </w:t>
            </w:r>
          </w:p>
          <w:p w14:paraId="468F8BB1" w14:textId="77777777" w:rsidR="00B56FDD" w:rsidRPr="00A92FD2" w:rsidRDefault="00B56FDD" w:rsidP="00B56FDD">
            <w:pPr>
              <w:pStyle w:val="norm00e1lny"/>
              <w:spacing w:line="240" w:lineRule="auto"/>
              <w:jc w:val="both"/>
              <w:rPr>
                <w:rStyle w:val="norm00e1lnychar1"/>
                <w:bCs/>
              </w:rPr>
            </w:pPr>
            <w:r w:rsidRPr="00A92FD2">
              <w:rPr>
                <w:rStyle w:val="norm00e1lnychar1"/>
                <w:bCs/>
              </w:rPr>
              <w:t>Komisia odporúča predkladateľovi doplniť do časti 4.1.1 analýzy sociálnych vplyvov, kde sa uvádza opis opatrení s pozitívnym vplyvom, aj zvýšenie základných súm pre povinné osoby, ktoré sú poberateľmi dôchodkov (§ 2a).</w:t>
            </w:r>
          </w:p>
          <w:p w14:paraId="0BEECEBC" w14:textId="77777777" w:rsidR="00B56FDD" w:rsidRPr="00A92FD2" w:rsidRDefault="00B56FDD" w:rsidP="00B56FDD">
            <w:pPr>
              <w:pStyle w:val="norm00e1lny"/>
              <w:spacing w:line="240" w:lineRule="auto"/>
              <w:jc w:val="both"/>
              <w:rPr>
                <w:rStyle w:val="norm00e1lnychar1"/>
                <w:bCs/>
              </w:rPr>
            </w:pPr>
          </w:p>
          <w:p w14:paraId="4D667850" w14:textId="27A00F80" w:rsidR="00272E66" w:rsidRPr="00A92FD2" w:rsidRDefault="00B56FDD" w:rsidP="00B56FDD">
            <w:pPr>
              <w:pStyle w:val="norm00e1lny"/>
              <w:spacing w:line="240" w:lineRule="auto"/>
              <w:jc w:val="both"/>
              <w:rPr>
                <w:rStyle w:val="norm00e1lnychar1"/>
                <w:bCs/>
              </w:rPr>
            </w:pPr>
            <w:r w:rsidRPr="00A92FD2">
              <w:rPr>
                <w:rStyle w:val="norm00e1lnychar1"/>
                <w:bCs/>
                <w:u w:val="single"/>
              </w:rPr>
              <w:t>Odôvodnenie:</w:t>
            </w:r>
            <w:r w:rsidRPr="00A92FD2">
              <w:rPr>
                <w:rStyle w:val="norm00e1lnychar1"/>
                <w:bCs/>
              </w:rPr>
              <w:t xml:space="preserve"> Predkladateľ uviedol v časti kvantifikácia modelový príklad s dôchodcom, ale popis opatrenia v príslušnej časti chýba.</w:t>
            </w:r>
          </w:p>
          <w:p w14:paraId="6B7C94F3" w14:textId="77777777" w:rsidR="00EC1110" w:rsidRPr="00A92FD2" w:rsidRDefault="00EC1110" w:rsidP="00EC1110">
            <w:pPr>
              <w:jc w:val="both"/>
              <w:rPr>
                <w:rFonts w:ascii="Times New Roman" w:eastAsia="Times New Roman" w:hAnsi="Times New Roman" w:cs="Times New Roman"/>
                <w:b/>
                <w:bCs/>
                <w:sz w:val="20"/>
                <w:szCs w:val="20"/>
                <w:lang w:eastAsia="ar-SA"/>
              </w:rPr>
            </w:pPr>
          </w:p>
          <w:p w14:paraId="4B3B8489" w14:textId="45586737" w:rsidR="00EC1110" w:rsidRPr="00A92FD2" w:rsidRDefault="00EC1110" w:rsidP="00EC1110">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0B8C29C6" w14:textId="73A31727" w:rsidR="00272E66" w:rsidRPr="002F52F0" w:rsidRDefault="00EC1110" w:rsidP="00272E66">
            <w:pPr>
              <w:pStyle w:val="norm00e1lny"/>
              <w:spacing w:line="240" w:lineRule="auto"/>
              <w:jc w:val="both"/>
              <w:rPr>
                <w:rStyle w:val="norm00e1lnychar1"/>
                <w:bCs/>
              </w:rPr>
            </w:pPr>
            <w:r w:rsidRPr="00A92FD2">
              <w:rPr>
                <w:rStyle w:val="norm00e1lnychar1"/>
                <w:bCs/>
              </w:rPr>
              <w:t>Časť 4.1.1 analýzy sociálnych vplyvov bola doplnená o spresnenie, že opísané opatrenie sa týka aj povinných „dôchodcov</w:t>
            </w:r>
            <w:r w:rsidRPr="002F52F0">
              <w:rPr>
                <w:rStyle w:val="norm00e1lnychar1"/>
                <w:bCs/>
              </w:rPr>
              <w:t>“.</w:t>
            </w:r>
            <w:r w:rsidR="002F52F0" w:rsidRPr="002F52F0">
              <w:rPr>
                <w:rStyle w:val="norm00e1lnychar1"/>
                <w:bCs/>
              </w:rPr>
              <w:t xml:space="preserve"> </w:t>
            </w:r>
            <w:r w:rsidR="00272E66" w:rsidRPr="002F52F0">
              <w:rPr>
                <w:rStyle w:val="norm00e1lnychar1"/>
                <w:bCs/>
              </w:rPr>
              <w:t>Analýza sociálnych vplyvov bola upravená v súlade so zmenami, ktoré boli vykonané v návrhu nariadenia po medzirezortnom pripomienkovom konaní.</w:t>
            </w:r>
          </w:p>
          <w:p w14:paraId="68BEBE15" w14:textId="77777777" w:rsidR="00B56FDD" w:rsidRPr="00A92FD2" w:rsidRDefault="00B56FDD" w:rsidP="00B56FDD">
            <w:pPr>
              <w:pStyle w:val="norm00e1lny"/>
              <w:spacing w:line="240" w:lineRule="auto"/>
              <w:jc w:val="both"/>
              <w:rPr>
                <w:rStyle w:val="norm00e1lnychar1"/>
                <w:bCs/>
              </w:rPr>
            </w:pPr>
          </w:p>
          <w:p w14:paraId="788F1AE5" w14:textId="77777777" w:rsidR="00B56FDD" w:rsidRPr="00A92FD2" w:rsidRDefault="00B56FDD" w:rsidP="00B56FDD">
            <w:pPr>
              <w:pStyle w:val="norm00e1lny"/>
              <w:spacing w:line="240" w:lineRule="auto"/>
              <w:jc w:val="both"/>
              <w:rPr>
                <w:rStyle w:val="norm00e1lnychar1"/>
                <w:bCs/>
              </w:rPr>
            </w:pPr>
            <w:r w:rsidRPr="00A92FD2">
              <w:rPr>
                <w:rStyle w:val="norm00e1lnychar1"/>
                <w:bCs/>
              </w:rPr>
              <w:t xml:space="preserve">Je potrebné vypustiť z časti 4.1.2 analýzy sociálnych vplyvov, kde sa uvádza opis opatrení s negatívnym vplyvom, opatrenia zvyšujúce základné sumy a zvýšenie tzv. zrážky bez obmedzenia. </w:t>
            </w:r>
          </w:p>
          <w:p w14:paraId="2507B948" w14:textId="77777777" w:rsidR="00B56FDD" w:rsidRPr="00A92FD2" w:rsidRDefault="00B56FDD" w:rsidP="00B56FDD">
            <w:pPr>
              <w:pStyle w:val="norm00e1lny"/>
              <w:spacing w:line="240" w:lineRule="auto"/>
              <w:jc w:val="both"/>
              <w:rPr>
                <w:rStyle w:val="norm00e1lnychar1"/>
                <w:bCs/>
              </w:rPr>
            </w:pPr>
          </w:p>
          <w:p w14:paraId="345BBCD3" w14:textId="7243F89E" w:rsidR="00B56FDD" w:rsidRPr="00A92FD2" w:rsidRDefault="00B56FDD" w:rsidP="00B56FDD">
            <w:pPr>
              <w:pStyle w:val="norm00e1lny"/>
              <w:spacing w:line="240" w:lineRule="auto"/>
              <w:jc w:val="both"/>
              <w:rPr>
                <w:rStyle w:val="norm00e1lnychar1"/>
                <w:bCs/>
              </w:rPr>
            </w:pPr>
            <w:r w:rsidRPr="00A92FD2">
              <w:rPr>
                <w:rStyle w:val="norm00e1lnychar1"/>
                <w:bCs/>
                <w:u w:val="single"/>
              </w:rPr>
              <w:t>Odôvodnenie:</w:t>
            </w:r>
            <w:r w:rsidRPr="00A92FD2">
              <w:rPr>
                <w:rStyle w:val="norm00e1lnychar1"/>
                <w:bCs/>
              </w:rPr>
              <w:t xml:space="preserve"> Tieto opatrenia sú uvedené v časti 4.1.1 analýzy sociálnych vplyvov ako opatrenia s pozitívnym vplyvom. Predkladateľ uvádza, že vymáhanie pohľadávok sa môže časovo predĺžiť z dôvodu zníženia zrážok zo mzdy povinného. V týchto prípadoch je ale primárny pozitívny vplyv na čisté príjmy domácností, ktorý vyplýva zo znižovanie exekučných zrážok. Predĺženie času splácania exekučných zrážok je len priamym dôsledkom pozitívneho vplyvu, ktorý nemožno považovať zároveň za negatívny vplyv. Navyše, pri zvýšenej motivácii pracovať môže v niektorých prípadoch dochádzať k celkovému zvýšeniu čistých príjmov, čím by nemuselo dôjsť ani k predĺženiu doby splácania exekučných zrážok. </w:t>
            </w:r>
          </w:p>
          <w:p w14:paraId="04711CB9" w14:textId="77777777" w:rsidR="00A42867" w:rsidRPr="00A92FD2" w:rsidRDefault="00A42867" w:rsidP="00A42867">
            <w:pPr>
              <w:jc w:val="both"/>
              <w:rPr>
                <w:rFonts w:ascii="Times New Roman" w:eastAsia="Times New Roman" w:hAnsi="Times New Roman" w:cs="Times New Roman"/>
                <w:b/>
                <w:bCs/>
                <w:sz w:val="20"/>
                <w:szCs w:val="20"/>
                <w:lang w:eastAsia="ar-SA"/>
              </w:rPr>
            </w:pPr>
          </w:p>
          <w:p w14:paraId="575DEDE6" w14:textId="44441F49" w:rsidR="00A42867" w:rsidRPr="00A92FD2" w:rsidRDefault="00A42867" w:rsidP="00A4286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34A5CAB2" w14:textId="26F4CB34" w:rsidR="00A42867" w:rsidRPr="00A92FD2" w:rsidRDefault="00A42867" w:rsidP="00B56FDD">
            <w:pPr>
              <w:pStyle w:val="norm00e1lny"/>
              <w:spacing w:line="240" w:lineRule="auto"/>
              <w:jc w:val="both"/>
              <w:rPr>
                <w:rStyle w:val="norm00e1lnychar1"/>
                <w:bCs/>
              </w:rPr>
            </w:pPr>
            <w:r w:rsidRPr="00A92FD2">
              <w:rPr>
                <w:rStyle w:val="norm00e1lnychar1"/>
                <w:bCs/>
              </w:rPr>
              <w:t>Časť 4.1.2 analýzy sociálnych vplyvov bola upravená v súlade s uplatnenou pripomienkou.</w:t>
            </w:r>
          </w:p>
          <w:p w14:paraId="3E67B0EF" w14:textId="77777777" w:rsidR="00B56FDD" w:rsidRPr="00A92FD2" w:rsidRDefault="00B56FDD" w:rsidP="00B56FDD">
            <w:pPr>
              <w:pStyle w:val="norm00e1lny"/>
              <w:spacing w:line="240" w:lineRule="auto"/>
              <w:jc w:val="both"/>
              <w:rPr>
                <w:rStyle w:val="norm00e1lnychar1"/>
                <w:bCs/>
              </w:rPr>
            </w:pPr>
            <w:r w:rsidRPr="00A92FD2">
              <w:rPr>
                <w:rStyle w:val="norm00e1lnychar1"/>
                <w:bCs/>
              </w:rPr>
              <w:t xml:space="preserve"> </w:t>
            </w:r>
          </w:p>
          <w:p w14:paraId="2AFBA933" w14:textId="77777777" w:rsidR="00B56FDD" w:rsidRPr="00A92FD2" w:rsidRDefault="00B56FDD" w:rsidP="00B56FDD">
            <w:pPr>
              <w:pStyle w:val="norm00e1lny"/>
              <w:spacing w:line="240" w:lineRule="auto"/>
              <w:jc w:val="both"/>
              <w:rPr>
                <w:rStyle w:val="norm00e1lnychar1"/>
                <w:bCs/>
              </w:rPr>
            </w:pPr>
            <w:r w:rsidRPr="00A92FD2">
              <w:rPr>
                <w:rStyle w:val="norm00e1lnychar1"/>
                <w:bCs/>
              </w:rPr>
              <w:t>Je potrebné, aby predkladateľ doplnil do časti 4.1.2 analýzy sociálnych vplyvov, kde sa kvantifikujú negatívne vplyvy, modelový príklad, ktorý by kvantifikoval negatívny vplyv vyplývajúci z opatrenia, ktorým je zohľadnenie mzdy manžela povinného pri určení výšky základnej sumy, kedy sa k základnej sume nepripočíta 25 % základnej sumy v prípade manžela povinného, ktorý má samostatný čistý príjem vyšší ako 80 % priemernej mesačnej mzdy zamestnanca hospodárstva Slovenskej republiky za predchádzajúci kalendárny rok. Ďalej je potrebné v tejto časti užšie špecifikovať ovplyvnenú skupinu domácností, na ktorú sa bude vzťahovať negatívny vplyv.</w:t>
            </w:r>
          </w:p>
          <w:p w14:paraId="1396E458" w14:textId="77777777" w:rsidR="00B56FDD" w:rsidRPr="00A92FD2" w:rsidRDefault="00B56FDD" w:rsidP="00B56FDD">
            <w:pPr>
              <w:pStyle w:val="norm00e1lny"/>
              <w:spacing w:line="240" w:lineRule="auto"/>
              <w:jc w:val="both"/>
              <w:rPr>
                <w:rStyle w:val="norm00e1lnychar1"/>
                <w:bCs/>
              </w:rPr>
            </w:pPr>
          </w:p>
          <w:p w14:paraId="1EC2BD24" w14:textId="77777777" w:rsidR="00B56FDD" w:rsidRPr="00A92FD2" w:rsidRDefault="00B56FDD" w:rsidP="00B56FDD">
            <w:pPr>
              <w:pStyle w:val="norm00e1lny"/>
              <w:spacing w:line="240" w:lineRule="auto"/>
              <w:jc w:val="both"/>
              <w:rPr>
                <w:rStyle w:val="norm00e1lnychar1"/>
                <w:bCs/>
              </w:rPr>
            </w:pPr>
            <w:r w:rsidRPr="00A92FD2">
              <w:rPr>
                <w:rStyle w:val="norm00e1lnychar1"/>
                <w:bCs/>
                <w:u w:val="single"/>
              </w:rPr>
              <w:t>Odôvodnenie:</w:t>
            </w:r>
            <w:r w:rsidRPr="00A92FD2">
              <w:rPr>
                <w:rStyle w:val="norm00e1lnychar1"/>
                <w:bCs/>
              </w:rPr>
              <w:t xml:space="preserve"> Prekladateľ správne identifikoval a popísal negatívny vplyv, modelový príklad by pomohol ilustrovať jeho veľkosť. Predkladateľom široko špecifikovaná ovplyvnené skupina sa skôr hodí do časti s pozitívnymi vplyvmi. </w:t>
            </w:r>
          </w:p>
          <w:p w14:paraId="2FDED842" w14:textId="77777777" w:rsidR="00B56FDD" w:rsidRPr="00A92FD2" w:rsidRDefault="00B56FDD" w:rsidP="00B56FDD">
            <w:pPr>
              <w:pStyle w:val="norm00e1lny"/>
              <w:spacing w:line="240" w:lineRule="auto"/>
              <w:jc w:val="both"/>
              <w:rPr>
                <w:rStyle w:val="norm00e1lnychar1"/>
                <w:bCs/>
              </w:rPr>
            </w:pPr>
            <w:r w:rsidRPr="00A92FD2">
              <w:rPr>
                <w:rStyle w:val="norm00e1lnychar1"/>
                <w:bCs/>
              </w:rPr>
              <w:t xml:space="preserve"> </w:t>
            </w:r>
          </w:p>
          <w:p w14:paraId="106B1276" w14:textId="77777777" w:rsidR="00A42867" w:rsidRPr="00A92FD2" w:rsidRDefault="00A42867" w:rsidP="00A4286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4768D07F" w14:textId="7C4CBE61" w:rsidR="0088224E" w:rsidRDefault="00A42867" w:rsidP="00B56FDD">
            <w:pPr>
              <w:pStyle w:val="norm00e1lny"/>
              <w:spacing w:line="240" w:lineRule="auto"/>
              <w:jc w:val="both"/>
              <w:rPr>
                <w:rStyle w:val="norm00e1lnychar1"/>
                <w:bCs/>
              </w:rPr>
            </w:pPr>
            <w:r w:rsidRPr="00A92FD2">
              <w:rPr>
                <w:rStyle w:val="norm00e1lnychar1"/>
                <w:bCs/>
              </w:rPr>
              <w:t>Časť 4.1.2 analýzy sociálnych vplyvov bola upravená</w:t>
            </w:r>
            <w:r w:rsidR="0088224E">
              <w:rPr>
                <w:rStyle w:val="norm00e1lnychar1"/>
                <w:bCs/>
              </w:rPr>
              <w:t xml:space="preserve"> </w:t>
            </w:r>
            <w:r w:rsidR="00272E66">
              <w:rPr>
                <w:rStyle w:val="norm00e1lnychar1"/>
                <w:bCs/>
              </w:rPr>
              <w:t>v súlade so zmenami, ktoré boli vykonané v návrhu nariadenia po medzirezortnom pripomienkovom konaní</w:t>
            </w:r>
            <w:r w:rsidR="0088224E">
              <w:rPr>
                <w:rStyle w:val="norm00e1lnychar1"/>
                <w:bCs/>
              </w:rPr>
              <w:t>, kde sa navrhovaná úprava posudzovania príjmu manžela v závislosti od jeho výšky z návrhu nariadenia vypúšťa.</w:t>
            </w:r>
          </w:p>
          <w:p w14:paraId="18F26BD1" w14:textId="77777777" w:rsidR="00272E66" w:rsidRDefault="00272E66" w:rsidP="00B56FDD">
            <w:pPr>
              <w:pStyle w:val="norm00e1lny"/>
              <w:spacing w:line="240" w:lineRule="auto"/>
              <w:jc w:val="both"/>
              <w:rPr>
                <w:rStyle w:val="norm00e1lnychar1"/>
                <w:bCs/>
              </w:rPr>
            </w:pPr>
          </w:p>
          <w:p w14:paraId="131B2F13" w14:textId="56A1D197" w:rsidR="00B56FDD" w:rsidRPr="00A92FD2" w:rsidRDefault="00B56FDD" w:rsidP="00B56FDD">
            <w:pPr>
              <w:pStyle w:val="norm00e1lny"/>
              <w:spacing w:line="240" w:lineRule="auto"/>
              <w:jc w:val="both"/>
              <w:rPr>
                <w:rStyle w:val="norm00e1lnychar1"/>
                <w:bCs/>
              </w:rPr>
            </w:pPr>
            <w:r w:rsidRPr="00A92FD2">
              <w:rPr>
                <w:rStyle w:val="norm00e1lnychar1"/>
                <w:bCs/>
              </w:rPr>
              <w:t>Je potrebné vypustiť z časti 4.1.2.1 analýzy sociálnych vplyvov, kde sa uvádza opis opatrení s negatívnym vplyvom na skupiny v riziku chudoby alebo sociálneho vylúčenia, všetky opatrenia.</w:t>
            </w:r>
          </w:p>
          <w:p w14:paraId="14E9B03D" w14:textId="77777777" w:rsidR="00B56FDD" w:rsidRPr="00A92FD2" w:rsidRDefault="00B56FDD" w:rsidP="00B56FDD">
            <w:pPr>
              <w:pStyle w:val="norm00e1lny"/>
              <w:spacing w:line="240" w:lineRule="auto"/>
              <w:jc w:val="both"/>
              <w:rPr>
                <w:rStyle w:val="norm00e1lnychar1"/>
                <w:bCs/>
              </w:rPr>
            </w:pPr>
          </w:p>
          <w:p w14:paraId="641AE0CF" w14:textId="77777777" w:rsidR="00B56FDD" w:rsidRPr="00A92FD2" w:rsidRDefault="00B56FDD" w:rsidP="00B56FDD">
            <w:pPr>
              <w:pStyle w:val="norm00e1lny"/>
              <w:spacing w:line="240" w:lineRule="auto"/>
              <w:jc w:val="both"/>
              <w:rPr>
                <w:rStyle w:val="norm00e1lnychar1"/>
                <w:bCs/>
              </w:rPr>
            </w:pPr>
            <w:r w:rsidRPr="00A92FD2">
              <w:rPr>
                <w:rStyle w:val="norm00e1lnychar1"/>
                <w:bCs/>
                <w:u w:val="single"/>
              </w:rPr>
              <w:t>Odôvodnenie:</w:t>
            </w:r>
            <w:r w:rsidRPr="00A92FD2">
              <w:rPr>
                <w:rStyle w:val="norm00e1lnychar1"/>
                <w:bCs/>
              </w:rPr>
              <w:t xml:space="preserve"> Odôvodnenie vypustenia je pri opatreniach zvyšujúcich základné sumy a zvýšenie tzv. zrážky bez obmedzenia rovnaké, ako v predošlom prípade v časti 4.1.2. Navyše, v tomto prípade je potrebné vypustiť aj opatrenie,  kedy sa k základnej sume nepripočíta 25 % základnej sumy v prípade manžela povinného, ktorý má samostatný čistý príjem vyšší ako 80 % priemernej mesačnej mzdy zamestnanca hospodárstva Slovenskej republiky za predchádzajúci kalendárny rok. Domácnosť, v ktorej má jeden z partnerov čistý príjem vyšší ako 80 </w:t>
            </w:r>
            <w:r w:rsidRPr="00A92FD2">
              <w:rPr>
                <w:rStyle w:val="norm00e1lnychar1"/>
                <w:bCs/>
              </w:rPr>
              <w:lastRenderedPageBreak/>
              <w:t>% (hrubej) priemernej mesačnej mzdy zamestnanca, Komisia nepovažuje za skupinu v riziku chudoby alebo sociálneho vylúčenia.</w:t>
            </w:r>
          </w:p>
          <w:p w14:paraId="762F5E6E" w14:textId="7151C56E" w:rsidR="00B56FDD" w:rsidRPr="00A92FD2" w:rsidRDefault="00B56FDD" w:rsidP="00B56FDD">
            <w:pPr>
              <w:pStyle w:val="norm00e1lny"/>
              <w:spacing w:line="240" w:lineRule="auto"/>
              <w:jc w:val="both"/>
              <w:rPr>
                <w:rStyle w:val="norm00e1lnychar1"/>
                <w:bCs/>
              </w:rPr>
            </w:pPr>
            <w:r w:rsidRPr="00A92FD2">
              <w:rPr>
                <w:rStyle w:val="norm00e1lnychar1"/>
                <w:bCs/>
              </w:rPr>
              <w:t xml:space="preserve"> </w:t>
            </w:r>
          </w:p>
          <w:p w14:paraId="28824E3F" w14:textId="77777777" w:rsidR="00437D87" w:rsidRPr="00A92FD2" w:rsidRDefault="00437D87" w:rsidP="00437D87">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2A00962A" w14:textId="060782A6" w:rsidR="00437D87" w:rsidRPr="00A92FD2" w:rsidRDefault="00437D87" w:rsidP="00437D87">
            <w:pPr>
              <w:pStyle w:val="norm00e1lny"/>
              <w:spacing w:line="240" w:lineRule="auto"/>
              <w:jc w:val="both"/>
              <w:rPr>
                <w:rStyle w:val="norm00e1lnychar1"/>
                <w:bCs/>
              </w:rPr>
            </w:pPr>
            <w:r w:rsidRPr="00A92FD2">
              <w:rPr>
                <w:rStyle w:val="norm00e1lnychar1"/>
                <w:bCs/>
              </w:rPr>
              <w:t>Časť 4.1.2.1 analýzy sociálnych vplyvov bola upravená v súlade s uplatnenou pripomienkou.</w:t>
            </w:r>
          </w:p>
          <w:p w14:paraId="738D8379" w14:textId="77777777" w:rsidR="00437D87" w:rsidRPr="00A92FD2" w:rsidRDefault="00437D87" w:rsidP="00437D87">
            <w:pPr>
              <w:pStyle w:val="norm00e1lny"/>
              <w:spacing w:line="240" w:lineRule="auto"/>
              <w:jc w:val="both"/>
              <w:rPr>
                <w:rStyle w:val="norm00e1lnychar1"/>
                <w:bCs/>
              </w:rPr>
            </w:pPr>
            <w:r w:rsidRPr="00A92FD2">
              <w:rPr>
                <w:rStyle w:val="norm00e1lnychar1"/>
                <w:bCs/>
              </w:rPr>
              <w:t xml:space="preserve"> </w:t>
            </w:r>
          </w:p>
          <w:p w14:paraId="12469E1F" w14:textId="2D9F2443" w:rsidR="00B56FDD" w:rsidRPr="00A92FD2" w:rsidRDefault="00B56FDD" w:rsidP="00B56FDD">
            <w:pPr>
              <w:pStyle w:val="norm00e1lny"/>
              <w:spacing w:line="240" w:lineRule="auto"/>
              <w:jc w:val="both"/>
              <w:rPr>
                <w:rStyle w:val="norm00e1lnychar1"/>
                <w:bCs/>
              </w:rPr>
            </w:pPr>
            <w:r w:rsidRPr="00A92FD2">
              <w:rPr>
                <w:rStyle w:val="norm00e1lnychar1"/>
                <w:bCs/>
              </w:rPr>
              <w:t>Je potrebné, aby predkladateľ urobil prepočet kvantifikovaných vplyvov na výške životného minima pre plnoletú fyzickú osobu platného od 1. 7. 2021 (218,06 eur) alebo v prípade, keď v čase kvantifikácie tento údaj ešte nebol dostupný, aspoň uviedol o použitom a v súčasnosti platnom údaji informáciu v doložke vybraných vplyvov v časti 10. Poznámky.</w:t>
            </w:r>
          </w:p>
          <w:p w14:paraId="3A2CBDFD" w14:textId="77777777" w:rsidR="00B56FDD" w:rsidRPr="00A92FD2" w:rsidRDefault="00B56FDD" w:rsidP="00B56FDD">
            <w:pPr>
              <w:pStyle w:val="norm00e1lny"/>
              <w:spacing w:line="240" w:lineRule="auto"/>
              <w:jc w:val="both"/>
              <w:rPr>
                <w:rStyle w:val="norm00e1lnychar1"/>
                <w:bCs/>
              </w:rPr>
            </w:pPr>
          </w:p>
          <w:p w14:paraId="61816BA0" w14:textId="6DBCD5DE" w:rsidR="00B56FDD" w:rsidRPr="00A92FD2" w:rsidRDefault="00B56FDD" w:rsidP="00B56FDD">
            <w:pPr>
              <w:pStyle w:val="norm00e1lny"/>
              <w:spacing w:line="240" w:lineRule="auto"/>
              <w:jc w:val="both"/>
              <w:rPr>
                <w:rStyle w:val="norm00e1lnychar1"/>
                <w:bCs/>
              </w:rPr>
            </w:pPr>
            <w:r w:rsidRPr="00A92FD2">
              <w:rPr>
                <w:rStyle w:val="norm00e1lnychar1"/>
                <w:bCs/>
                <w:u w:val="single"/>
              </w:rPr>
              <w:t>Odôvodnenie:</w:t>
            </w:r>
            <w:r w:rsidRPr="00A92FD2">
              <w:rPr>
                <w:rStyle w:val="norm00e1lnychar1"/>
                <w:bCs/>
              </w:rPr>
              <w:t xml:space="preserve"> Predkladateľ použil životné minimum v sume 214,83 eur, ktoré bolo platné do 30. 6. 2021. Pri predpokladanej účinnosti nariadenia od 1. septembra 2021 sa už bude aplikovať výška životného minima platná od 1. 7. 2021.</w:t>
            </w:r>
          </w:p>
          <w:p w14:paraId="740F3521" w14:textId="77777777" w:rsidR="00167F85" w:rsidRPr="00A92FD2" w:rsidRDefault="00167F85" w:rsidP="00167F85">
            <w:pPr>
              <w:jc w:val="both"/>
              <w:rPr>
                <w:rFonts w:ascii="Times New Roman" w:eastAsia="Times New Roman" w:hAnsi="Times New Roman" w:cs="Times New Roman"/>
                <w:b/>
                <w:bCs/>
                <w:sz w:val="20"/>
                <w:szCs w:val="20"/>
                <w:lang w:eastAsia="ar-SA"/>
              </w:rPr>
            </w:pPr>
          </w:p>
          <w:p w14:paraId="0F3AB51F" w14:textId="5C7E4AFA" w:rsidR="00167F85" w:rsidRPr="00A92FD2" w:rsidRDefault="00167F85" w:rsidP="00167F85">
            <w:pPr>
              <w:jc w:val="both"/>
              <w:rPr>
                <w:rFonts w:ascii="Times New Roman" w:eastAsia="Times New Roman" w:hAnsi="Times New Roman" w:cs="Times New Roman"/>
                <w:b/>
                <w:bCs/>
                <w:sz w:val="20"/>
                <w:szCs w:val="20"/>
                <w:lang w:eastAsia="ar-SA"/>
              </w:rPr>
            </w:pPr>
            <w:r w:rsidRPr="00A92FD2">
              <w:rPr>
                <w:rFonts w:ascii="Times New Roman" w:eastAsia="Times New Roman" w:hAnsi="Times New Roman" w:cs="Times New Roman"/>
                <w:b/>
                <w:bCs/>
                <w:sz w:val="20"/>
                <w:szCs w:val="20"/>
                <w:lang w:eastAsia="ar-SA"/>
              </w:rPr>
              <w:t>Vyhodnotenie:</w:t>
            </w:r>
          </w:p>
          <w:p w14:paraId="006593CC" w14:textId="65EB64B3" w:rsidR="00167F85" w:rsidRPr="00A92FD2" w:rsidRDefault="00167F85" w:rsidP="00167F85">
            <w:pPr>
              <w:pStyle w:val="norm00e1lny"/>
              <w:spacing w:line="240" w:lineRule="auto"/>
              <w:jc w:val="both"/>
              <w:rPr>
                <w:rStyle w:val="norm00e1lnychar1"/>
                <w:bCs/>
              </w:rPr>
            </w:pPr>
            <w:r w:rsidRPr="00A92FD2">
              <w:t>Pripomienka bola zapracovaná v rámci celého materiálu, t. j. došlo v celom materiáli k oprave predpokladaných dopadov pri výpočte jednotlivých modelových situácií vzhľadom na zvýšenie sumy životného minima od 1. 7. 2021.</w:t>
            </w:r>
          </w:p>
          <w:p w14:paraId="50F4C2C3" w14:textId="77777777" w:rsidR="001B23B7" w:rsidRPr="00A92FD2" w:rsidRDefault="001B23B7" w:rsidP="00FC12C0">
            <w:pPr>
              <w:rPr>
                <w:rFonts w:ascii="Times New Roman" w:eastAsia="Times New Roman" w:hAnsi="Times New Roman" w:cs="Times New Roman"/>
                <w:b/>
                <w:sz w:val="20"/>
                <w:szCs w:val="20"/>
                <w:lang w:eastAsia="sk-SK"/>
              </w:rPr>
            </w:pPr>
          </w:p>
        </w:tc>
      </w:tr>
      <w:tr w:rsidR="001B23B7" w:rsidRPr="00B043B4" w14:paraId="5D4BBC22" w14:textId="77777777" w:rsidTr="0019513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14:paraId="3A0E9A8C" w14:textId="77777777" w:rsidR="001B23B7" w:rsidRPr="00B043B4" w:rsidRDefault="001B23B7" w:rsidP="00F8185A">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686C7B57" w14:textId="77777777" w:rsidTr="0019513F">
        <w:tblPrEx>
          <w:tblBorders>
            <w:insideH w:val="single" w:sz="4" w:space="0" w:color="FFFFFF"/>
            <w:insideV w:val="single" w:sz="4" w:space="0" w:color="FFFFFF"/>
          </w:tblBorders>
        </w:tblPrEx>
        <w:tc>
          <w:tcPr>
            <w:tcW w:w="9176" w:type="dxa"/>
            <w:gridSpan w:val="7"/>
            <w:shd w:val="clear" w:color="auto" w:fill="FFFFFF"/>
          </w:tcPr>
          <w:p w14:paraId="3D7D44EF" w14:textId="77777777" w:rsidR="001B23B7" w:rsidRPr="00B043B4" w:rsidRDefault="001B23B7" w:rsidP="00F8185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2C582EA" w14:textId="77777777" w:rsidTr="00F8185A">
              <w:trPr>
                <w:trHeight w:val="396"/>
              </w:trPr>
              <w:tc>
                <w:tcPr>
                  <w:tcW w:w="2552" w:type="dxa"/>
                </w:tcPr>
                <w:p w14:paraId="09CA63D6" w14:textId="77777777" w:rsidR="001B23B7" w:rsidRPr="00B043B4" w:rsidRDefault="001F5186" w:rsidP="00F8185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3464C882" w14:textId="77777777" w:rsidR="001B23B7" w:rsidRPr="00B043B4" w:rsidRDefault="001F5186" w:rsidP="00F8185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196CECCF" w14:textId="77777777" w:rsidR="001B23B7" w:rsidRPr="00B043B4" w:rsidRDefault="001F5186" w:rsidP="00F8185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14:paraId="6E3C09F2" w14:textId="77777777" w:rsidR="001B23B7" w:rsidRPr="00B043B4" w:rsidRDefault="001B23B7" w:rsidP="00F8185A">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105678F0" w14:textId="77777777" w:rsidR="001B23B7" w:rsidRPr="00B043B4" w:rsidRDefault="001B23B7" w:rsidP="00F8185A">
            <w:pPr>
              <w:rPr>
                <w:rFonts w:ascii="Times New Roman" w:eastAsia="Times New Roman" w:hAnsi="Times New Roman" w:cs="Times New Roman"/>
                <w:b/>
                <w:sz w:val="20"/>
                <w:szCs w:val="20"/>
                <w:lang w:eastAsia="sk-SK"/>
              </w:rPr>
            </w:pPr>
          </w:p>
          <w:p w14:paraId="606A4882" w14:textId="77777777" w:rsidR="001B23B7" w:rsidRPr="00B043B4" w:rsidRDefault="001B23B7" w:rsidP="00F8185A">
            <w:pPr>
              <w:rPr>
                <w:rFonts w:ascii="Times New Roman" w:eastAsia="Times New Roman" w:hAnsi="Times New Roman" w:cs="Times New Roman"/>
                <w:b/>
                <w:sz w:val="20"/>
                <w:szCs w:val="20"/>
                <w:lang w:eastAsia="sk-SK"/>
              </w:rPr>
            </w:pPr>
          </w:p>
        </w:tc>
      </w:tr>
    </w:tbl>
    <w:p w14:paraId="24C4A9D3" w14:textId="77777777" w:rsidR="00F8185A" w:rsidRDefault="00F8185A"/>
    <w:sectPr w:rsidR="00F8185A" w:rsidSect="00101D8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1936" w14:textId="77777777" w:rsidR="001F5186" w:rsidRDefault="001F5186" w:rsidP="001B23B7">
      <w:pPr>
        <w:spacing w:after="0" w:line="240" w:lineRule="auto"/>
      </w:pPr>
      <w:r>
        <w:separator/>
      </w:r>
    </w:p>
  </w:endnote>
  <w:endnote w:type="continuationSeparator" w:id="0">
    <w:p w14:paraId="7D71C774" w14:textId="77777777" w:rsidR="001F5186" w:rsidRDefault="001F518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236087029"/>
      <w:docPartObj>
        <w:docPartGallery w:val="Page Numbers (Bottom of Page)"/>
        <w:docPartUnique/>
      </w:docPartObj>
    </w:sdtPr>
    <w:sdtEndPr/>
    <w:sdtContent>
      <w:p w14:paraId="355DDE4F" w14:textId="061448F3" w:rsidR="00101D88" w:rsidRPr="00101D88" w:rsidRDefault="00101D88">
        <w:pPr>
          <w:pStyle w:val="Pta"/>
          <w:jc w:val="center"/>
          <w:rPr>
            <w:rFonts w:ascii="Times New Roman" w:hAnsi="Times New Roman" w:cs="Times New Roman"/>
            <w:sz w:val="16"/>
            <w:szCs w:val="16"/>
          </w:rPr>
        </w:pPr>
        <w:r w:rsidRPr="00101D88">
          <w:rPr>
            <w:rFonts w:ascii="Times New Roman" w:hAnsi="Times New Roman" w:cs="Times New Roman"/>
            <w:sz w:val="16"/>
            <w:szCs w:val="16"/>
          </w:rPr>
          <w:fldChar w:fldCharType="begin"/>
        </w:r>
        <w:r w:rsidRPr="00101D88">
          <w:rPr>
            <w:rFonts w:ascii="Times New Roman" w:hAnsi="Times New Roman" w:cs="Times New Roman"/>
            <w:sz w:val="16"/>
            <w:szCs w:val="16"/>
          </w:rPr>
          <w:instrText>PAGE   \* MERGEFORMAT</w:instrText>
        </w:r>
        <w:r w:rsidRPr="00101D88">
          <w:rPr>
            <w:rFonts w:ascii="Times New Roman" w:hAnsi="Times New Roman" w:cs="Times New Roman"/>
            <w:sz w:val="16"/>
            <w:szCs w:val="16"/>
          </w:rPr>
          <w:fldChar w:fldCharType="separate"/>
        </w:r>
        <w:r w:rsidR="009728E4">
          <w:rPr>
            <w:rFonts w:ascii="Times New Roman" w:hAnsi="Times New Roman" w:cs="Times New Roman"/>
            <w:noProof/>
            <w:sz w:val="16"/>
            <w:szCs w:val="16"/>
          </w:rPr>
          <w:t>6</w:t>
        </w:r>
        <w:r w:rsidRPr="00101D88">
          <w:rPr>
            <w:rFonts w:ascii="Times New Roman" w:hAnsi="Times New Roman" w:cs="Times New Roman"/>
            <w:sz w:val="16"/>
            <w:szCs w:val="16"/>
          </w:rPr>
          <w:fldChar w:fldCharType="end"/>
        </w:r>
      </w:p>
    </w:sdtContent>
  </w:sdt>
  <w:p w14:paraId="008F9DE6" w14:textId="77777777" w:rsidR="00101D88" w:rsidRPr="00101D88" w:rsidRDefault="00101D88">
    <w:pPr>
      <w:pStyle w:val="Pt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EBA5" w14:textId="77777777" w:rsidR="001F5186" w:rsidRDefault="001F5186" w:rsidP="001B23B7">
      <w:pPr>
        <w:spacing w:after="0" w:line="240" w:lineRule="auto"/>
      </w:pPr>
      <w:r>
        <w:separator/>
      </w:r>
    </w:p>
  </w:footnote>
  <w:footnote w:type="continuationSeparator" w:id="0">
    <w:p w14:paraId="7B222026" w14:textId="77777777" w:rsidR="001F5186" w:rsidRDefault="001F5186"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26C7"/>
    <w:rsid w:val="00043706"/>
    <w:rsid w:val="00070180"/>
    <w:rsid w:val="00097069"/>
    <w:rsid w:val="000F2BE9"/>
    <w:rsid w:val="00101D88"/>
    <w:rsid w:val="0014110C"/>
    <w:rsid w:val="00167F85"/>
    <w:rsid w:val="0019513F"/>
    <w:rsid w:val="001B23B7"/>
    <w:rsid w:val="001E3562"/>
    <w:rsid w:val="001F5186"/>
    <w:rsid w:val="00243652"/>
    <w:rsid w:val="00253EB0"/>
    <w:rsid w:val="002675E8"/>
    <w:rsid w:val="00272E66"/>
    <w:rsid w:val="002B26C5"/>
    <w:rsid w:val="002C7B5B"/>
    <w:rsid w:val="002D4F7B"/>
    <w:rsid w:val="002F52F0"/>
    <w:rsid w:val="00353121"/>
    <w:rsid w:val="003770D4"/>
    <w:rsid w:val="003A057B"/>
    <w:rsid w:val="003A1479"/>
    <w:rsid w:val="003D1DA0"/>
    <w:rsid w:val="00437D87"/>
    <w:rsid w:val="0049476D"/>
    <w:rsid w:val="004A4383"/>
    <w:rsid w:val="00512E1C"/>
    <w:rsid w:val="00526587"/>
    <w:rsid w:val="0054592A"/>
    <w:rsid w:val="00591EC6"/>
    <w:rsid w:val="005B4F03"/>
    <w:rsid w:val="00676717"/>
    <w:rsid w:val="006A5EA6"/>
    <w:rsid w:val="00705160"/>
    <w:rsid w:val="00720322"/>
    <w:rsid w:val="00727D64"/>
    <w:rsid w:val="007B40C1"/>
    <w:rsid w:val="007C2899"/>
    <w:rsid w:val="00813E09"/>
    <w:rsid w:val="00853F04"/>
    <w:rsid w:val="00865E81"/>
    <w:rsid w:val="008801B5"/>
    <w:rsid w:val="0088224E"/>
    <w:rsid w:val="00887DD8"/>
    <w:rsid w:val="00894EC5"/>
    <w:rsid w:val="008B222D"/>
    <w:rsid w:val="008C1E8A"/>
    <w:rsid w:val="008C79B7"/>
    <w:rsid w:val="008E749A"/>
    <w:rsid w:val="00924676"/>
    <w:rsid w:val="009431E3"/>
    <w:rsid w:val="009473E6"/>
    <w:rsid w:val="009475F5"/>
    <w:rsid w:val="009644D6"/>
    <w:rsid w:val="009717F5"/>
    <w:rsid w:val="009728E4"/>
    <w:rsid w:val="00987280"/>
    <w:rsid w:val="009C424C"/>
    <w:rsid w:val="009D370E"/>
    <w:rsid w:val="009E09F7"/>
    <w:rsid w:val="009E79E1"/>
    <w:rsid w:val="009F4832"/>
    <w:rsid w:val="00A340BB"/>
    <w:rsid w:val="00A42867"/>
    <w:rsid w:val="00A92FD2"/>
    <w:rsid w:val="00AB1CEF"/>
    <w:rsid w:val="00AD04FF"/>
    <w:rsid w:val="00B0064B"/>
    <w:rsid w:val="00B00CDE"/>
    <w:rsid w:val="00B04610"/>
    <w:rsid w:val="00B26C6F"/>
    <w:rsid w:val="00B40B3A"/>
    <w:rsid w:val="00B56FDD"/>
    <w:rsid w:val="00B84F87"/>
    <w:rsid w:val="00BA2BF4"/>
    <w:rsid w:val="00BB6CD3"/>
    <w:rsid w:val="00BB6CEE"/>
    <w:rsid w:val="00BF383B"/>
    <w:rsid w:val="00C36901"/>
    <w:rsid w:val="00C60C5E"/>
    <w:rsid w:val="00C6431A"/>
    <w:rsid w:val="00CD7F28"/>
    <w:rsid w:val="00CE6AAE"/>
    <w:rsid w:val="00CF1A25"/>
    <w:rsid w:val="00D2313B"/>
    <w:rsid w:val="00DF357C"/>
    <w:rsid w:val="00E011AF"/>
    <w:rsid w:val="00E53F41"/>
    <w:rsid w:val="00E57BE6"/>
    <w:rsid w:val="00E801D5"/>
    <w:rsid w:val="00EC1110"/>
    <w:rsid w:val="00F34233"/>
    <w:rsid w:val="00F56E12"/>
    <w:rsid w:val="00F8185A"/>
    <w:rsid w:val="00F87681"/>
    <w:rsid w:val="00F9684A"/>
    <w:rsid w:val="00FA06B3"/>
    <w:rsid w:val="00FC12C0"/>
    <w:rsid w:val="00FD0DBA"/>
    <w:rsid w:val="00FD5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9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F383B"/>
    <w:pPr>
      <w:ind w:left="720"/>
      <w:contextualSpacing/>
    </w:pPr>
  </w:style>
  <w:style w:type="character" w:styleId="Hypertextovprepojenie">
    <w:name w:val="Hyperlink"/>
    <w:basedOn w:val="Predvolenpsmoodseku"/>
    <w:uiPriority w:val="99"/>
    <w:unhideWhenUsed/>
    <w:rsid w:val="0019513F"/>
    <w:rPr>
      <w:color w:val="0563C1" w:themeColor="hyperlink"/>
      <w:u w:val="single"/>
    </w:rPr>
  </w:style>
  <w:style w:type="paragraph" w:styleId="Normlnywebov">
    <w:name w:val="Normal (Web)"/>
    <w:basedOn w:val="Normlny"/>
    <w:uiPriority w:val="99"/>
    <w:rsid w:val="00FC12C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00e1lnychar1">
    <w:name w:val="norm_00e1lny__char1"/>
    <w:rsid w:val="00B56FD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B56FDD"/>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hambalekova@just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BF6A-AB0F-4BB0-A0BF-9EE9586E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17443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2021-09-07T10:22:00Z</dcterms:created>
  <dcterms:modified xsi:type="dcterms:W3CDTF">2021-09-10T07:17:00Z</dcterms:modified>
</cp:coreProperties>
</file>