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AA2DF3" w14:paraId="154814A2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4E7CCD9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AA2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3BAA749A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AA2DF3" w14:paraId="50F6A089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94C58C8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AA2DF3" w14:paraId="0AE775A1" w14:textId="77777777" w:rsidTr="003A729B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2079843C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70D2AAD1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5CEFF688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CD19ABE" w14:textId="77777777" w:rsidR="00FC2B55" w:rsidRPr="00AA2DF3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102A54FA" w14:textId="77777777" w:rsidR="00FC2B55" w:rsidRPr="00AA2DF3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430AA84D" w14:textId="77777777" w:rsidR="00FC2B55" w:rsidRPr="00AA2DF3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F3D23" w:rsidRPr="00AA2DF3" w14:paraId="02B3E3CC" w14:textId="77777777" w:rsidTr="003A729B">
        <w:trPr>
          <w:trHeight w:val="20"/>
        </w:trPr>
        <w:tc>
          <w:tcPr>
            <w:tcW w:w="3956" w:type="dxa"/>
          </w:tcPr>
          <w:p w14:paraId="6C986B4A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2E58F2DD" w14:textId="0075FDCC" w:rsidR="00FF3D23" w:rsidRPr="00AA2DF3" w:rsidRDefault="009C2388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2569E13A" w14:textId="25DC5B65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ks_340591</w:t>
            </w:r>
          </w:p>
        </w:tc>
        <w:tc>
          <w:tcPr>
            <w:tcW w:w="1276" w:type="dxa"/>
            <w:gridSpan w:val="2"/>
          </w:tcPr>
          <w:p w14:paraId="69F238D9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Elektronická práceneschopnosť </w:t>
            </w:r>
          </w:p>
        </w:tc>
        <w:tc>
          <w:tcPr>
            <w:tcW w:w="1559" w:type="dxa"/>
          </w:tcPr>
          <w:p w14:paraId="0C7BC150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</w:t>
            </w:r>
          </w:p>
        </w:tc>
      </w:tr>
      <w:tr w:rsidR="00FF3D23" w:rsidRPr="00AA2DF3" w14:paraId="762F842B" w14:textId="77777777" w:rsidTr="003A729B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4A36B265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2F66A9C2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108B3286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71DF740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63A33168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6AB56D9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F3D23" w:rsidRPr="00AA2DF3" w14:paraId="2A4079E8" w14:textId="77777777" w:rsidTr="003A729B">
        <w:trPr>
          <w:trHeight w:val="20"/>
        </w:trPr>
        <w:tc>
          <w:tcPr>
            <w:tcW w:w="3956" w:type="dxa"/>
          </w:tcPr>
          <w:p w14:paraId="17EE4E73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AA2DF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2C4449C0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52CE1886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isvs_10162</w:t>
            </w:r>
          </w:p>
        </w:tc>
        <w:tc>
          <w:tcPr>
            <w:tcW w:w="1276" w:type="dxa"/>
            <w:gridSpan w:val="2"/>
          </w:tcPr>
          <w:p w14:paraId="478FBB59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Register dočasných pracovných neschopnosti</w:t>
            </w:r>
          </w:p>
        </w:tc>
        <w:tc>
          <w:tcPr>
            <w:tcW w:w="1559" w:type="dxa"/>
          </w:tcPr>
          <w:p w14:paraId="70132A08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606784C5" w14:textId="77777777" w:rsidTr="003A729B">
        <w:trPr>
          <w:trHeight w:val="20"/>
        </w:trPr>
        <w:tc>
          <w:tcPr>
            <w:tcW w:w="3956" w:type="dxa"/>
          </w:tcPr>
          <w:p w14:paraId="06917CA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166784BC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1C5BDC04" w14:textId="77777777" w:rsidR="00FF3D23" w:rsidRPr="00AA2DF3" w:rsidRDefault="00FF3D23" w:rsidP="00FF3D2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isvs_10167</w:t>
            </w:r>
          </w:p>
        </w:tc>
        <w:tc>
          <w:tcPr>
            <w:tcW w:w="1276" w:type="dxa"/>
            <w:gridSpan w:val="2"/>
          </w:tcPr>
          <w:p w14:paraId="0B145661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Register </w:t>
            </w:r>
            <w:r w:rsidRPr="00AA2DF3">
              <w:rPr>
                <w:rStyle w:val="normaltextrun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osôb poistného vzťahu pri vykonávaní sociálneho poistenia</w:t>
            </w:r>
          </w:p>
        </w:tc>
        <w:tc>
          <w:tcPr>
            <w:tcW w:w="1559" w:type="dxa"/>
          </w:tcPr>
          <w:p w14:paraId="2642814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792628A6" w14:textId="77777777" w:rsidTr="003A729B">
        <w:trPr>
          <w:trHeight w:val="20"/>
        </w:trPr>
        <w:tc>
          <w:tcPr>
            <w:tcW w:w="3956" w:type="dxa"/>
          </w:tcPr>
          <w:p w14:paraId="7E5D67E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0692B04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3DA42792" w14:textId="77777777" w:rsidR="00FF3D23" w:rsidRPr="00AA2DF3" w:rsidRDefault="00FF3D23" w:rsidP="00FF3D2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isvs_400</w:t>
            </w:r>
          </w:p>
        </w:tc>
        <w:tc>
          <w:tcPr>
            <w:tcW w:w="1276" w:type="dxa"/>
            <w:gridSpan w:val="2"/>
          </w:tcPr>
          <w:p w14:paraId="5D8EF430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Národný zdravotnícky informačný systém (NZIS)</w:t>
            </w:r>
          </w:p>
        </w:tc>
        <w:tc>
          <w:tcPr>
            <w:tcW w:w="1559" w:type="dxa"/>
          </w:tcPr>
          <w:p w14:paraId="503AC1B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350879AF" w14:textId="77777777" w:rsidTr="003A729B">
        <w:trPr>
          <w:trHeight w:val="20"/>
        </w:trPr>
        <w:tc>
          <w:tcPr>
            <w:tcW w:w="3956" w:type="dxa"/>
          </w:tcPr>
          <w:p w14:paraId="47F257B9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71C31F1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FB4CD4E" w14:textId="77777777" w:rsidR="00FF3D23" w:rsidRPr="00AA2DF3" w:rsidRDefault="00FF3D23" w:rsidP="00FF3D2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isvs_7756</w:t>
            </w:r>
          </w:p>
        </w:tc>
        <w:tc>
          <w:tcPr>
            <w:tcW w:w="1276" w:type="dxa"/>
            <w:gridSpan w:val="2"/>
          </w:tcPr>
          <w:p w14:paraId="6635129C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Jednotná referenčná údajová základňa (JRÚZ)</w:t>
            </w:r>
          </w:p>
        </w:tc>
        <w:tc>
          <w:tcPr>
            <w:tcW w:w="1559" w:type="dxa"/>
          </w:tcPr>
          <w:p w14:paraId="1D17CC61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1875A615" w14:textId="77777777" w:rsidTr="003A729B">
        <w:trPr>
          <w:trHeight w:val="20"/>
        </w:trPr>
        <w:tc>
          <w:tcPr>
            <w:tcW w:w="3956" w:type="dxa"/>
          </w:tcPr>
          <w:p w14:paraId="2130FD40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F704F72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2A4C864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isvs_547</w:t>
            </w:r>
          </w:p>
        </w:tc>
        <w:tc>
          <w:tcPr>
            <w:tcW w:w="1276" w:type="dxa"/>
            <w:gridSpan w:val="2"/>
          </w:tcPr>
          <w:p w14:paraId="46A8877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 nemocenského poistenia a lekárskej posudkovej činnosti (IS NPaLPČ)</w:t>
            </w:r>
          </w:p>
        </w:tc>
        <w:tc>
          <w:tcPr>
            <w:tcW w:w="1559" w:type="dxa"/>
          </w:tcPr>
          <w:p w14:paraId="4A617942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6AB50499" w14:textId="77777777" w:rsidTr="003A729B">
        <w:trPr>
          <w:trHeight w:val="20"/>
        </w:trPr>
        <w:tc>
          <w:tcPr>
            <w:tcW w:w="3956" w:type="dxa"/>
          </w:tcPr>
          <w:p w14:paraId="7471239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36EEE8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1C2BF49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isvs_551</w:t>
            </w:r>
          </w:p>
        </w:tc>
        <w:tc>
          <w:tcPr>
            <w:tcW w:w="1276" w:type="dxa"/>
            <w:gridSpan w:val="2"/>
          </w:tcPr>
          <w:p w14:paraId="67313D77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Systém elektronick</w:t>
            </w: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lastRenderedPageBreak/>
              <w:t>ých služieb (SES)</w:t>
            </w:r>
          </w:p>
        </w:tc>
        <w:tc>
          <w:tcPr>
            <w:tcW w:w="1559" w:type="dxa"/>
          </w:tcPr>
          <w:p w14:paraId="670FF849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lastRenderedPageBreak/>
              <w:t>nie</w:t>
            </w:r>
          </w:p>
        </w:tc>
      </w:tr>
      <w:tr w:rsidR="00FF3D23" w:rsidRPr="00AA2DF3" w14:paraId="313EF56F" w14:textId="77777777" w:rsidTr="003A729B">
        <w:trPr>
          <w:trHeight w:val="20"/>
        </w:trPr>
        <w:tc>
          <w:tcPr>
            <w:tcW w:w="3956" w:type="dxa"/>
          </w:tcPr>
          <w:p w14:paraId="3D7E59FE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34F3B24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019CB411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isvs_8213</w:t>
            </w:r>
          </w:p>
        </w:tc>
        <w:tc>
          <w:tcPr>
            <w:tcW w:w="1276" w:type="dxa"/>
            <w:gridSpan w:val="2"/>
          </w:tcPr>
          <w:p w14:paraId="73B4976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Informačný systém Jednotného výberu poistného (IS JVP)</w:t>
            </w:r>
          </w:p>
        </w:tc>
        <w:tc>
          <w:tcPr>
            <w:tcW w:w="1559" w:type="dxa"/>
          </w:tcPr>
          <w:p w14:paraId="7222846B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E4D70" w:rsidRPr="00AA2DF3" w14:paraId="0599E255" w14:textId="77777777" w:rsidTr="009836C8">
        <w:trPr>
          <w:trHeight w:val="20"/>
        </w:trPr>
        <w:tc>
          <w:tcPr>
            <w:tcW w:w="3956" w:type="dxa"/>
          </w:tcPr>
          <w:p w14:paraId="575A60D7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141F6D1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1AA67A2F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isvs_8214</w:t>
            </w:r>
          </w:p>
        </w:tc>
        <w:tc>
          <w:tcPr>
            <w:tcW w:w="1276" w:type="dxa"/>
            <w:gridSpan w:val="2"/>
          </w:tcPr>
          <w:p w14:paraId="7FAA10C5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Administratívny informačný systém dôchodkového poistenia (AIS DP)</w:t>
            </w:r>
          </w:p>
        </w:tc>
        <w:tc>
          <w:tcPr>
            <w:tcW w:w="1559" w:type="dxa"/>
          </w:tcPr>
          <w:p w14:paraId="3A526282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nie</w:t>
            </w:r>
          </w:p>
        </w:tc>
      </w:tr>
      <w:tr w:rsidR="00FE4D70" w:rsidRPr="00AA2DF3" w14:paraId="5172E6DA" w14:textId="77777777" w:rsidTr="009836C8">
        <w:trPr>
          <w:trHeight w:val="20"/>
        </w:trPr>
        <w:tc>
          <w:tcPr>
            <w:tcW w:w="3956" w:type="dxa"/>
          </w:tcPr>
          <w:p w14:paraId="7B8C86D4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591D7CCF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5B49EC89" w14:textId="479B70F7" w:rsidR="00FE4D70" w:rsidRPr="00AA2DF3" w:rsidRDefault="00BB5D68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isvs_546</w:t>
            </w:r>
          </w:p>
        </w:tc>
        <w:tc>
          <w:tcPr>
            <w:tcW w:w="1276" w:type="dxa"/>
            <w:gridSpan w:val="2"/>
          </w:tcPr>
          <w:p w14:paraId="3E042DB8" w14:textId="0F2290E1" w:rsidR="00FE4D70" w:rsidRPr="00AA2DF3" w:rsidRDefault="00BB5D68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 dôchodkového poistenia (DP)</w:t>
            </w:r>
          </w:p>
        </w:tc>
        <w:tc>
          <w:tcPr>
            <w:tcW w:w="1559" w:type="dxa"/>
          </w:tcPr>
          <w:p w14:paraId="415ABF8A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nie</w:t>
            </w:r>
          </w:p>
        </w:tc>
      </w:tr>
      <w:tr w:rsidR="00301FD7" w:rsidRPr="00AA2DF3" w14:paraId="0CDE0212" w14:textId="77777777" w:rsidTr="003A729B">
        <w:trPr>
          <w:trHeight w:val="20"/>
        </w:trPr>
        <w:tc>
          <w:tcPr>
            <w:tcW w:w="3956" w:type="dxa"/>
          </w:tcPr>
          <w:p w14:paraId="400F0B3E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1C2F1F65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56D41F4F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isvs_256</w:t>
            </w:r>
          </w:p>
        </w:tc>
        <w:tc>
          <w:tcPr>
            <w:tcW w:w="1276" w:type="dxa"/>
            <w:gridSpan w:val="2"/>
          </w:tcPr>
          <w:p w14:paraId="22C20DB1" w14:textId="43BB2F46" w:rsidR="00301FD7" w:rsidRPr="00AA2DF3" w:rsidRDefault="00BA4AB6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Evidencia obvinených a odsúdených Zboru väzenskej a justičnej stráže</w:t>
            </w:r>
          </w:p>
        </w:tc>
        <w:tc>
          <w:tcPr>
            <w:tcW w:w="1559" w:type="dxa"/>
          </w:tcPr>
          <w:p w14:paraId="0993F9AC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301FD7" w:rsidRPr="00AA2DF3" w14:paraId="0720A5BC" w14:textId="77777777" w:rsidTr="003A729B">
        <w:trPr>
          <w:trHeight w:val="20"/>
        </w:trPr>
        <w:tc>
          <w:tcPr>
            <w:tcW w:w="3956" w:type="dxa"/>
          </w:tcPr>
          <w:p w14:paraId="3C022410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92E4424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3EF8FA1C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isvs_6810</w:t>
            </w:r>
          </w:p>
        </w:tc>
        <w:tc>
          <w:tcPr>
            <w:tcW w:w="1276" w:type="dxa"/>
            <w:gridSpan w:val="2"/>
          </w:tcPr>
          <w:p w14:paraId="709FE6A0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 Zboru väzenskej a justičnej stráže</w:t>
            </w:r>
          </w:p>
        </w:tc>
        <w:tc>
          <w:tcPr>
            <w:tcW w:w="1559" w:type="dxa"/>
          </w:tcPr>
          <w:p w14:paraId="415F7BE4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301FD7" w:rsidRPr="00AA2DF3" w14:paraId="1EC2E738" w14:textId="77777777" w:rsidTr="003A729B">
        <w:trPr>
          <w:trHeight w:val="20"/>
        </w:trPr>
        <w:tc>
          <w:tcPr>
            <w:tcW w:w="3956" w:type="dxa"/>
          </w:tcPr>
          <w:p w14:paraId="0A82D0DA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5792ED79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3AAD103A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isvs_10324</w:t>
            </w:r>
          </w:p>
        </w:tc>
        <w:tc>
          <w:tcPr>
            <w:tcW w:w="1276" w:type="dxa"/>
            <w:gridSpan w:val="2"/>
          </w:tcPr>
          <w:p w14:paraId="1C544FAC" w14:textId="4DE87F88" w:rsidR="00301FD7" w:rsidRPr="00AA2DF3" w:rsidRDefault="00BA4AB6" w:rsidP="00301F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Centrálna integračná platforma Zboru väzenskej a justičnej stráže</w:t>
            </w:r>
          </w:p>
        </w:tc>
        <w:tc>
          <w:tcPr>
            <w:tcW w:w="1559" w:type="dxa"/>
          </w:tcPr>
          <w:p w14:paraId="698141B7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301FD7" w:rsidRPr="00AA2DF3" w14:paraId="0E424136" w14:textId="77777777" w:rsidTr="003A729B">
        <w:trPr>
          <w:trHeight w:val="20"/>
        </w:trPr>
        <w:tc>
          <w:tcPr>
            <w:tcW w:w="3956" w:type="dxa"/>
          </w:tcPr>
          <w:p w14:paraId="362D0BBD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79281491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11AA06C0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isvs_8667</w:t>
            </w:r>
          </w:p>
        </w:tc>
        <w:tc>
          <w:tcPr>
            <w:tcW w:w="1276" w:type="dxa"/>
            <w:gridSpan w:val="2"/>
          </w:tcPr>
          <w:p w14:paraId="42D1A1D5" w14:textId="50D4F355" w:rsidR="00301FD7" w:rsidRPr="00AA2DF3" w:rsidRDefault="004D794A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Informačný systém vnútornej správy (ISVS)</w:t>
            </w:r>
          </w:p>
        </w:tc>
        <w:tc>
          <w:tcPr>
            <w:tcW w:w="1559" w:type="dxa"/>
          </w:tcPr>
          <w:p w14:paraId="7F3A370D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  <w:p w14:paraId="775EE348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C6567E" w:rsidRPr="00AA2DF3" w14:paraId="7C74AC91" w14:textId="77777777" w:rsidTr="003A729B">
        <w:trPr>
          <w:trHeight w:val="20"/>
        </w:trPr>
        <w:tc>
          <w:tcPr>
            <w:tcW w:w="3956" w:type="dxa"/>
          </w:tcPr>
          <w:p w14:paraId="1ECC786E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2534D633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770A2BE1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5C425045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Integrovaný informačný systém MV SR</w:t>
            </w:r>
          </w:p>
        </w:tc>
        <w:tc>
          <w:tcPr>
            <w:tcW w:w="1559" w:type="dxa"/>
          </w:tcPr>
          <w:p w14:paraId="770E58E1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C6567E" w:rsidRPr="00AA2DF3" w14:paraId="0B289D04" w14:textId="77777777" w:rsidTr="003A729B">
        <w:trPr>
          <w:trHeight w:val="20"/>
        </w:trPr>
        <w:tc>
          <w:tcPr>
            <w:tcW w:w="3956" w:type="dxa"/>
          </w:tcPr>
          <w:p w14:paraId="230D283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ACBC0D5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05B18DD7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079B1826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Integrovaný informačný systém MO SR</w:t>
            </w:r>
          </w:p>
        </w:tc>
        <w:tc>
          <w:tcPr>
            <w:tcW w:w="1559" w:type="dxa"/>
          </w:tcPr>
          <w:p w14:paraId="63FA0F44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C6567E" w:rsidRPr="00AA2DF3" w14:paraId="140A7BB2" w14:textId="77777777" w:rsidTr="003A729B">
        <w:trPr>
          <w:trHeight w:val="20"/>
        </w:trPr>
        <w:tc>
          <w:tcPr>
            <w:tcW w:w="3956" w:type="dxa"/>
          </w:tcPr>
          <w:p w14:paraId="301C58DA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A897817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16D0DC7B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65A71128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Integrovaný informačný systém NBÚ</w:t>
            </w:r>
          </w:p>
        </w:tc>
        <w:tc>
          <w:tcPr>
            <w:tcW w:w="1559" w:type="dxa"/>
          </w:tcPr>
          <w:p w14:paraId="554A0764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C6567E" w:rsidRPr="00AA2DF3" w14:paraId="051E8AB2" w14:textId="77777777" w:rsidTr="003A729B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71381282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0F2B03EF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0042A14C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Nadrezortná úroveň</w:t>
            </w:r>
          </w:p>
          <w:p w14:paraId="1732A04D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0C3C6C97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A - z prostriedkov EÚ   B - z ďalších zdrojov financovania</w:t>
            </w:r>
          </w:p>
        </w:tc>
      </w:tr>
      <w:tr w:rsidR="00C6567E" w:rsidRPr="00AA2DF3" w14:paraId="2F83192E" w14:textId="77777777" w:rsidTr="003A729B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7FBB9047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599B0057" w14:textId="77777777" w:rsidR="00C6567E" w:rsidRPr="00AA2DF3" w:rsidRDefault="00C6567E" w:rsidP="00C6567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 príslušnú úroveň financovania a kvantifikáciu finančných </w:t>
            </w: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A68E219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lastRenderedPageBreak/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4B6A06B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D34D95A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B</w:t>
            </w:r>
          </w:p>
        </w:tc>
      </w:tr>
      <w:tr w:rsidR="00C6567E" w:rsidRPr="00AA2DF3" w14:paraId="19C9893B" w14:textId="77777777" w:rsidTr="003A729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5369B820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lastRenderedPageBreak/>
              <w:t>Zjednodušenie prístupu ku konaniu a odstraňovanie byrokracie</w:t>
            </w:r>
          </w:p>
        </w:tc>
      </w:tr>
      <w:tr w:rsidR="00C6567E" w:rsidRPr="00AA2DF3" w14:paraId="66A0DB24" w14:textId="77777777" w:rsidTr="003A729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63A25B99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Elektronické konanie</w:t>
            </w:r>
          </w:p>
        </w:tc>
      </w:tr>
      <w:tr w:rsidR="00C6567E" w:rsidRPr="00AA2DF3" w14:paraId="5D8B88E8" w14:textId="77777777" w:rsidTr="003A729B">
        <w:trPr>
          <w:trHeight w:val="20"/>
        </w:trPr>
        <w:tc>
          <w:tcPr>
            <w:tcW w:w="3956" w:type="dxa"/>
          </w:tcPr>
          <w:p w14:paraId="4403D6C2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4FDD11D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</w:sdtPr>
                <w:sdtEndPr/>
                <w:sdtContent>
                  <w:tc>
                    <w:tcPr>
                      <w:tcW w:w="436" w:type="dxa"/>
                    </w:tcPr>
                    <w:p w14:paraId="6252B2C8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A1887D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6228A66B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</w:sdtPr>
                <w:sdtEndPr/>
                <w:sdtContent>
                  <w:tc>
                    <w:tcPr>
                      <w:tcW w:w="436" w:type="dxa"/>
                    </w:tcPr>
                    <w:p w14:paraId="784C3E17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FF70287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C854B9C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0B2795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Predložený návrh predpokladá konanie o právach fyzických osôb pri uznaní osoby za dočasne pracovne neschopnú lekárom.</w:t>
            </w:r>
          </w:p>
          <w:p w14:paraId="49E6A885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  <w:p w14:paraId="30DBD7F3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Procesný predpis, upravujúci pravidlá pre posúdenie dočasnej pracovnej neschopnosti a následne jej znovunadobudnutie (posúdenie pracovnej schopnosti) ako životnej situácie poistenca spojenej s jeho zdravotným stavom (choroba, úraz, choroba z povolania alebo pracovný úraz alebo nariadené karanténne opatrenie/izolácia) pre potreby dokumentácie prekážky v práci a nároku na náhradu príjmu (pre zamestnávateľa) a pre potreby vyplácania dávok sociálneho poistenia.</w:t>
            </w:r>
          </w:p>
          <w:p w14:paraId="7CF852C0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C6567E" w:rsidRPr="00AA2DF3" w14:paraId="0410280F" w14:textId="77777777" w:rsidTr="003A729B">
        <w:trPr>
          <w:trHeight w:val="20"/>
        </w:trPr>
        <w:tc>
          <w:tcPr>
            <w:tcW w:w="3956" w:type="dxa"/>
          </w:tcPr>
          <w:p w14:paraId="4D10218B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12ED3C7F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805351662"/>
                </w:sdtPr>
                <w:sdtEndPr/>
                <w:sdtContent>
                  <w:tc>
                    <w:tcPr>
                      <w:tcW w:w="436" w:type="dxa"/>
                    </w:tcPr>
                    <w:p w14:paraId="7EE3B599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BAA23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16281629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</w:sdtPr>
                <w:sdtEndPr/>
                <w:sdtContent>
                  <w:tc>
                    <w:tcPr>
                      <w:tcW w:w="436" w:type="dxa"/>
                    </w:tcPr>
                    <w:p w14:paraId="32368FEF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3C80DA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AE6CE6E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8A19E5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C6567E" w:rsidRPr="00AA2DF3" w14:paraId="02566873" w14:textId="77777777" w:rsidTr="003A729B">
        <w:trPr>
          <w:trHeight w:val="20"/>
        </w:trPr>
        <w:tc>
          <w:tcPr>
            <w:tcW w:w="3956" w:type="dxa"/>
          </w:tcPr>
          <w:p w14:paraId="7ADD6DF6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77517705" w14:textId="77777777" w:rsidTr="002077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46405230"/>
                </w:sdtPr>
                <w:sdtEndPr/>
                <w:sdtContent>
                  <w:tc>
                    <w:tcPr>
                      <w:tcW w:w="436" w:type="dxa"/>
                    </w:tcPr>
                    <w:p w14:paraId="1BD05E2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3B87AF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21375E9" w14:textId="77777777" w:rsidTr="002077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91644769"/>
                </w:sdtPr>
                <w:sdtEndPr/>
                <w:sdtContent>
                  <w:tc>
                    <w:tcPr>
                      <w:tcW w:w="436" w:type="dxa"/>
                    </w:tcPr>
                    <w:p w14:paraId="0B4FE43E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F3E7E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F9F36F3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A0BD0D0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 xml:space="preserve">V zmysle § 2 ods. 1. písm. d) zákona o e-Governmente nevzťahuje na ISVS, ktoré obsahujú údaje spracúvané na účely poskytovania zdravotnej starostlivosti.  </w:t>
            </w:r>
          </w:p>
        </w:tc>
      </w:tr>
      <w:tr w:rsidR="00C6567E" w:rsidRPr="00AA2DF3" w14:paraId="1DEDB75A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47F1AFAF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Zásada „jedenkrát a dosť“</w:t>
            </w:r>
          </w:p>
        </w:tc>
      </w:tr>
      <w:tr w:rsidR="00C6567E" w:rsidRPr="00AA2DF3" w14:paraId="14092604" w14:textId="77777777" w:rsidTr="003A729B">
        <w:trPr>
          <w:trHeight w:val="20"/>
        </w:trPr>
        <w:tc>
          <w:tcPr>
            <w:tcW w:w="3956" w:type="dxa"/>
          </w:tcPr>
          <w:p w14:paraId="439FBBF5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6.5.1. </w:t>
            </w:r>
            <w:r w:rsidRPr="00AA2DF3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E1020E0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85550051"/>
                </w:sdtPr>
                <w:sdtEndPr/>
                <w:sdtContent>
                  <w:tc>
                    <w:tcPr>
                      <w:tcW w:w="436" w:type="dxa"/>
                    </w:tcPr>
                    <w:p w14:paraId="61FA6BAF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F0215ED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1858216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7BCA344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4447DC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9DC648D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70A57E7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bookmarkStart w:id="1" w:name="_Toc66705822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Oprávnenie lekára potvrdiť ePN (povinné údaje o PZS)</w:t>
            </w:r>
            <w:bookmarkEnd w:id="1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.</w:t>
            </w:r>
          </w:p>
          <w:p w14:paraId="72DB1B39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bookmarkStart w:id="2" w:name="_Toc66705823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Dôvod vzniku DPN a jeho zmena, diagnóza a jej zmena počas DPN,</w:t>
            </w:r>
            <w:r w:rsidRPr="00AA2DF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 xml:space="preserve">rozhodnutie lekára o ePN, dátum práceneschopnosti od - do, </w:t>
            </w:r>
            <w:bookmarkStart w:id="3" w:name="_Toc66705830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spätné uznanie ePN</w:t>
            </w:r>
            <w:bookmarkEnd w:id="3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 xml:space="preserve"> (povinný údaj o vystavení ePN)</w:t>
            </w:r>
            <w:bookmarkEnd w:id="2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.</w:t>
            </w:r>
          </w:p>
          <w:p w14:paraId="5AB03F89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Osobné údaje pacienta (identifikácia pri návšteve lekára).</w:t>
            </w:r>
          </w:p>
          <w:p w14:paraId="36823EEA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bookmarkStart w:id="4" w:name="_Toc66705825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Adresné údaje pacienta (povinný údaj – adresa, na ktorej sa bude pacient zdržiavať a jej zmeny)</w:t>
            </w:r>
            <w:bookmarkEnd w:id="4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.</w:t>
            </w:r>
          </w:p>
          <w:p w14:paraId="3DB4702C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Poistný vzťah a názov zamestnávateľa.</w:t>
            </w:r>
          </w:p>
          <w:p w14:paraId="4E4027AB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Zamestnávatelia budú predkladať údaje o dátume kedy zamestnanec naposledy pracoval, o vyplatenej náhrade príjmu, hlásenie o registrovanom pracovnom úraze, chorobe z povolania.</w:t>
            </w:r>
          </w:p>
          <w:p w14:paraId="0E3EA33D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Poistenci budú predkladať hlásenie úrazu v prípade, ak DPN bude z dôvodu úrazu – ide o obdobu čestného vyhlásenia, kde uvádza okolnosti vzniku úrazu, požitie alkoholu a zavinenie úrazu inou osobou (regres).</w:t>
            </w:r>
            <w:r w:rsidRPr="00AA2D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</w:p>
        </w:tc>
      </w:tr>
      <w:tr w:rsidR="00C6567E" w:rsidRPr="00AA2DF3" w14:paraId="4F46C72D" w14:textId="77777777" w:rsidTr="003A729B">
        <w:trPr>
          <w:trHeight w:val="20"/>
        </w:trPr>
        <w:tc>
          <w:tcPr>
            <w:tcW w:w="3956" w:type="dxa"/>
          </w:tcPr>
          <w:p w14:paraId="3E042C8A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AA2DF3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228351E7" w14:textId="77777777" w:rsidTr="00613226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70465132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id w:val="1819383274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412D6FBE" w14:textId="77777777" w:rsidR="00C6567E" w:rsidRPr="00AA2DF3" w:rsidRDefault="00C6567E" w:rsidP="00C6567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A2DF3">
                            <w:rPr>
                              <w:rFonts w:ascii="Segoe UI Symbol" w:eastAsia="Times New Roman" w:hAnsi="Segoe UI Symbol" w:cs="Segoe UI Symbol"/>
                              <w:sz w:val="20"/>
                              <w:szCs w:val="20"/>
                              <w:lang w:eastAsia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14:paraId="07249C0D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1CD6DC9" w14:textId="77777777" w:rsidTr="00613226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</w:sdtPr>
                <w:sdtEndPr/>
                <w:sdtContent>
                  <w:tc>
                    <w:tcPr>
                      <w:tcW w:w="436" w:type="dxa"/>
                    </w:tcPr>
                    <w:p w14:paraId="22E9C0B8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93165A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0F991DC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15D7697" w14:textId="77777777" w:rsidR="00C6567E" w:rsidRPr="00AA2DF3" w:rsidRDefault="00C6567E" w:rsidP="00C6567E">
            <w:pPr>
              <w:pStyle w:val="Nadpis4"/>
              <w:numPr>
                <w:ilvl w:val="0"/>
                <w:numId w:val="10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Evidencia údajov v rámci eZdravie.</w:t>
            </w:r>
          </w:p>
          <w:p w14:paraId="299B7E9C" w14:textId="77777777" w:rsidR="00C6567E" w:rsidRPr="00AA2DF3" w:rsidRDefault="00C6567E" w:rsidP="00C6567E">
            <w:pPr>
              <w:pStyle w:val="Nadpis4"/>
              <w:numPr>
                <w:ilvl w:val="0"/>
                <w:numId w:val="10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Evidencia údajov o poistencoch.</w:t>
            </w:r>
          </w:p>
          <w:p w14:paraId="4D54F4F9" w14:textId="77777777" w:rsidR="00C6567E" w:rsidRPr="00AA2DF3" w:rsidRDefault="00C6567E" w:rsidP="00C6567E">
            <w:pPr>
              <w:pStyle w:val="Nadpis4"/>
              <w:numPr>
                <w:ilvl w:val="0"/>
                <w:numId w:val="10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Evidencia údajov o PN.</w:t>
            </w:r>
          </w:p>
        </w:tc>
      </w:tr>
      <w:tr w:rsidR="00C6567E" w:rsidRPr="00AA2DF3" w14:paraId="65A55417" w14:textId="77777777" w:rsidTr="003A729B">
        <w:trPr>
          <w:trHeight w:val="20"/>
        </w:trPr>
        <w:tc>
          <w:tcPr>
            <w:tcW w:w="3956" w:type="dxa"/>
          </w:tcPr>
          <w:p w14:paraId="6953F791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neskorších predpisov alebo iným obdobným spôsobom, ktorý zabezpečí, aby si údaje orgán, ktorý konanie vedie, získaval z úradnej moci a nemuseli mu byť predkladané </w:t>
            </w:r>
            <w:r w:rsidRPr="00AA2DF3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FF362B0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</w:sdtPr>
                <w:sdtEndPr/>
                <w:sdtContent>
                  <w:tc>
                    <w:tcPr>
                      <w:tcW w:w="436" w:type="dxa"/>
                    </w:tcPr>
                    <w:p w14:paraId="554D56EF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0CDFD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2B9A41D1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60455899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id w:val="-1947228849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671DED40" w14:textId="77777777" w:rsidR="00C6567E" w:rsidRPr="00AA2DF3" w:rsidRDefault="00C6567E" w:rsidP="00C6567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A2DF3">
                            <w:rPr>
                              <w:rFonts w:ascii="Segoe UI Symbol" w:eastAsia="Times New Roman" w:hAnsi="Segoe UI Symbol" w:cs="Segoe UI Symbol"/>
                              <w:sz w:val="20"/>
                              <w:szCs w:val="20"/>
                              <w:lang w:eastAsia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14:paraId="02239F1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7DBC55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52DB5D4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Sprostredkovateľom celého toku informácií od PZS do SP bude Národný zdravotný informačný systém (NZIS) spravovaný Národným centrom zdravotníckych informácií (NCZI). Vzájomné prepojenie IS PZS – NZIS – IS </w:t>
            </w: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SP zabezpečí prenos údajov súvisiacich s vystavovaním, potvrdzovaním ePN a následne s rozhodovaním a výplatou dávky PN a informovanie pacienta a zamestnávateľa o všetkých relevantných skutočnostiach. Navyše poskytované údaje predstavujú  predovšetkým osobné údaje dotknutých osôb.</w:t>
            </w:r>
          </w:p>
        </w:tc>
      </w:tr>
      <w:tr w:rsidR="00C6567E" w:rsidRPr="00AA2DF3" w14:paraId="73FEE6B2" w14:textId="77777777" w:rsidTr="003A729B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1297DA8A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06249890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</w:sdtPr>
                <w:sdtEndPr/>
                <w:sdtContent>
                  <w:tc>
                    <w:tcPr>
                      <w:tcW w:w="436" w:type="dxa"/>
                    </w:tcPr>
                    <w:p w14:paraId="66A78DFD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4FF030B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0F89272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</w:sdtPr>
                <w:sdtEndPr/>
                <w:sdtContent>
                  <w:tc>
                    <w:tcPr>
                      <w:tcW w:w="436" w:type="dxa"/>
                    </w:tcPr>
                    <w:p w14:paraId="44FD7E71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E87C6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B16E6E5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8A4C3F8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C6567E" w:rsidRPr="00AA2DF3" w14:paraId="3510D670" w14:textId="77777777" w:rsidTr="003A729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14E52032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C6567E" w:rsidRPr="00AA2DF3" w14:paraId="2EEA912B" w14:textId="77777777" w:rsidTr="003A729B">
        <w:trPr>
          <w:trHeight w:val="20"/>
        </w:trPr>
        <w:tc>
          <w:tcPr>
            <w:tcW w:w="3956" w:type="dxa"/>
          </w:tcPr>
          <w:p w14:paraId="61FF49F9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461E4934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967009097"/>
                </w:sdtPr>
                <w:sdtEndPr/>
                <w:sdtContent>
                  <w:tc>
                    <w:tcPr>
                      <w:tcW w:w="436" w:type="dxa"/>
                    </w:tcPr>
                    <w:p w14:paraId="19C5B3A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08980C8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EEE36F0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</w:sdtPr>
                <w:sdtEndPr/>
                <w:sdtContent>
                  <w:tc>
                    <w:tcPr>
                      <w:tcW w:w="436" w:type="dxa"/>
                    </w:tcPr>
                    <w:p w14:paraId="12EB33D9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430CB25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BE6FA0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BCD302E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Návrh predpokladá zavedenie nových registrov:</w:t>
            </w:r>
          </w:p>
          <w:p w14:paraId="19BE337F" w14:textId="77777777" w:rsidR="00C6567E" w:rsidRPr="00AA2DF3" w:rsidRDefault="00C6567E" w:rsidP="00C6567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Registra dočasných pracovných neschopností</w:t>
            </w:r>
          </w:p>
          <w:p w14:paraId="30CA605C" w14:textId="77777777" w:rsidR="00C6567E" w:rsidRPr="00AA2DF3" w:rsidRDefault="00C6567E" w:rsidP="00C6567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 xml:space="preserve">Registra osôb </w:t>
            </w:r>
            <w:r w:rsidRPr="00AA2DF3">
              <w:rPr>
                <w:rStyle w:val="normaltextrun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poistného vzťahu pri vykonávaní sociálneho poistenia</w:t>
            </w:r>
          </w:p>
          <w:p w14:paraId="5EDF7F5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  <w:p w14:paraId="3F25F9B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Úprava vedenia evidencie údajov – bude vedená elektronicky a budú v nej všetky PN. Doteraz PZS nemali oficiálnu povinnosť zasielať SP potvrdenia o DPN, čím nebola evidencia PN úplná.</w:t>
            </w:r>
          </w:p>
        </w:tc>
      </w:tr>
      <w:tr w:rsidR="00C6567E" w:rsidRPr="00AA2DF3" w14:paraId="1A9989F3" w14:textId="77777777" w:rsidTr="003A729B">
        <w:trPr>
          <w:trHeight w:val="20"/>
        </w:trPr>
        <w:tc>
          <w:tcPr>
            <w:tcW w:w="3956" w:type="dxa"/>
          </w:tcPr>
          <w:p w14:paraId="77CFD95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Umožňuje predložený návrh poskytovanie údajov z evidencie iným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1FE821B4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</w:sdtPr>
                <w:sdtEndPr/>
                <w:sdtContent>
                  <w:tc>
                    <w:tcPr>
                      <w:tcW w:w="436" w:type="dxa"/>
                    </w:tcPr>
                    <w:p w14:paraId="7BD2AE3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7216F8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7999D33D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</w:sdtPr>
                <w:sdtEndPr/>
                <w:sdtContent>
                  <w:tc>
                    <w:tcPr>
                      <w:tcW w:w="436" w:type="dxa"/>
                    </w:tcPr>
                    <w:p w14:paraId="2761C8AA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D5BE62A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D49C047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16213AC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6567E" w:rsidRPr="00AA2DF3" w14:paraId="0B5CC019" w14:textId="77777777" w:rsidTr="003A729B">
        <w:trPr>
          <w:trHeight w:val="20"/>
        </w:trPr>
        <w:tc>
          <w:tcPr>
            <w:tcW w:w="3956" w:type="dxa"/>
          </w:tcPr>
          <w:p w14:paraId="0F4DE84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0FBA05F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40554160"/>
                </w:sdtPr>
                <w:sdtEndPr/>
                <w:sdtContent>
                  <w:tc>
                    <w:tcPr>
                      <w:tcW w:w="436" w:type="dxa"/>
                    </w:tcPr>
                    <w:p w14:paraId="3AD58E37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DBDAF5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20EF8886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</w:sdtPr>
                <w:sdtEndPr/>
                <w:sdtContent>
                  <w:tc>
                    <w:tcPr>
                      <w:tcW w:w="436" w:type="dxa"/>
                    </w:tcPr>
                    <w:p w14:paraId="30445692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B9F4C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055528D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4CA4D9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Údaje budú poskytované priamou integráciou ISVS Sociálnej poisťovne/Silových zložiek a NCZI. Priama integrácia medzi dotknutými inštitúciami je zvolaná z dôvodu, že sa využívanie IS CSRÚ v zmysle § 2 ods. 1. písm. d) zákona o e-Governmente nevzťahuje na ISVS, ktoré obsahujú údaje spracúvané na účely poskytovania zdravotnej starostlivosti.  </w:t>
            </w:r>
          </w:p>
        </w:tc>
      </w:tr>
      <w:tr w:rsidR="00C6567E" w:rsidRPr="00AA2DF3" w14:paraId="58B8DE56" w14:textId="77777777" w:rsidTr="003A729B">
        <w:trPr>
          <w:trHeight w:val="20"/>
        </w:trPr>
        <w:tc>
          <w:tcPr>
            <w:tcW w:w="3956" w:type="dxa"/>
          </w:tcPr>
          <w:p w14:paraId="00423975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1E41D16D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</w:sdtPr>
                <w:sdtEndPr/>
                <w:sdtContent>
                  <w:tc>
                    <w:tcPr>
                      <w:tcW w:w="436" w:type="dxa"/>
                    </w:tcPr>
                    <w:p w14:paraId="07A2DDBA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E20E019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25B9A09A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3759555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id w:val="1796327979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5E0C0F96" w14:textId="77777777" w:rsidR="00C6567E" w:rsidRPr="00AA2DF3" w:rsidRDefault="00C6567E" w:rsidP="00C6567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A2DF3">
                            <w:rPr>
                              <w:rFonts w:ascii="Segoe UI Symbol" w:eastAsia="Times New Roman" w:hAnsi="Segoe UI Symbol" w:cs="Segoe UI Symbol"/>
                              <w:sz w:val="20"/>
                              <w:szCs w:val="20"/>
                              <w:lang w:eastAsia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14:paraId="0FBECC8B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D52FEF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40B834C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Poskytovanie údajov z evidencie je zabezpečené prostredníctvom OverSi – potvrdenia o dávkach nemocenského poistenia.</w:t>
            </w:r>
          </w:p>
        </w:tc>
      </w:tr>
      <w:tr w:rsidR="00C6567E" w:rsidRPr="00AA2DF3" w14:paraId="10E7DBBD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47368061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C6567E" w:rsidRPr="00AA2DF3" w14:paraId="372A72AF" w14:textId="77777777" w:rsidTr="003A729B">
        <w:trPr>
          <w:trHeight w:val="20"/>
        </w:trPr>
        <w:tc>
          <w:tcPr>
            <w:tcW w:w="3956" w:type="dxa"/>
          </w:tcPr>
          <w:p w14:paraId="29E5949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7CEF4BDC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</w:sdtPr>
                <w:sdtEndPr/>
                <w:sdtContent>
                  <w:tc>
                    <w:tcPr>
                      <w:tcW w:w="436" w:type="dxa"/>
                    </w:tcPr>
                    <w:p w14:paraId="6783124A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A61971F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4E08C796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75089675"/>
                </w:sdtPr>
                <w:sdtEndPr/>
                <w:sdtContent>
                  <w:tc>
                    <w:tcPr>
                      <w:tcW w:w="436" w:type="dxa"/>
                    </w:tcPr>
                    <w:p w14:paraId="033E41B1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6AE611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DD92CF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C55EB2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C6567E" w:rsidRPr="00FC2B55" w14:paraId="694FE127" w14:textId="77777777" w:rsidTr="003A729B">
        <w:trPr>
          <w:trHeight w:val="20"/>
        </w:trPr>
        <w:tc>
          <w:tcPr>
            <w:tcW w:w="3956" w:type="dxa"/>
          </w:tcPr>
          <w:p w14:paraId="727E7CD0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20A1BCDE" w14:textId="77777777" w:rsidTr="003A729B">
              <w:tc>
                <w:tcPr>
                  <w:tcW w:w="436" w:type="dxa"/>
                </w:tcPr>
                <w:p w14:paraId="79871E36" w14:textId="77777777" w:rsidR="00C6567E" w:rsidRPr="00AA2DF3" w:rsidRDefault="00C6567E" w:rsidP="00C6567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4F9EF820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6567E" w:rsidRPr="00AA2DF3" w14:paraId="780D6560" w14:textId="77777777" w:rsidTr="003A729B">
              <w:tc>
                <w:tcPr>
                  <w:tcW w:w="436" w:type="dxa"/>
                </w:tcPr>
                <w:p w14:paraId="77D750EF" w14:textId="77777777" w:rsidR="00C6567E" w:rsidRPr="00AA2DF3" w:rsidRDefault="00C6567E" w:rsidP="00C6567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A48DB2F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34F702C5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33212D1" w14:textId="77777777" w:rsidR="00C6567E" w:rsidRPr="00617A86" w:rsidRDefault="00C6567E" w:rsidP="00C65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Údaje o nemocenskom</w:t>
            </w:r>
            <w:r w:rsidRPr="00AA2DF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sú už súčasťou potvrdení o dávkach nemocenského poistenia v OverSi, údaje sú poskytované Sociálnou poisťovňou.</w:t>
            </w:r>
          </w:p>
          <w:p w14:paraId="330887D6" w14:textId="77777777" w:rsidR="00C6567E" w:rsidRPr="00617A86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387D7FCB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19C546E" w14:textId="77777777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FE10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1906" w14:textId="77777777" w:rsidR="00877EEC" w:rsidRDefault="00877EEC" w:rsidP="00FC2B55">
      <w:pPr>
        <w:spacing w:after="0" w:line="240" w:lineRule="auto"/>
      </w:pPr>
      <w:r>
        <w:separator/>
      </w:r>
    </w:p>
  </w:endnote>
  <w:endnote w:type="continuationSeparator" w:id="0">
    <w:p w14:paraId="2D3F50F1" w14:textId="77777777" w:rsidR="00877EEC" w:rsidRDefault="00877EEC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1F2538E8" w14:textId="64473A7B" w:rsidR="0020774F" w:rsidRDefault="0020774F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8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04DAEB" w14:textId="77777777" w:rsidR="0020774F" w:rsidRPr="00FF7125" w:rsidRDefault="0020774F" w:rsidP="00FC2B55">
    <w:pPr>
      <w:pStyle w:val="Pta"/>
      <w:rPr>
        <w:sz w:val="24"/>
        <w:szCs w:val="24"/>
      </w:rPr>
    </w:pPr>
  </w:p>
  <w:p w14:paraId="3F4F63E1" w14:textId="77777777" w:rsidR="0020774F" w:rsidRPr="00FC2B55" w:rsidRDefault="0020774F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5EF5" w14:textId="77777777" w:rsidR="00877EEC" w:rsidRDefault="00877EEC" w:rsidP="00FC2B55">
      <w:pPr>
        <w:spacing w:after="0" w:line="240" w:lineRule="auto"/>
      </w:pPr>
      <w:r>
        <w:separator/>
      </w:r>
    </w:p>
  </w:footnote>
  <w:footnote w:type="continuationSeparator" w:id="0">
    <w:p w14:paraId="251598A2" w14:textId="77777777" w:rsidR="00877EEC" w:rsidRDefault="00877EEC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BD"/>
    <w:multiLevelType w:val="hybridMultilevel"/>
    <w:tmpl w:val="CCF8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C21"/>
    <w:multiLevelType w:val="hybridMultilevel"/>
    <w:tmpl w:val="E28EF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5D63"/>
    <w:multiLevelType w:val="hybridMultilevel"/>
    <w:tmpl w:val="CCF8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385D"/>
    <w:multiLevelType w:val="hybridMultilevel"/>
    <w:tmpl w:val="C3BCB5A4"/>
    <w:lvl w:ilvl="0" w:tplc="94A2A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97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57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2931"/>
    <w:multiLevelType w:val="hybridMultilevel"/>
    <w:tmpl w:val="CCF8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2FC5"/>
    <w:multiLevelType w:val="hybridMultilevel"/>
    <w:tmpl w:val="E28EF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09C0"/>
    <w:rsid w:val="00012BD4"/>
    <w:rsid w:val="00026F65"/>
    <w:rsid w:val="000530B4"/>
    <w:rsid w:val="000757A2"/>
    <w:rsid w:val="000B090A"/>
    <w:rsid w:val="001012F3"/>
    <w:rsid w:val="00115315"/>
    <w:rsid w:val="001F3291"/>
    <w:rsid w:val="0020774F"/>
    <w:rsid w:val="00223C66"/>
    <w:rsid w:val="00263E81"/>
    <w:rsid w:val="00273DFE"/>
    <w:rsid w:val="00301FD7"/>
    <w:rsid w:val="003A729B"/>
    <w:rsid w:val="004506A9"/>
    <w:rsid w:val="00471F33"/>
    <w:rsid w:val="00475043"/>
    <w:rsid w:val="004A2F4C"/>
    <w:rsid w:val="004D794A"/>
    <w:rsid w:val="00540118"/>
    <w:rsid w:val="005509E2"/>
    <w:rsid w:val="00613226"/>
    <w:rsid w:val="00617A86"/>
    <w:rsid w:val="00634D61"/>
    <w:rsid w:val="00651511"/>
    <w:rsid w:val="006A1702"/>
    <w:rsid w:val="00702F97"/>
    <w:rsid w:val="00743B4F"/>
    <w:rsid w:val="007E351C"/>
    <w:rsid w:val="007F3523"/>
    <w:rsid w:val="0080106A"/>
    <w:rsid w:val="00813AFF"/>
    <w:rsid w:val="00841C48"/>
    <w:rsid w:val="00842995"/>
    <w:rsid w:val="00877EEC"/>
    <w:rsid w:val="008801B5"/>
    <w:rsid w:val="00895385"/>
    <w:rsid w:val="008B1AE2"/>
    <w:rsid w:val="008B3837"/>
    <w:rsid w:val="008B3882"/>
    <w:rsid w:val="008C32BA"/>
    <w:rsid w:val="008E56E2"/>
    <w:rsid w:val="00947AF0"/>
    <w:rsid w:val="009B5DCB"/>
    <w:rsid w:val="009C2388"/>
    <w:rsid w:val="009D75B8"/>
    <w:rsid w:val="009E09F7"/>
    <w:rsid w:val="00A13CF9"/>
    <w:rsid w:val="00A44973"/>
    <w:rsid w:val="00AA2DF3"/>
    <w:rsid w:val="00AA723F"/>
    <w:rsid w:val="00AC6818"/>
    <w:rsid w:val="00B005FC"/>
    <w:rsid w:val="00B95920"/>
    <w:rsid w:val="00BA4AB6"/>
    <w:rsid w:val="00BB5D68"/>
    <w:rsid w:val="00C14067"/>
    <w:rsid w:val="00C6567E"/>
    <w:rsid w:val="00CD3A7F"/>
    <w:rsid w:val="00D66B2A"/>
    <w:rsid w:val="00D74E85"/>
    <w:rsid w:val="00E00883"/>
    <w:rsid w:val="00E10C1A"/>
    <w:rsid w:val="00E22F8F"/>
    <w:rsid w:val="00E517BC"/>
    <w:rsid w:val="00E842FC"/>
    <w:rsid w:val="00E93EA4"/>
    <w:rsid w:val="00EE0668"/>
    <w:rsid w:val="00EE6B77"/>
    <w:rsid w:val="00EF68F5"/>
    <w:rsid w:val="00F030D6"/>
    <w:rsid w:val="00F422D4"/>
    <w:rsid w:val="00F53CA8"/>
    <w:rsid w:val="00FC2B55"/>
    <w:rsid w:val="00FE1074"/>
    <w:rsid w:val="00FE4D70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A629"/>
  <w15:docId w15:val="{830A1207-9A1E-4326-83ED-41F602A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B2A"/>
  </w:style>
  <w:style w:type="paragraph" w:styleId="Nadpis1">
    <w:name w:val="heading 1"/>
    <w:basedOn w:val="Normlny"/>
    <w:next w:val="Normlny"/>
    <w:link w:val="Nadpis1Char"/>
    <w:qFormat/>
    <w:rsid w:val="00613226"/>
    <w:pPr>
      <w:keepNext/>
      <w:keepLines/>
      <w:numPr>
        <w:numId w:val="4"/>
      </w:numPr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13226"/>
    <w:pPr>
      <w:keepNext/>
      <w:keepLines/>
      <w:numPr>
        <w:ilvl w:val="1"/>
        <w:numId w:val="4"/>
      </w:numPr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613226"/>
    <w:pPr>
      <w:keepNext/>
      <w:keepLines/>
      <w:numPr>
        <w:ilvl w:val="2"/>
        <w:numId w:val="4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613226"/>
    <w:pPr>
      <w:keepNext/>
      <w:keepLines/>
      <w:numPr>
        <w:ilvl w:val="3"/>
        <w:numId w:val="4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613226"/>
    <w:pPr>
      <w:keepNext/>
      <w:keepLines/>
      <w:numPr>
        <w:ilvl w:val="4"/>
        <w:numId w:val="4"/>
      </w:numPr>
      <w:spacing w:before="40" w:after="0" w:line="288" w:lineRule="auto"/>
      <w:ind w:left="115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13226"/>
    <w:pPr>
      <w:keepNext/>
      <w:keepLines/>
      <w:numPr>
        <w:ilvl w:val="5"/>
        <w:numId w:val="4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13226"/>
    <w:pPr>
      <w:keepNext/>
      <w:keepLines/>
      <w:numPr>
        <w:ilvl w:val="6"/>
        <w:numId w:val="4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13226"/>
    <w:pPr>
      <w:keepNext/>
      <w:keepLines/>
      <w:numPr>
        <w:ilvl w:val="7"/>
        <w:numId w:val="4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13226"/>
    <w:pPr>
      <w:keepNext/>
      <w:keepLines/>
      <w:numPr>
        <w:ilvl w:val="8"/>
        <w:numId w:val="4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613226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613226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613226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613226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character" w:customStyle="1" w:styleId="Nadpis5Char">
    <w:name w:val="Nadpis 5 Char"/>
    <w:basedOn w:val="Predvolenpsmoodseku"/>
    <w:link w:val="Nadpis5"/>
    <w:rsid w:val="00613226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customStyle="1" w:styleId="Nadpis6Char">
    <w:name w:val="Nadpis 6 Char"/>
    <w:basedOn w:val="Predvolenpsmoodseku"/>
    <w:link w:val="Nadpis6"/>
    <w:semiHidden/>
    <w:rsid w:val="00613226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</w:rPr>
  </w:style>
  <w:style w:type="character" w:customStyle="1" w:styleId="Nadpis7Char">
    <w:name w:val="Nadpis 7 Char"/>
    <w:basedOn w:val="Predvolenpsmoodseku"/>
    <w:link w:val="Nadpis7"/>
    <w:semiHidden/>
    <w:rsid w:val="00613226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</w:rPr>
  </w:style>
  <w:style w:type="character" w:customStyle="1" w:styleId="Nadpis8Char">
    <w:name w:val="Nadpis 8 Char"/>
    <w:basedOn w:val="Predvolenpsmoodseku"/>
    <w:link w:val="Nadpis8"/>
    <w:semiHidden/>
    <w:rsid w:val="00613226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613226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Odsekzoznamu">
    <w:name w:val="List Paragraph"/>
    <w:basedOn w:val="Normlny"/>
    <w:uiPriority w:val="34"/>
    <w:qFormat/>
    <w:rsid w:val="00613226"/>
    <w:pPr>
      <w:ind w:left="720"/>
      <w:contextualSpacing/>
    </w:pPr>
  </w:style>
  <w:style w:type="character" w:customStyle="1" w:styleId="normaltextrun">
    <w:name w:val="normaltextrun"/>
    <w:basedOn w:val="Predvolenpsmoodseku"/>
    <w:rsid w:val="00A44973"/>
  </w:style>
  <w:style w:type="character" w:styleId="Odkaznakomentr">
    <w:name w:val="annotation reference"/>
    <w:basedOn w:val="Predvolenpsmoodseku"/>
    <w:uiPriority w:val="99"/>
    <w:semiHidden/>
    <w:unhideWhenUsed/>
    <w:rsid w:val="00FE4D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4D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4D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4D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4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informatizáciu-spoločnosti"/>
    <f:field ref="objsubject" par="" edit="true" text=""/>
    <f:field ref="objcreatedby" par="" text="Hornáček, Vladimír, Mgr."/>
    <f:field ref="objcreatedat" par="" text="29.7.2021 15:40:45"/>
    <f:field ref="objchangedby" par="" text="Administrator, System"/>
    <f:field ref="objmodifiedat" par="" text="29.7.2021 15:40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312A40-292B-40EB-B70C-D12B7A4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2</cp:revision>
  <cp:lastPrinted>2021-07-29T07:50:00Z</cp:lastPrinted>
  <dcterms:created xsi:type="dcterms:W3CDTF">2021-09-14T13:29:00Z</dcterms:created>
  <dcterms:modified xsi:type="dcterms:W3CDTF">2021-09-14T13:29:00Z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COO.2145.1000.3.4483534</vt:lpwstr>
  </property>
  <property fmtid="{D5CDD505-2E9C-101B-9397-08002B2CF9AE}" pid="152" name="FSC#FSCFOLIO@1.1001:docpropproject">
    <vt:lpwstr/>
  </property>
</Properties>
</file>