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47C47F17" w:rsidR="00054C41" w:rsidRPr="00C90365" w:rsidRDefault="00054C41" w:rsidP="00BC65C0">
      <w:pPr>
        <w:ind w:left="2124" w:hanging="2124"/>
        <w:jc w:val="both"/>
        <w:rPr>
          <w:rFonts w:ascii="Times New Roman" w:eastAsia="Calibri" w:hAnsi="Times New Roman" w:cs="Times New Roman"/>
          <w:b/>
          <w:sz w:val="24"/>
          <w:szCs w:val="24"/>
        </w:rPr>
      </w:pPr>
      <w:r w:rsidRPr="00C90365">
        <w:rPr>
          <w:rFonts w:ascii="Times New Roman" w:eastAsia="Calibri" w:hAnsi="Times New Roman" w:cs="Times New Roman"/>
          <w:b/>
          <w:sz w:val="24"/>
          <w:szCs w:val="24"/>
        </w:rPr>
        <w:t>Názov materiálu:</w:t>
      </w:r>
      <w:r w:rsidR="00BC65C0" w:rsidRPr="00C90365">
        <w:t xml:space="preserve"> </w:t>
      </w:r>
      <w:r w:rsidR="00BC65C0" w:rsidRPr="00C90365">
        <w:tab/>
      </w:r>
      <w:r w:rsidR="00BC65C0" w:rsidRPr="00C90365">
        <w:rPr>
          <w:rFonts w:ascii="Times New Roman" w:eastAsia="Calibri" w:hAnsi="Times New Roman" w:cs="Times New Roman"/>
          <w:sz w:val="24"/>
          <w:szCs w:val="24"/>
        </w:rPr>
        <w:t>Návrh zákona, ktorým sa mení a dopĺňa zákon č. 311/2001 Z. z. Zákonník práce v znení neskorších predpisov a ktorým sa menia a dopĺňajú niektoré zákony</w:t>
      </w:r>
    </w:p>
    <w:p w14:paraId="77F96BF6" w14:textId="395C06FC" w:rsidR="00054C41" w:rsidRPr="001F1B43" w:rsidRDefault="00054C41" w:rsidP="00054C41">
      <w:pPr>
        <w:jc w:val="both"/>
        <w:rPr>
          <w:rFonts w:ascii="Times New Roman" w:eastAsia="Calibri" w:hAnsi="Times New Roman" w:cs="Times New Roman"/>
          <w:b/>
          <w:sz w:val="24"/>
          <w:szCs w:val="24"/>
        </w:rPr>
      </w:pPr>
      <w:r w:rsidRPr="00C90365">
        <w:rPr>
          <w:rFonts w:ascii="Times New Roman" w:eastAsia="Calibri" w:hAnsi="Times New Roman" w:cs="Times New Roman"/>
          <w:b/>
          <w:sz w:val="24"/>
          <w:szCs w:val="24"/>
        </w:rPr>
        <w:t>Predkladateľ:</w:t>
      </w:r>
      <w:r w:rsidR="00BC65C0" w:rsidRPr="00C90365">
        <w:rPr>
          <w:rFonts w:ascii="Times New Roman" w:eastAsia="Calibri" w:hAnsi="Times New Roman" w:cs="Times New Roman"/>
          <w:b/>
          <w:sz w:val="24"/>
          <w:szCs w:val="24"/>
        </w:rPr>
        <w:t xml:space="preserve"> </w:t>
      </w:r>
      <w:r w:rsidR="00BC65C0" w:rsidRPr="00C90365">
        <w:rPr>
          <w:rFonts w:ascii="Times New Roman" w:eastAsia="Calibri" w:hAnsi="Times New Roman" w:cs="Times New Roman"/>
          <w:b/>
          <w:sz w:val="24"/>
          <w:szCs w:val="24"/>
        </w:rPr>
        <w:tab/>
      </w:r>
      <w:r w:rsidR="00BC65C0" w:rsidRPr="00C90365">
        <w:rPr>
          <w:rFonts w:ascii="Times New Roman" w:eastAsia="Calibri" w:hAnsi="Times New Roman" w:cs="Times New Roman"/>
          <w:sz w:val="24"/>
          <w:szCs w:val="24"/>
        </w:rPr>
        <w:t>Ministerstvo práce, sociálnych vecí a rodiny Slovenskej republiky</w:t>
      </w:r>
      <w:r w:rsidR="00BC65C0">
        <w:rPr>
          <w:rFonts w:ascii="Times New Roman" w:eastAsia="Calibri" w:hAnsi="Times New Roman" w:cs="Times New Roman"/>
          <w:b/>
          <w:sz w:val="24"/>
          <w:szCs w:val="24"/>
        </w:rPr>
        <w:t xml:space="preserve"> </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32BF1512" w:rsidR="00054C41" w:rsidRDefault="00054C41" w:rsidP="00054C41">
      <w:pPr>
        <w:spacing w:after="0"/>
        <w:jc w:val="both"/>
        <w:rPr>
          <w:rFonts w:ascii="Times New Roman" w:eastAsia="Calibri" w:hAnsi="Times New Roman" w:cs="Times New Roman"/>
          <w:i/>
          <w:sz w:val="24"/>
          <w:szCs w:val="24"/>
        </w:rPr>
      </w:pPr>
    </w:p>
    <w:p w14:paraId="6DE96EE5" w14:textId="0B51B86D"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V čase od 19.5.2021 do 18.6.2021 prebiehali konzultácie s podnikateľským prostredím. Počas predmetných konzultácií ani zo strany zástupcov podnikateľského prostredia neboli indikované možné vplyv na podnikateľské prostredie. Subjekty podnikateľského prostredia smerovali svoje podnety k obsahu transponovaných smerníc a možnému paragrafovému zneniu návrhu zákona.</w:t>
      </w:r>
    </w:p>
    <w:p w14:paraId="67982296" w14:textId="77777777" w:rsidR="00A359A9" w:rsidRPr="00D8247C" w:rsidRDefault="00A359A9"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Na základe uvedených odpovedí zaškrtnite a popíšte, či materiál konkurencieschopnosť:</w:t>
      </w:r>
    </w:p>
    <w:p w14:paraId="7A10A211" w14:textId="77777777" w:rsidR="00054C41" w:rsidRPr="00D8247C" w:rsidRDefault="00214EA7"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214EA7"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D1FB6FE" w:rsidR="00FF414B" w:rsidRDefault="00FF414B" w:rsidP="00FF414B">
      <w:pPr>
        <w:spacing w:after="0"/>
        <w:jc w:val="both"/>
        <w:rPr>
          <w:rFonts w:ascii="Times New Roman" w:eastAsia="Calibri" w:hAnsi="Times New Roman" w:cs="Times New Roman"/>
          <w:i/>
          <w:color w:val="0070C0"/>
          <w:sz w:val="24"/>
          <w:szCs w:val="24"/>
        </w:rPr>
      </w:pPr>
    </w:p>
    <w:p w14:paraId="24EE46A9" w14:textId="7BEE336E"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Navrhované úpravy majú zabezpečiť transparentné a predvídateľné pracovné podmienky pre zamestnancov. Ide predovšetkým o presné vymedzenie okruhy informácií, ktoré zamestnávateľ poskytuje svojim zamestnancom, ako aj o vymedzenie časového horizontu na ich poskytnutie. Zároveň návrh ustanovuje možnosť poskytovania informácií aj v elektronickej podobe. Možno konštatovať, že väčšina informácií, ktorých poskytovanie ukladajú smernice, sa už aj v súčasnosti zamestnancom poskytuje a u viacerých zamestnávateľov sa už aj v súčasnosti využíva elektronická forma poskytovania informácií. Z daného hľadiska transpozíciou smerníc z veľkej časti iba dochádza k legislatívnej úprave súčasnej bežnej praxe u zamestnávateľov a nejde o zavádzanie nového typu povinností. Jasné vyjadrenie možnosti elektronickej komunikácie v zákone ako aj jednoznačné rozdelenie informácií na dohodnutý obsah pracovnej zmluvy (t.j. jeho náležitosti) a zvyšné informácie, ktoré sa môžu stať zmluvným obsahom pracovnej zmluvy ale aj nemusia, uľahčí fungovanie zamestnávateľov v každodennom živote, keďže väčšinu pravidiel nastavuje zamestnávateľ sám (ak u neho nepôsobia zástupcovia zamestnancov) podľa ustanovení Zákonníka práce (napr. presná dĺžka pracovného času, pracovné dni, rozvrhy práce, rozsah dovolenky, apod.)</w:t>
      </w:r>
      <w:r w:rsidR="00FF3B86" w:rsidRPr="00C90365">
        <w:rPr>
          <w:rFonts w:ascii="Times New Roman" w:hAnsi="Times New Roman" w:cs="Times New Roman"/>
          <w:bCs/>
          <w:iCs/>
          <w:sz w:val="24"/>
          <w:szCs w:val="24"/>
        </w:rPr>
        <w:t xml:space="preserve"> </w:t>
      </w:r>
      <w:r w:rsidRPr="00C90365">
        <w:rPr>
          <w:rFonts w:ascii="Times New Roman" w:hAnsi="Times New Roman" w:cs="Times New Roman"/>
          <w:bCs/>
          <w:iCs/>
          <w:sz w:val="24"/>
          <w:szCs w:val="24"/>
        </w:rPr>
        <w:t>Na základe uvádzaného považujeme možné vplyvy predkladaného materiálu nanajvýš za marginálne, pričom marginálne vplyvy môžu u niektorých zamestnávateľov vzniknúť nielen v podobe zanedbateľného zvýšenia administratív</w:t>
      </w:r>
      <w:r w:rsidRPr="00C90365">
        <w:rPr>
          <w:rFonts w:ascii="Times New Roman" w:hAnsi="Times New Roman" w:cs="Times New Roman"/>
          <w:bCs/>
          <w:iCs/>
          <w:sz w:val="24"/>
          <w:szCs w:val="24"/>
        </w:rPr>
        <w:lastRenderedPageBreak/>
        <w:t>nych nákladov</w:t>
      </w:r>
      <w:r w:rsidR="00FF3B86" w:rsidRPr="00C90365">
        <w:rPr>
          <w:rFonts w:ascii="Times New Roman" w:hAnsi="Times New Roman" w:cs="Times New Roman"/>
          <w:bCs/>
          <w:iCs/>
          <w:sz w:val="24"/>
          <w:szCs w:val="24"/>
        </w:rPr>
        <w:t xml:space="preserve"> (marginálne negatívne vplyvy)</w:t>
      </w:r>
      <w:r w:rsidRPr="00C90365">
        <w:rPr>
          <w:rFonts w:ascii="Times New Roman" w:hAnsi="Times New Roman" w:cs="Times New Roman"/>
          <w:bCs/>
          <w:iCs/>
          <w:sz w:val="24"/>
          <w:szCs w:val="24"/>
        </w:rPr>
        <w:t>, ale aj v podobe zanedbateľného zníženia administratívnych nákladov</w:t>
      </w:r>
      <w:r w:rsidR="00FF3B86" w:rsidRPr="00C90365">
        <w:rPr>
          <w:rFonts w:ascii="Times New Roman" w:hAnsi="Times New Roman" w:cs="Times New Roman"/>
          <w:bCs/>
          <w:iCs/>
          <w:sz w:val="24"/>
          <w:szCs w:val="24"/>
        </w:rPr>
        <w:t xml:space="preserve"> (marginálne pozitívne vplyvy)</w:t>
      </w:r>
      <w:r w:rsidRPr="00C90365">
        <w:rPr>
          <w:rFonts w:ascii="Times New Roman" w:hAnsi="Times New Roman" w:cs="Times New Roman"/>
          <w:bCs/>
          <w:iCs/>
          <w:sz w:val="24"/>
          <w:szCs w:val="24"/>
        </w:rPr>
        <w:t xml:space="preserve">, t. j. je predpoklad, že reálne náklady z dôvodu navrhovanej legislatívnej úpravy nevzniknú.   </w:t>
      </w:r>
    </w:p>
    <w:p w14:paraId="1327F777"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Bližšie odôvodnenie marginálnosti vplyvov na podnikateľské prostredie:</w:t>
      </w:r>
    </w:p>
    <w:p w14:paraId="7F4D5C64"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Z hľadiska dopadov na podnikateľské prostredie je problematické ich zhodnotiť z niekoľkých dôvodov:</w:t>
      </w:r>
    </w:p>
    <w:p w14:paraId="55DE6DD0"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a) ide o transpozíciu práva EÚ, ktoré však vo veľkej časti je už transponovaná v práve SR (keďže ide o smernicu z roku 1991 a smernicu z roku 2010, ktorá nahradila smernicu z roku 1996) – zmeny sú skôr v detailoch a vo vyjasnení toho, čo sa od subjektov pracovného práva očakáva,</w:t>
      </w:r>
    </w:p>
    <w:p w14:paraId="5127A1FF"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b) MPSVR SR nezbiera detailné informácie, ako zamestnávatelia v praxi formulujú obsah pracovných zmlúv (napr. či prepisujú znenia zákona do textu, odkazujú na príslušné ustanovenia zákona) a ako podrobne poskytujú informácie zamestnancom – prax je u zamestnávateľov rozdielna, mnohí majú tieto veci zautomatizované cez informačné systémy, a pod.,</w:t>
      </w:r>
    </w:p>
    <w:p w14:paraId="787EA0E1"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c) z praxe sa javí, že mnohí zamestnávatelia už postupujú spôsobom, aký sa navrhuje v novele Zákonníka práce (jedným z dôvodov novely je odstránenie vnútorných rozporov právnej úpravy medzi tým, čo má byť obsahom pracovnej zmluvy a čo nie – povinným obsahom pracovnej zmluvy sú len podstatné náležitosti, resp. tie prvky, ktoré sa už aj podľa súčasnej právnej úpravy musia uviesť v pracovnej zmluve – skúšobná doba (§ 45), určitá doba (§ 48), a pod. Zvyšok obsahu pracovného pomeru zamestnávateľ môže podľa navrhovanej novely poskytovať vo forme písomnej informácie (ktorú v prípade potreby zmení), a písomná informácia môže mať aj elektronickú formu.</w:t>
      </w:r>
    </w:p>
    <w:p w14:paraId="60E7D56B"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Obdobne už v súčasnosti platné znenie § 5 Zákonníka práce vyžaduje od vysielajúceho zamestnávateľa uzatvorenie dohody o vyslaní a poskytnutie relevantných informácií o jeho pracovných podmienkach. Navyše taká je aj nevyhnutná prax, pretože orgány iného štátu, do ktorého je zamestnanec vyslaný v rámci cezhraničného poskytovania služieb vyžadujú nahlásenie vyslania na ich územie a vykonávajú rozsiahlu kontrolu dokumentov, aby zistili, či ich pracovné právo (osobitne mzdové podmienky) boli dodržané alebo nie.</w:t>
      </w:r>
    </w:p>
    <w:p w14:paraId="69D233C2"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 xml:space="preserve">Dopad na podnikateľské prostredie môže mať síce miera informácií, ktoré sa zamestnancovi musia poskytnúť (viď. § 44 a čl. 4 ods. 2 smernice), na druhej strane v mnohých prípadoch zamestnávatelia tieto informácie poskytujú/sprístupňujú (v mnohých prípadoch pracovné zmluvy obsahujú na niekoľkých stranách „prepísané“ ustanovenia zákona o pracovnom čase, dovolenke, apod.), táto informácia môže mať štandardizovanú podobu, ktorá sa dá zamestnancovi /pretože v mnohých prípadoch sú u zamestnávateľa štandardizované podmienky, ktoré platia pre všetkých alebo väčšinu zamestnancov – napr. rovnaký pracovný čas, rovnaké výplatné termíny/ môže byť poskytnutá elektronicky a aj vo forme odkazu na zákon, resp. kolektívnu zmluvu. </w:t>
      </w:r>
    </w:p>
    <w:p w14:paraId="08233889"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 xml:space="preserve">Novela Zákonníka práce zároveň nevyžaduje automaticky zmenu pracovných zmlúv a navrhované ustanovenie § 250q vychádza z čl. 22 smernice EÚ 2019/1152, že </w:t>
      </w:r>
      <w:r w:rsidRPr="00C90365">
        <w:rPr>
          <w:rFonts w:ascii="Times New Roman" w:hAnsi="Times New Roman" w:cs="Times New Roman"/>
          <w:bCs/>
          <w:iCs/>
          <w:sz w:val="24"/>
          <w:szCs w:val="24"/>
        </w:rPr>
        <w:lastRenderedPageBreak/>
        <w:t>zmeny vo vzťahu k novým informáciám, ak ide o zamestnancov, ktorí sú už v pracovnoprávnom vzťahu sa robia len na ich žiadosť.</w:t>
      </w:r>
    </w:p>
    <w:p w14:paraId="137BEBF2"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Naopak pozitívnym dopadom je navrhované výslovné ustanovenie možnosti poskytovania informácie a reagovanie na žiadosť zamestnanca elektronickým spôsobom. Celkový efekt zmeny by teda mal byť pozitívny pre administrovanie informovania zamestnanca o pracovných podmienkach a podmienkach zamestnávania.</w:t>
      </w:r>
    </w:p>
    <w:p w14:paraId="60961243"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Dopad na podnikateľské prostredie by mohlo mať aj v zmysle čl. 12 smernice EÚ 2019/1152 ustanovené právo zamestnanca žiadať o prechod na inú formu práce (napr. z určitej doby na neurčitý čas) a mať právo na písomnú odôvodnenú odpoveď - § 49b. Na druhej strane predkladateľ využil výnimky z tohto ustanovenia – napr. obmedzenie počtu žiadostí, osobitný prístup k menším zamestnávateľom a zamestnávateľom fyzickým osobám a zároveň žiadosť aj odpoveď by mohla byť spracovaná elektronicky. Z praxe zároveň je potrebné brať do úvahy, že takáto komunikácia nevyhnutne prebieha aj dnes – zamestnanec, ktorý je zamestnaný na dobu určitú a chce u zamestnávateľa zostať, sa ho spravidla pýta, aké sú možnosti a zamestnávateľ mu odpovedá. Limitácia takejto žiadosti s právom na odpoveď na jednu za 12 mesiacov môže znamenať aj to, že v ďalších prípadoch je na zamestnávateľovi, či na žiadosť bude reagovať a v akej podobe.</w:t>
      </w:r>
    </w:p>
    <w:p w14:paraId="6ADE63E7" w14:textId="1EC0331F"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Rovnako dopad môžu mať aj ustanovenia, ktoré sa týkajú § 164 – právo žiadať o flexibilnejšie formy práce s cieľom zosúladenia rodinného a pracovného života a povinnosť zamestnávateľa reagovať (vysvetliť zamietnutie alebo posunutie žiadosti). Na druhej strane takéto procesy bežne prebiehajú a zamestnávatelia reagujú na podnety zamestnancov, ktorí potrebujú zosúladiť svoje rodičovské a opatrovateľské potreby, majú zavedený pružný pracovný čas, umožňujú neskoršie príchody do práce, prácu z domu a takéto zosúladenie sa nejaví problematické. Aj z existujúceho znenia už vyplýva možnosť žiadať o pružný pracovný čas (je to iný spôsob organizácie práce. Naopak je zjavné, že u prevádzok, kde jej povaha takéto úpravy z dôvodu toho, aký druh práce sa vykonáva, ako musí byť práca organizovaná neumožňovala (napr. priemyselná výroba – spravidla nie je možný pružný pracovný čas a práca sa vykonáva v prevádzke a teda práca z domu neprichádza do úvahy), pravdepodobne nedôjde k zásadným zmenám z tohto dôvodu. Smernica a následne Zákonník práce tu presnejšie vymedzuje práva a povinnosti zamestnávateľa a zamestnanca.</w:t>
      </w:r>
    </w:p>
    <w:p w14:paraId="7DE141E8"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V tomto ohľade sa javí, že celkovo niektoré ustanovenia možno zanedbateľne zvýšia záťaž na zamestnávateľa z hľadiska riešenia žiadosti zamestnancov a nejaví sa, že by išlo o zásadnú zmenu.</w:t>
      </w:r>
    </w:p>
    <w:p w14:paraId="34482559"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V prípade otcovskej dovolenky, táto bude platená zo sociálneho poistenia, a teda pre zamestnávateľa nevzniknú dodatočné náklady.</w:t>
      </w:r>
    </w:p>
    <w:p w14:paraId="64BBFA53" w14:textId="3E90AA7B" w:rsidR="00A359A9" w:rsidRDefault="00A359A9" w:rsidP="00A359A9">
      <w:pPr>
        <w:spacing w:after="0"/>
        <w:jc w:val="both"/>
        <w:rPr>
          <w:rFonts w:ascii="Times New Roman" w:eastAsia="Calibri" w:hAnsi="Times New Roman" w:cs="Times New Roman"/>
          <w:i/>
          <w:color w:val="0070C0"/>
          <w:sz w:val="24"/>
          <w:szCs w:val="24"/>
        </w:rPr>
      </w:pPr>
      <w:r w:rsidRPr="00C90365">
        <w:rPr>
          <w:rFonts w:ascii="Times New Roman" w:hAnsi="Times New Roman" w:cs="Times New Roman"/>
          <w:bCs/>
          <w:iCs/>
          <w:sz w:val="24"/>
          <w:szCs w:val="24"/>
        </w:rPr>
        <w:t>Pozitívny vplyv pre prax môže mať zmena v ustanovení § 131 a možnosť zrážať na základe zákona zo mzdy nevyúčtované preddavky na zabezpečenie stravovania alebo na poskytnutie účelovo viazaného finančného príspevku na stravovanie, t.j. ak sa poskytli vo väčšom rozsahu ako mali a nedošlo k ich vráteniu.</w:t>
      </w:r>
    </w:p>
    <w:p w14:paraId="567581BF" w14:textId="61848E68" w:rsidR="00054C41" w:rsidRDefault="00054C41" w:rsidP="00054C41">
      <w:pPr>
        <w:spacing w:after="0"/>
        <w:jc w:val="both"/>
        <w:rPr>
          <w:rFonts w:ascii="Times New Roman" w:eastAsia="Calibri" w:hAnsi="Times New Roman" w:cs="Times New Roman"/>
          <w:i/>
          <w:color w:val="0070C0"/>
        </w:rPr>
      </w:pPr>
    </w:p>
    <w:p w14:paraId="355815A8" w14:textId="0F439AC3" w:rsidR="00A359A9" w:rsidRDefault="00A359A9" w:rsidP="00054C41">
      <w:pPr>
        <w:spacing w:after="0"/>
        <w:jc w:val="both"/>
        <w:rPr>
          <w:rFonts w:ascii="Times New Roman" w:eastAsia="Calibri" w:hAnsi="Times New Roman" w:cs="Times New Roman"/>
          <w:i/>
          <w:color w:val="0070C0"/>
        </w:rPr>
      </w:pPr>
    </w:p>
    <w:p w14:paraId="2F94DE51" w14:textId="7D219B18" w:rsidR="00A359A9" w:rsidRDefault="00A359A9" w:rsidP="00054C41">
      <w:pPr>
        <w:spacing w:after="0"/>
        <w:jc w:val="both"/>
        <w:rPr>
          <w:rFonts w:ascii="Times New Roman" w:eastAsia="Calibri" w:hAnsi="Times New Roman" w:cs="Times New Roman"/>
          <w:i/>
          <w:color w:val="0070C0"/>
        </w:rPr>
      </w:pPr>
    </w:p>
    <w:p w14:paraId="0D47E77A" w14:textId="1A87DB42" w:rsidR="00A359A9" w:rsidRDefault="00A359A9" w:rsidP="00054C41">
      <w:pPr>
        <w:spacing w:after="0"/>
        <w:jc w:val="both"/>
        <w:rPr>
          <w:rFonts w:ascii="Times New Roman" w:eastAsia="Calibri" w:hAnsi="Times New Roman" w:cs="Times New Roman"/>
          <w:i/>
          <w:color w:val="0070C0"/>
        </w:rPr>
      </w:pPr>
    </w:p>
    <w:p w14:paraId="68F345B2" w14:textId="57C5ABE2" w:rsidR="00A359A9" w:rsidRDefault="00A359A9" w:rsidP="00054C41">
      <w:pPr>
        <w:spacing w:after="0"/>
        <w:jc w:val="both"/>
        <w:rPr>
          <w:rFonts w:ascii="Times New Roman" w:eastAsia="Calibri" w:hAnsi="Times New Roman" w:cs="Times New Roman"/>
          <w:i/>
          <w:color w:val="0070C0"/>
        </w:rPr>
      </w:pPr>
    </w:p>
    <w:p w14:paraId="555FDE5C" w14:textId="59E2406B" w:rsidR="00A359A9" w:rsidRDefault="00A359A9" w:rsidP="00054C41">
      <w:pPr>
        <w:spacing w:after="0"/>
        <w:jc w:val="both"/>
        <w:rPr>
          <w:rFonts w:ascii="Times New Roman" w:eastAsia="Calibri" w:hAnsi="Times New Roman" w:cs="Times New Roman"/>
          <w:i/>
          <w:color w:val="0070C0"/>
        </w:rPr>
      </w:pPr>
    </w:p>
    <w:p w14:paraId="57CE3045" w14:textId="1C1EBA62" w:rsidR="00A359A9" w:rsidRDefault="00A359A9" w:rsidP="00054C41">
      <w:pPr>
        <w:spacing w:after="0"/>
        <w:jc w:val="both"/>
        <w:rPr>
          <w:rFonts w:ascii="Times New Roman" w:eastAsia="Calibri" w:hAnsi="Times New Roman" w:cs="Times New Roman"/>
          <w:i/>
          <w:color w:val="0070C0"/>
        </w:rPr>
      </w:pPr>
    </w:p>
    <w:p w14:paraId="61E109FB" w14:textId="1148CDDC" w:rsidR="00A359A9" w:rsidRDefault="00A359A9" w:rsidP="00054C41">
      <w:pPr>
        <w:spacing w:after="0"/>
        <w:jc w:val="both"/>
        <w:rPr>
          <w:rFonts w:ascii="Times New Roman" w:eastAsia="Calibri" w:hAnsi="Times New Roman" w:cs="Times New Roman"/>
          <w:i/>
          <w:color w:val="0070C0"/>
        </w:rPr>
      </w:pPr>
    </w:p>
    <w:p w14:paraId="310E2513" w14:textId="06B10D91" w:rsidR="00A359A9" w:rsidRDefault="00A359A9" w:rsidP="00054C41">
      <w:pPr>
        <w:spacing w:after="0"/>
        <w:jc w:val="both"/>
        <w:rPr>
          <w:rFonts w:ascii="Times New Roman" w:eastAsia="Calibri" w:hAnsi="Times New Roman" w:cs="Times New Roman"/>
          <w:i/>
          <w:color w:val="0070C0"/>
        </w:rPr>
      </w:pPr>
    </w:p>
    <w:p w14:paraId="516227FA" w14:textId="3DA4736B" w:rsidR="00A359A9" w:rsidRDefault="00A359A9" w:rsidP="00054C41">
      <w:pPr>
        <w:spacing w:after="0"/>
        <w:jc w:val="both"/>
        <w:rPr>
          <w:rFonts w:ascii="Times New Roman" w:eastAsia="Calibri" w:hAnsi="Times New Roman" w:cs="Times New Roman"/>
          <w:i/>
          <w:color w:val="0070C0"/>
        </w:rPr>
      </w:pPr>
    </w:p>
    <w:p w14:paraId="68ECA24A" w14:textId="591AE997" w:rsidR="00A359A9" w:rsidRDefault="00A359A9" w:rsidP="00054C41">
      <w:pPr>
        <w:spacing w:after="0"/>
        <w:jc w:val="both"/>
        <w:rPr>
          <w:rFonts w:ascii="Times New Roman" w:eastAsia="Calibri" w:hAnsi="Times New Roman" w:cs="Times New Roman"/>
          <w:i/>
          <w:color w:val="0070C0"/>
        </w:rPr>
      </w:pPr>
    </w:p>
    <w:p w14:paraId="78803798" w14:textId="69E1B814" w:rsidR="00A359A9" w:rsidRDefault="00A359A9" w:rsidP="00054C41">
      <w:pPr>
        <w:spacing w:after="0"/>
        <w:jc w:val="both"/>
        <w:rPr>
          <w:rFonts w:ascii="Times New Roman" w:eastAsia="Calibri" w:hAnsi="Times New Roman" w:cs="Times New Roman"/>
          <w:i/>
          <w:color w:val="0070C0"/>
        </w:rPr>
      </w:pPr>
    </w:p>
    <w:sectPr w:rsidR="00A359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091A9" w14:textId="77777777" w:rsidR="00214EA7" w:rsidRDefault="00214EA7" w:rsidP="00054C41">
      <w:pPr>
        <w:spacing w:after="0" w:line="240" w:lineRule="auto"/>
      </w:pPr>
      <w:r>
        <w:separator/>
      </w:r>
    </w:p>
  </w:endnote>
  <w:endnote w:type="continuationSeparator" w:id="0">
    <w:p w14:paraId="6F4943FB" w14:textId="77777777" w:rsidR="00214EA7" w:rsidRDefault="00214EA7"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9006"/>
      <w:docPartObj>
        <w:docPartGallery w:val="Page Numbers (Bottom of Page)"/>
        <w:docPartUnique/>
      </w:docPartObj>
    </w:sdtPr>
    <w:sdtEndPr/>
    <w:sdtContent>
      <w:p w14:paraId="157E1BCD" w14:textId="787852C9" w:rsidR="00C90365" w:rsidRDefault="00C90365">
        <w:pPr>
          <w:pStyle w:val="Pta"/>
          <w:jc w:val="center"/>
        </w:pPr>
        <w:r>
          <w:fldChar w:fldCharType="begin"/>
        </w:r>
        <w:r>
          <w:instrText>PAGE   \* MERGEFORMAT</w:instrText>
        </w:r>
        <w:r>
          <w:fldChar w:fldCharType="separate"/>
        </w:r>
        <w:r w:rsidR="009E3422">
          <w:rPr>
            <w:noProof/>
          </w:rPr>
          <w:t>1</w:t>
        </w:r>
        <w: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FFE7" w14:textId="77777777" w:rsidR="00214EA7" w:rsidRDefault="00214EA7" w:rsidP="00054C41">
      <w:pPr>
        <w:spacing w:after="0" w:line="240" w:lineRule="auto"/>
      </w:pPr>
      <w:r>
        <w:separator/>
      </w:r>
    </w:p>
  </w:footnote>
  <w:footnote w:type="continuationSeparator" w:id="0">
    <w:p w14:paraId="14874EDA" w14:textId="77777777" w:rsidR="00214EA7" w:rsidRDefault="00214EA7"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B4C03"/>
    <w:rsid w:val="001D1083"/>
    <w:rsid w:val="001D3FA0"/>
    <w:rsid w:val="001E53CB"/>
    <w:rsid w:val="00214EA7"/>
    <w:rsid w:val="00225A83"/>
    <w:rsid w:val="00270EA5"/>
    <w:rsid w:val="00340CFD"/>
    <w:rsid w:val="0038255E"/>
    <w:rsid w:val="00391648"/>
    <w:rsid w:val="0039304E"/>
    <w:rsid w:val="003E58B8"/>
    <w:rsid w:val="003F06D7"/>
    <w:rsid w:val="00445638"/>
    <w:rsid w:val="00446432"/>
    <w:rsid w:val="004D20CB"/>
    <w:rsid w:val="00713FCE"/>
    <w:rsid w:val="007259CB"/>
    <w:rsid w:val="00743EF3"/>
    <w:rsid w:val="0077106D"/>
    <w:rsid w:val="007B40FB"/>
    <w:rsid w:val="007E1290"/>
    <w:rsid w:val="007E24B2"/>
    <w:rsid w:val="008634E9"/>
    <w:rsid w:val="008801B5"/>
    <w:rsid w:val="008B4AA1"/>
    <w:rsid w:val="008C1C71"/>
    <w:rsid w:val="00923C0C"/>
    <w:rsid w:val="009A4D56"/>
    <w:rsid w:val="009E09F7"/>
    <w:rsid w:val="009E3422"/>
    <w:rsid w:val="00A000DA"/>
    <w:rsid w:val="00A1736E"/>
    <w:rsid w:val="00A359A9"/>
    <w:rsid w:val="00B426AE"/>
    <w:rsid w:val="00B66E33"/>
    <w:rsid w:val="00BC65C0"/>
    <w:rsid w:val="00BD0EF7"/>
    <w:rsid w:val="00C21399"/>
    <w:rsid w:val="00C560C4"/>
    <w:rsid w:val="00C6748F"/>
    <w:rsid w:val="00C90365"/>
    <w:rsid w:val="00D005F2"/>
    <w:rsid w:val="00D631FA"/>
    <w:rsid w:val="00D82356"/>
    <w:rsid w:val="00D84EEE"/>
    <w:rsid w:val="00D90A61"/>
    <w:rsid w:val="00DF02CE"/>
    <w:rsid w:val="00E030DA"/>
    <w:rsid w:val="00EB2BEC"/>
    <w:rsid w:val="00EC0704"/>
    <w:rsid w:val="00ED6B5D"/>
    <w:rsid w:val="00EE4C99"/>
    <w:rsid w:val="00F74FC9"/>
    <w:rsid w:val="00FB6983"/>
    <w:rsid w:val="00FF3B86"/>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98A2C3-3DC1-4878-B4A8-66202DD6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dcterms:created xsi:type="dcterms:W3CDTF">2021-09-14T12:59:00Z</dcterms:created>
  <dcterms:modified xsi:type="dcterms:W3CDTF">2021-09-14T12:59:00Z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