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254CD" w:rsidRDefault="002254CD">
      <w:pPr>
        <w:jc w:val="center"/>
        <w:divId w:val="1957439740"/>
        <w:rPr>
          <w:rFonts w:ascii="Times" w:hAnsi="Times" w:cs="Times"/>
          <w:sz w:val="25"/>
          <w:szCs w:val="25"/>
        </w:rPr>
      </w:pPr>
      <w:r>
        <w:rPr>
          <w:rFonts w:ascii="Times" w:hAnsi="Times" w:cs="Times"/>
          <w:sz w:val="25"/>
          <w:szCs w:val="25"/>
        </w:rPr>
        <w:t xml:space="preserve">Zákon, ktorým sa mení a dopĺňa zákon č. 139/1998 Z. z. o omamných látkach, psychotropných látkach a prípravkoch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254CD" w:rsidP="002254CD">
            <w:pPr>
              <w:spacing w:after="0" w:line="240" w:lineRule="auto"/>
              <w:rPr>
                <w:rFonts w:ascii="Times New Roman" w:hAnsi="Times New Roman" w:cs="Calibri"/>
                <w:sz w:val="20"/>
                <w:szCs w:val="20"/>
              </w:rPr>
            </w:pPr>
            <w:r>
              <w:rPr>
                <w:rFonts w:ascii="Times" w:hAnsi="Times" w:cs="Times"/>
                <w:sz w:val="25"/>
                <w:szCs w:val="25"/>
              </w:rPr>
              <w:t>19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254CD" w:rsidP="002254CD">
            <w:pPr>
              <w:spacing w:after="0" w:line="240" w:lineRule="auto"/>
              <w:rPr>
                <w:rFonts w:ascii="Times New Roman" w:hAnsi="Times New Roman" w:cs="Calibri"/>
                <w:sz w:val="20"/>
                <w:szCs w:val="20"/>
              </w:rPr>
            </w:pPr>
            <w:r>
              <w:rPr>
                <w:rFonts w:ascii="Times" w:hAnsi="Times" w:cs="Times"/>
                <w:sz w:val="25"/>
                <w:szCs w:val="25"/>
              </w:rPr>
              <w:t>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254CD" w:rsidP="002254CD">
            <w:pPr>
              <w:spacing w:after="0" w:line="240" w:lineRule="auto"/>
              <w:rPr>
                <w:rFonts w:ascii="Times New Roman" w:hAnsi="Times New Roman" w:cs="Calibri"/>
                <w:sz w:val="20"/>
                <w:szCs w:val="20"/>
              </w:rPr>
            </w:pPr>
            <w:r>
              <w:rPr>
                <w:rFonts w:ascii="Times" w:hAnsi="Times" w:cs="Times"/>
                <w:sz w:val="25"/>
                <w:szCs w:val="25"/>
              </w:rPr>
              <w:t>18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254CD" w:rsidP="002254CD">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254CD" w:rsidP="002254CD">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254CD" w:rsidRDefault="002254C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254CD">
        <w:trPr>
          <w:divId w:val="31164177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Vôbec nezaslali</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x</w:t>
            </w:r>
          </w:p>
        </w:tc>
      </w:tr>
      <w:tr w:rsidR="002254CD">
        <w:trPr>
          <w:divId w:val="311641777"/>
          <w:jc w:val="center"/>
        </w:trPr>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19 (18o,1z)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54CD" w:rsidRDefault="002254C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254CD" w:rsidRDefault="002254C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Spôsob vyhodnotenia</w:t>
            </w: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Čl. I bod 7</w:t>
            </w:r>
            <w:r>
              <w:rPr>
                <w:rFonts w:ascii="Times" w:hAnsi="Times" w:cs="Times"/>
                <w:sz w:val="25"/>
                <w:szCs w:val="25"/>
              </w:rPr>
              <w:br/>
              <w:t>V Čl. I bod 7 odporúčame označiť ako bod 5 a body 5 a 6 označiť ako body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Čl. I bod 2</w:t>
            </w:r>
            <w:r>
              <w:rPr>
                <w:rFonts w:ascii="Times" w:hAnsi="Times" w:cs="Times"/>
                <w:sz w:val="25"/>
                <w:szCs w:val="25"/>
              </w:rPr>
              <w:br/>
              <w:t>V Čl. I bode 2 odporúčame za slovom „piperidín“ vypustiť zátvorku, úvodzovky a bodku, vypustiť úvodzovky pred slovom „Diklazepam“ a zvážiť zátvorku za slovom „diazepín2-ón“.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 xml:space="preserve">K Čl. I bod 4 a 7 </w:t>
            </w:r>
            <w:r>
              <w:rPr>
                <w:rFonts w:ascii="Times" w:hAnsi="Times" w:cs="Times"/>
                <w:sz w:val="25"/>
                <w:szCs w:val="25"/>
              </w:rPr>
              <w:br/>
              <w:t>V Čl. I bode 4 a 7 odporúčame za slovom „diazepín“ zvážiť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bodom 1 a 8 odporúčame za číslo „2020/1687“ vložiť čiarku a slová „z 2. septembra 2020, ktorou sa mení príloha k rámcovému rozhodnutiu Rady 2004/757/SVV, pokiaľ ide o zahrnutie novej psychoaktívnej látky N, N-dietyl-2-[[4-(1-metyletoxy) fenyl]metyl]-5-nitro-1H-benzimidazol-1- etánamín (izotonitazén) do vymedzenia pojmu drogy“ (Ú. v. EÚ L 379, 13. 11. 2020) (ďalej len „delegovaná smernica Komisie (EÚ) 2021/802 z 12. marca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3 a 5 odporúčame slovo „rým“ nahradiť slovom „tým“.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odporúčame slová „Svetová zdravotnícke organizácia“ nahradiť slovami „Svetová zdravotnícka organizácia“.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a osobitnej časti dôvodovej správy odporúčame za slovami „pojmu drogy“ vložiť slová „(Ú. v. EÚ L 178, 20. 5.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medzi vplyvy doplniť aj vplyvy na manželstvo, rodičovstvo a rodinu.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vypustiť za slovom „podľa“ predložku „s“ a vypustiť slová „sa navrhuje zaradiť do I. skupiny omamných 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za slovami „z 12. marca 2021“ vložiť čiarku a slová „ktorou sa mení príloha k rámcovému rozhodnutiu Rady 2004/757/SVV, pokiaľ ide o zaradenie nových psychoaktívnych látok metyl-3,3-dimetyl-2-{[1-(pent-4-én-1-yl)-1H-indazol-3-karbonyl]amino}butanoát (MDMB-4en-PINACA) a metyl-2-{[1-(4-fluórbutyl)-1H-indol-3-karbonyl]amino}-3,3-dimetylbutanoát (4F-MDMB-BICA) do vymedzenia pojmu drogy (Ú. v. EÚ L 178, 20. 5.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Odporúčame doplniť vo všeobecnej časti dôvodovej správy konštatovanie o vplyvoch predkladaného materiálu na manželstvo, rodičovstvo a rodinu. Odôvodnenie: Vo všeobecnej časti dôvodovej správe má predkladateľ uviesť zhodnotenie všetkých vplyvov, ktoré sa hodnotia na základe Jednotnej metodiky na posudzovanie vybraných vplyvov. Predkladateľ v doložke vybraných vplyvov v bode 9. Vybrané vplyvy materiálu zhodnotil vplyvy na manželstvo, rodičovstvo a rodinu. Vo všeobecnej časti dôvodovej správy uvedenie zhodnotenia vplyvov na manželstvo, rodičovstvo a rodinu chýba.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vyplniť aj povinné informácie v bode 8. Preskúmanie účelnosti. Odôvodnenie: V doložke vybraných vplyvov bod 8. Preskúmanie účelnosti je povinnou informáciou podľa aktualizovanej Jednotnej metodiky na posudzovanie vybraných vplyvov, ktorá nadobudla účinnosť dňa 1. júna 2021 (uznesenie vlády Slovenskej republiky č. 234 z 5. mája 2021 k návrhu aktualizácie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za koncovou zátvorkou za slovom "piperidín" vypustiť koncové úvodzovky a bodku a v ďalšom riadku pred slovom "Diklazepam" vypustiť úvodné úvodzovky.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prílohe</w:t>
            </w:r>
            <w:r>
              <w:rPr>
                <w:rFonts w:ascii="Times" w:hAnsi="Times" w:cs="Times"/>
                <w:sz w:val="25"/>
                <w:szCs w:val="25"/>
              </w:rPr>
              <w:br/>
              <w:t xml:space="preserve">V prílohe č. 1 „ZOZNAM OMAMNÝCH A PSYCHOTROPNÝCH LÁTOK ZARADENÝCH DO I., II. a III. SKUPINY“ žiadame do „I. SKUPINY“ doplniť nižšie uvedené omamné látky a psychotropné látky: KRATOM (mitragyna speciosa) obsahuje aktívne zložky alkaloidy mitragynín a 7-hydroxymitragynín s potencionálnymi analgetickými, protizápalovými alebo svalovo-relaxačnými účinkami. Tmavozelené listy rastliny sa zvyčajne sušia a drvia na prášok. Dostupné sú aj vo forme pasty, kapsuly či tablety, prípadne sa môže taktiež variť ako čaj. Podľa EMCDDA vyvoláva v prípade kratomu stimulačné účinky, napr.: bdelosť, družnosť, točenie hlavy a znížená motorická koordinácia, už malá dávka s hmotnosťou len pár gramov. Účinky sa zvyčajne prejavia do desiatich minút po požití a môžu trvať až jeden a pol hodiny. Vyššia dávka môže vyvolať účinky podobné ako po užití sedatív s trvaním do šesť hodín. Pravidelné užívanie môže vyvolať vznik závislosti s vedľajšími účinkami, napr.: nevoľnosť až zvracanie, poškodenie pečene, potenie, triaška, nespavosť či halucinácie. Singh a kol. (2014) v svojej štúdii uvádzajú, že z 293 používateľov kratomu viac ako polovica bežných používateľov (&gt; 6 mesiacov užívania) mala diagnostikovanú ťažkú formu závislosti, zatiaľ čo u 45% bola zistená mierna forma závislosti od kratomu. Kratom patrí na zoznam zakázaných látok v Poľsku a v niektorých štátoch USA. V Nemecku a Rakúsku patrí medzi kontrolované látky, ktorých predaj je obmedzený. Navrhované zaradenie – I. skupina, psychotropné látky. METOXYDIFENIDIN (2-MeO-difenidin) </w:t>
            </w:r>
            <w:r>
              <w:rPr>
                <w:rFonts w:ascii="Times" w:hAnsi="Times" w:cs="Times"/>
                <w:sz w:val="25"/>
                <w:szCs w:val="25"/>
              </w:rPr>
              <w:lastRenderedPageBreak/>
              <w:t>(chem.: 1- [1- (2-metoxyfenyl) -2-fenyletyl] piperidín) je tiež známy ako 2-MeO-difenidín, 2-MXP a metoxfenidín. Dostupný je vo forme prášku alebo tabliet. 2-MeO-difenidin. Je štrukturálne podobný fencyklidínu, ktorý je kontrolovaný podľa Prílohy II Dohovoru o psychotropných látkach z roku 1971. Látka ovplyvňuje správanie, vyvoláva útlm, depersonalizáciu, halucinácie, bludy a paranoje. Z fyzických účinkov sa vyskytuje tachykardia, synkopa a hypertermia. Neexistujú žiadne kontrolované štúdie o jeho liečebnom alebo priemyselnom využití. Navrhované zaradenie – I. skupina, omamné látky. HO-PCE (chem.: 3-hydroxyeticyklidín) je syntetická látka z chemickej triedy arylcyklohexylamínov., pričom je vyššia pravdepodobnosť vzniku závislosti ako u difenidínu, efenidínu, DCK alebo ketamínu. Po podaní vyvoláva silné disociačné, halucinogénne a v závislosti od množstva konzumovanej látky utlmujúce alebo stimulujúce účinky, vrátane porúch pamäte od amnézie po tzv. „smrť ega“ (úplná pamäťová disfunkcia krátkodobej aj dlhodobej pamäte, t.j. osoba má zablokované všetky mentálne asociácie, pripojené významy, získané preferencie a hodnotové úsudky, stráca pocit seba samého a neuvedomuje svoju vlastnú existenciu. Neexistujú žiadne kontrolované štúdie o jeho liečebnom alebo priemyselnom využití. Navrhované zaradenie – I. skupina, omamné látky. METOXY - N,N-DIALYLTRYPTAMÍN (5-MeO-DALT) (chem.: N-alyl-N- (2- (5-metoxy-lH-indol-3-yl) etyl) prop-2-en-l-amín) je pevná látka, najčastejšie vo forme kryštalického prášku bielej, sivobielej, sivej alebo svetlohnedej farby s pálením. Zaistené boli aj žlté, fialové alebo zelené tablety. 5-</w:t>
            </w:r>
            <w:r>
              <w:rPr>
                <w:rFonts w:ascii="Times" w:hAnsi="Times" w:cs="Times"/>
                <w:sz w:val="25"/>
                <w:szCs w:val="25"/>
              </w:rPr>
              <w:lastRenderedPageBreak/>
              <w:t>MeO-DALT má chemickú štruktúru podobnú halucinogénu 3- [2- (dimetylamino) etyl] indolu (DMT) uvedenému v zozname I Dohovoru o psychotropných látkach z roku 1971. Účinky 5-MeO-DALT sú podobné ako u iných halucinogénov, napr. DOM a LSD. Neexistujú žiadne kontrolované štúdie o jeho liečebnom alebo priemyselnom využití. Navrhované zaradenie – I. skupina, omamné látky. FLUOROFENMETRAZIN (chem.: 2- (3-fluórfenyl) -3-metylmorfolín) je známy ako 3F-fenmetrazín, 3-FPM, 3-FPH a PAL-593. Dostupný je vo forme bieleho kryštalického prášku, prípadne v tabletách. 3-fluórfenmetrazín je derivát fenmetrazínu, látky amfetamínového typu, ktorý je uvedený v zozname II Dohovoru o psychotropných látkach z roku 1971. U ľudí sú jeho účinky podobné účinkom amfetamínu, t.j. má stimulačné účinky, zvyšuje zhovorčivosť, vyvoláva nespavosť a pod. Medzi nežiaduce fyzické účinky patrí tachykardia, delírium a vznik záchvatov. Neexistujú žiadne kontrolované štúdie o jeho liečebnom alebo priemyselnom využití. Navrhované zaradenie – I. skupina, psychotropné látky. EUTYLON (bk-EBDB alebo n-ethylbutylone), (chem.: β-Keto-1,3-benzodioxolyl-N-ethylbutanamine) je stimulant zo skupiny katinónov dostupný vo forme bielych kryštálov, vôňou pripomína 3-CMC, 4-CMC alebo 3-MMC. Účinky konzumácie eutylonu sú podobné ako u amfetamínov a iných stimulantov, t.j. má stimulujúce účinky, potláča chuť do jedla, spôsobuje dehydratáciu halucinácie, psychózy a záchvaty. Neexistujú žiadne kontrolované štúdie o jeho liečebnom alebo priemyselnom využití. Navrhované zaradenie – I. skupina, psychotropné látky. EFENIDÍN ( NEDPA a EPE),( chem.: N-</w:t>
            </w:r>
            <w:r>
              <w:rPr>
                <w:rFonts w:ascii="Times" w:hAnsi="Times" w:cs="Times"/>
                <w:sz w:val="25"/>
                <w:szCs w:val="25"/>
              </w:rPr>
              <w:lastRenderedPageBreak/>
              <w:t xml:space="preserve">etyl-α-fenyl-benzeneetanamin, monohydrochlorid) je menej známa nová disociačná látka z triedy diaryletylamínov štrukturálne príbuzný s diaryletylamínmi, napr.: difenidín, metoxfenidín. Účinky konzumácie sú útlm, halucinácie, anestézia, disociačná anestézia (stavy mimo tela), poruchy pamäte atď. Neexistujú žiadne kontrolované štúdie o jeho liečebnom alebo priemyselnom využití. Navrhované zaradenie – I. skupina, omamné látky. MDPEP (chem.: 1-(benzo[d][1,3]dioxol5-yl)-2-(pyrolidin-1- yl)heptan-1-1) je menej známa nová psychoaktívna látka vo forme bielych až hnedastých kryštálov so stimulačným účinkom výraznejším ako α-PVP a pod. Účinky konzumácie sú podobné ako u amfetamínov a iných stimulantov, t.j. má stimulujúce účinky, potláča chuť do jedla, spôsobuje dehydratáciu halucinácie, a pod. Neexistujú žiadne kontrolované štúdie o jeho liečebnom alebo priemyselnom využití. Navrhované zaradenie – I. skupina, psychotropné látky. MXPr (metoxpropamín) (chem.: 2-Oxo-3'-metoxy-PCPr) nová halucinogénna látka z triedy arylcyklohexylamínov s účinkami podobnými o ketamínu a fencyklidínu (PCP). Dostupný je ako biely až hnedastý prášok. K najčastejším prejavom konzumácie MXPr patrí sčervenanie kože, nezrozumiteľná reč, depresia, nespavosť, strata koordinácie, dezorientácia, psychotické epizódy a halucinácie, zhoršené kognitívne funkcie, skreslené vnímanie a pod. Neexistujú žiadne kontrolované štúdie o jeho liečebnom alebo priemyselnom využití. Navrhované zaradenie – I. skupina, psychotropné látky. α-D2PV (chem.: 1,2-difenyl-2-(1-pyrolidinyl)-etanon, monohydrochlorid) je nová psychoaktívna </w:t>
            </w:r>
            <w:r>
              <w:rPr>
                <w:rFonts w:ascii="Times" w:hAnsi="Times" w:cs="Times"/>
                <w:sz w:val="25"/>
                <w:szCs w:val="25"/>
              </w:rPr>
              <w:lastRenderedPageBreak/>
              <w:t xml:space="preserve">látka dostupná vo forme väčších kryštálov hnedej farby. Okrem stimulačného účinku vyvoláva stratu vedomia a zhoršenie kognitívnych a motorických funkcií ako aj halucinácie opakujúce sa aj v čase, keď látka nebola konzumovaná, tzv. flashback. Neexistujú žiadne kontrolované štúdie o jeho liečebnom alebo priemyselnom využití. Navrhované zaradenie – I. skupina, psychotropné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Doložku zlučiteľnosti žiadame upraviť v súlade s Legislatívnymi pravidlami vlády SR, konkrétne uviesť správne názvy jednotlivých bodov doložky (1. Navrhovateľ zákona, 2. Názov návrhu zákona, 3. Predmet návrhu zákona je-nie je upravený v práve Európskej únie, 5. Návrh zákona je zlučiteľný s právom Európskej únie). Taktiež je potrebné upraviť bod 3 doložky zlučiteľnosti, ktorý obsahuje písmená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sz w:val="25"/>
                <w:szCs w:val="25"/>
              </w:rPr>
              <w:t>Doložka zlučiteľnosti je vypracovaná v súlade s LPV SR a je súčasťou zverejneného materiálu v časti Nepovinné prílohy.</w:t>
            </w: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Do bodu 3 písm. b) doložky zlučiteľnosti žiadame doplniť aj rámcové rozhodnutie Rady 2004/757/SVV z 25. októbra 2004, ktorým sa stanovujú minimálne ustanovenia o znakoch skutkových podstát trestných činov a trestov v oblasti nezákonného obchodu s drogami (Ú. v. EÚ L 335, 11.11.2004) v platnom znení, spolu s uvedením gestora, keďže problematika návrhu zákona je upravená aj v tomto rámcovom rozhodnutí. Zároveň je potrebné v súvislosti s doplnením tohto rámcového rozhodnutia upraviť aj bod 4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Pri smernici (EÚ) 2021/802 v bode 3 doložky zlučiteľnosti žiadame uviesť aj jej gestora.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 xml:space="preserve">K čl. II návrhu zákona: </w:t>
            </w:r>
            <w:r>
              <w:rPr>
                <w:rFonts w:ascii="Times" w:hAnsi="Times" w:cs="Times"/>
                <w:sz w:val="25"/>
                <w:szCs w:val="25"/>
              </w:rPr>
              <w:br/>
              <w:t xml:space="preserve">V článku II návrhu zákona sa navrhuje účinnosť zákona na 15. december 2021. Predmetom návrhu zákona je aj transpozícia smernice Komisie (EÚ) 2021/802 z 12. marca 2021, ktorou sa mení príloha k rámcovému rozhodnutiu Rady 2004/757/SVV, pokiaľ ide o zaradenie nových psychoaktívnych látok metyl-3,3-dimetyl-2-{[1-(pent-4-én-1-yl)-1H-indazol-3-karbonyl]amino}butanoát (MDMB-4en-PINACA) a metyl-2-{[1-(4-fluórbutyl)-1H-indol-3-karbonyl]amino}-3,3-dimetylbutanoát (4F-MDMB-BICA) do vymedzenia pojmu drogy, ktorej transpozičná lehota uplynie dňa 9. decembra 2021. Žiadame preto upraviť navrhovaný dátum účinnosti zákona v súlade s čl. 2 smernice (EÚ) 2021/802, a to na 9. decembra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p>
        </w:tc>
      </w:tr>
      <w:tr w:rsidR="002254CD">
        <w:trPr>
          <w:divId w:val="7586052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 sa do čl. I doplniť tento novelizačný bod, ktorým sa mení zákon č. 139/1998 Z. z.: V § 40 sa slová „vzťahujú všeobecné predpisy o správnom konaní“ nahrádzajú slovami „vzťahuje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w:t>
            </w:r>
            <w:r>
              <w:rPr>
                <w:rFonts w:ascii="Times" w:hAnsi="Times" w:cs="Times"/>
                <w:sz w:val="25"/>
                <w:szCs w:val="25"/>
              </w:rPr>
              <w:lastRenderedPageBreak/>
              <w:t xml:space="preserve">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54CD" w:rsidRDefault="002254CD">
            <w:pPr>
              <w:rPr>
                <w:rFonts w:ascii="Times" w:hAnsi="Times" w:cs="Times"/>
                <w:sz w:val="25"/>
                <w:szCs w:val="25"/>
              </w:rPr>
            </w:pPr>
            <w:r>
              <w:rPr>
                <w:rFonts w:ascii="Times" w:hAnsi="Times" w:cs="Times"/>
                <w:sz w:val="25"/>
                <w:szCs w:val="25"/>
              </w:rPr>
              <w:t>Pripomienka je nad rámec novely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D4" w:rsidRDefault="007724D4" w:rsidP="000A67D5">
      <w:pPr>
        <w:spacing w:after="0" w:line="240" w:lineRule="auto"/>
      </w:pPr>
      <w:r>
        <w:separator/>
      </w:r>
    </w:p>
  </w:endnote>
  <w:endnote w:type="continuationSeparator" w:id="0">
    <w:p w:rsidR="007724D4" w:rsidRDefault="007724D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D4" w:rsidRDefault="007724D4" w:rsidP="000A67D5">
      <w:pPr>
        <w:spacing w:after="0" w:line="240" w:lineRule="auto"/>
      </w:pPr>
      <w:r>
        <w:separator/>
      </w:r>
    </w:p>
  </w:footnote>
  <w:footnote w:type="continuationSeparator" w:id="0">
    <w:p w:rsidR="007724D4" w:rsidRDefault="007724D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54CD"/>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A6BAE"/>
    <w:rsid w:val="005E7C53"/>
    <w:rsid w:val="00642FB8"/>
    <w:rsid w:val="006A3681"/>
    <w:rsid w:val="007156F5"/>
    <w:rsid w:val="007724D4"/>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D769E"/>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390">
      <w:bodyDiv w:val="1"/>
      <w:marLeft w:val="0"/>
      <w:marRight w:val="0"/>
      <w:marTop w:val="0"/>
      <w:marBottom w:val="0"/>
      <w:divBdr>
        <w:top w:val="none" w:sz="0" w:space="0" w:color="auto"/>
        <w:left w:val="none" w:sz="0" w:space="0" w:color="auto"/>
        <w:bottom w:val="none" w:sz="0" w:space="0" w:color="auto"/>
        <w:right w:val="none" w:sz="0" w:space="0" w:color="auto"/>
      </w:divBdr>
    </w:div>
    <w:div w:id="311641777">
      <w:bodyDiv w:val="1"/>
      <w:marLeft w:val="0"/>
      <w:marRight w:val="0"/>
      <w:marTop w:val="0"/>
      <w:marBottom w:val="0"/>
      <w:divBdr>
        <w:top w:val="none" w:sz="0" w:space="0" w:color="auto"/>
        <w:left w:val="none" w:sz="0" w:space="0" w:color="auto"/>
        <w:bottom w:val="none" w:sz="0" w:space="0" w:color="auto"/>
        <w:right w:val="none" w:sz="0" w:space="0" w:color="auto"/>
      </w:divBdr>
    </w:div>
    <w:div w:id="385371099">
      <w:bodyDiv w:val="1"/>
      <w:marLeft w:val="0"/>
      <w:marRight w:val="0"/>
      <w:marTop w:val="0"/>
      <w:marBottom w:val="0"/>
      <w:divBdr>
        <w:top w:val="none" w:sz="0" w:space="0" w:color="auto"/>
        <w:left w:val="none" w:sz="0" w:space="0" w:color="auto"/>
        <w:bottom w:val="none" w:sz="0" w:space="0" w:color="auto"/>
        <w:right w:val="none" w:sz="0" w:space="0" w:color="auto"/>
      </w:divBdr>
    </w:div>
    <w:div w:id="758605209">
      <w:bodyDiv w:val="1"/>
      <w:marLeft w:val="0"/>
      <w:marRight w:val="0"/>
      <w:marTop w:val="0"/>
      <w:marBottom w:val="0"/>
      <w:divBdr>
        <w:top w:val="none" w:sz="0" w:space="0" w:color="auto"/>
        <w:left w:val="none" w:sz="0" w:space="0" w:color="auto"/>
        <w:bottom w:val="none" w:sz="0" w:space="0" w:color="auto"/>
        <w:right w:val="none" w:sz="0" w:space="0" w:color="auto"/>
      </w:divBdr>
    </w:div>
    <w:div w:id="781610814">
      <w:bodyDiv w:val="1"/>
      <w:marLeft w:val="0"/>
      <w:marRight w:val="0"/>
      <w:marTop w:val="0"/>
      <w:marBottom w:val="0"/>
      <w:divBdr>
        <w:top w:val="none" w:sz="0" w:space="0" w:color="auto"/>
        <w:left w:val="none" w:sz="0" w:space="0" w:color="auto"/>
        <w:bottom w:val="none" w:sz="0" w:space="0" w:color="auto"/>
        <w:right w:val="none" w:sz="0" w:space="0" w:color="auto"/>
      </w:divBdr>
    </w:div>
    <w:div w:id="1314288621">
      <w:bodyDiv w:val="1"/>
      <w:marLeft w:val="0"/>
      <w:marRight w:val="0"/>
      <w:marTop w:val="0"/>
      <w:marBottom w:val="0"/>
      <w:divBdr>
        <w:top w:val="none" w:sz="0" w:space="0" w:color="auto"/>
        <w:left w:val="none" w:sz="0" w:space="0" w:color="auto"/>
        <w:bottom w:val="none" w:sz="0" w:space="0" w:color="auto"/>
        <w:right w:val="none" w:sz="0" w:space="0" w:color="auto"/>
      </w:divBdr>
    </w:div>
    <w:div w:id="1957439740">
      <w:bodyDiv w:val="1"/>
      <w:marLeft w:val="0"/>
      <w:marRight w:val="0"/>
      <w:marTop w:val="0"/>
      <w:marBottom w:val="0"/>
      <w:divBdr>
        <w:top w:val="none" w:sz="0" w:space="0" w:color="auto"/>
        <w:left w:val="none" w:sz="0" w:space="0" w:color="auto"/>
        <w:bottom w:val="none" w:sz="0" w:space="0" w:color="auto"/>
        <w:right w:val="none" w:sz="0" w:space="0" w:color="auto"/>
      </w:divBdr>
    </w:div>
    <w:div w:id="2067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9.2021 11:05:24"/>
    <f:field ref="objchangedby" par="" text="Administrator, System"/>
    <f:field ref="objmodifiedat" par="" text="16.9.2021 11:05: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2601</Words>
  <Characters>14832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2021-09-16T09:22:00Z</dcterms:created>
  <dcterms:modified xsi:type="dcterms:W3CDTF">2021-09-16T09:22:00Z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139/1998 Z. z. o omamných látkach, psychotropných látkach a prípravkoch v znení neskorších predpisov informovaná prostredníctvom predbežnej informácie, ktorá bola zverejnená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Veronika Bugyiová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139/1998 Z. z. o omamných látkach, psychotropných látkach a prípravkoch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139/1998 Z. z. o omamných látkach, psychotropných látkach a prípravkoch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20121-2021-OL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Článok 168 Zmluvy o fungovaní Európskej únie (Hlava XIV – Verejné zdravie) </vt:lpwstr>
  </property>
  <property fmtid="{D5CDD505-2E9C-101B-9397-08002B2CF9AE}" pid="46" name="FSC#SKEDITIONSLOVLEX@103.510:AttrStrListDocPropSekundarneLegPravoPO">
    <vt:lpwstr>Delegovaná smernica Komisie (EÚ) 2021/802 z 12. marca 2021, ktorou sa mení príloha k rámcovému rozhodnutiu Rady 2004/757/SVV, pokiaľ ide o zaradenie nových psychoaktívnych látok metyl-3,3-dimetyl-2-{[1-(pent-4-én-1-yl)-1H-indazol-3-karbonyl]amino}butanoát</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t:lpwstr>
  </property>
  <property fmtid="{D5CDD505-2E9C-101B-9397-08002B2CF9AE}" pid="51" name="FSC#SKEDITIONSLOVLEX@103.510:AttrStrListDocPropLehotaPrebratieSmernice">
    <vt:lpwstr>9. december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začaté konanie proti Slovenskej republike</vt:lpwstr>
  </property>
  <property fmtid="{D5CDD505-2E9C-101B-9397-08002B2CF9AE}" pid="54" name="FSC#SKEDITIONSLOVLEX@103.510:AttrStrListDocPropInfoUzPreberanePP">
    <vt:lpwstr>nie  sú</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stavu – nezaradením nových psychoaktívnych látok  medzi psychotropné látky a nepreradenie omamnej látky Izotonitazén do skupiny I. omamných látok by nebolo možné vyvodiť trestno-právnu zodpovednosť za ich nezákonnú výro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sa predkladá na základe &amp;nbsp;úlohy č. 11 v mesiaci október z Plánu legislatívnych úloh vlády SR na mesiace jún až december 2021.&lt;/p&gt;&lt;p&gt;Cieľom návrhu zákona je doplniť prílohu č. 1 zákona č. 139/1998 Z. z. o&amp;nbsp;omamných látkach, psychotr</vt:lpwstr>
  </property>
  <property fmtid="{D5CDD505-2E9C-101B-9397-08002B2CF9AE}" pid="149" name="FSC#COOSYSTEM@1.1:Container">
    <vt:lpwstr>COO.2145.1000.3.4561678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16. 9. 2021</vt:lpwstr>
  </property>
</Properties>
</file>