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A5" w:rsidRPr="00A42D9B" w:rsidRDefault="00A94FDC" w:rsidP="00A42D9B">
      <w:pPr>
        <w:tabs>
          <w:tab w:val="left" w:pos="284"/>
        </w:tabs>
        <w:spacing w:after="160" w:line="259" w:lineRule="auto"/>
        <w:jc w:val="both"/>
        <w:rPr>
          <w:rFonts w:ascii="Arial Narrow" w:hAnsi="Arial Narrow"/>
          <w:sz w:val="20"/>
          <w:szCs w:val="20"/>
          <w:lang w:eastAsia="sk-SK"/>
        </w:rPr>
      </w:pPr>
      <w:bookmarkStart w:id="0" w:name="_GoBack"/>
      <w:bookmarkEnd w:id="0"/>
      <w:r w:rsidRPr="00A42D9B">
        <w:rPr>
          <w:rFonts w:ascii="Arial Narrow" w:hAnsi="Arial Narrow"/>
          <w:b/>
          <w:bCs/>
          <w:color w:val="000000"/>
          <w:sz w:val="20"/>
          <w:u w:val="single"/>
          <w:lang w:eastAsia="sk-SK"/>
        </w:rPr>
        <w:t>Návrh nariadenia vlády SR</w:t>
      </w:r>
    </w:p>
    <w:p w:rsidR="00A94FDC" w:rsidRPr="000451A5" w:rsidRDefault="00A94FDC" w:rsidP="000451A5">
      <w:pPr>
        <w:pStyle w:val="Odsekzoznamu"/>
        <w:tabs>
          <w:tab w:val="left" w:pos="284"/>
        </w:tabs>
        <w:spacing w:after="160" w:line="259" w:lineRule="auto"/>
        <w:ind w:left="0"/>
        <w:jc w:val="center"/>
        <w:rPr>
          <w:rFonts w:ascii="Arial Narrow" w:hAnsi="Arial Narrow"/>
          <w:sz w:val="20"/>
          <w:szCs w:val="20"/>
          <w:lang w:eastAsia="sk-SK"/>
        </w:rPr>
      </w:pPr>
      <w:r w:rsidRPr="000451A5">
        <w:rPr>
          <w:rFonts w:ascii="Arial Narrow" w:hAnsi="Arial Narrow"/>
          <w:sz w:val="20"/>
          <w:szCs w:val="20"/>
          <w:lang w:eastAsia="sk-SK"/>
        </w:rPr>
        <w:t>NÁVRH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caps/>
          <w:spacing w:val="20"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caps/>
          <w:spacing w:val="20"/>
          <w:sz w:val="20"/>
          <w:szCs w:val="20"/>
          <w:lang w:eastAsia="sk-SK"/>
        </w:rPr>
        <w:t>NARIADENIE VLÁDY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Slovenskej republiky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 z ... 2021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b/>
          <w:sz w:val="20"/>
          <w:szCs w:val="20"/>
          <w:lang w:eastAsia="sk-SK"/>
        </w:rPr>
        <w:t xml:space="preserve">o verejnej minimálnej sieti poskytovateľov všeobecnej ambulantnej starostlivosti a ďalších podrobnostiach tvorby verejnej minimálnej siete 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sz w:val="20"/>
          <w:szCs w:val="20"/>
          <w:lang w:eastAsia="sk-SK"/>
        </w:rPr>
        <w:t>Vláda Slovenskej republiky podľa </w:t>
      </w:r>
      <w:hyperlink r:id="rId7" w:anchor="paragraf-5.odsek-5" w:tooltip="Odkaz na predpis alebo ustanovenie" w:history="1">
        <w:r w:rsidRPr="00AD788B">
          <w:rPr>
            <w:rFonts w:ascii="Arial Narrow" w:eastAsia="Times New Roman" w:hAnsi="Arial Narrow"/>
            <w:iCs/>
            <w:sz w:val="20"/>
            <w:szCs w:val="20"/>
            <w:lang w:eastAsia="sk-SK"/>
          </w:rPr>
          <w:t>§ 5b ods. 1 zákona č. 578/2004 Z. z.</w:t>
        </w:r>
      </w:hyperlink>
      <w:r w:rsidRPr="00AD788B">
        <w:rPr>
          <w:rFonts w:ascii="Arial Narrow" w:eastAsia="Times New Roman" w:hAnsi="Arial Narrow"/>
          <w:sz w:val="20"/>
          <w:szCs w:val="20"/>
          <w:lang w:eastAsia="sk-SK"/>
        </w:rPr>
        <w:t> o poskytovateľoch zdravotnej starostlivosti, zdravotníckych pracovníkoch, stavovských organizáciách v zdravotníctve a o zmene a doplnení niektorých zákonov v znení neskorších predpisov (ďalej len „zákon“) nariaďuje:</w:t>
      </w:r>
    </w:p>
    <w:p w:rsidR="00A94FDC" w:rsidRDefault="00A94FDC" w:rsidP="00A94FDC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b/>
          <w:sz w:val="20"/>
          <w:szCs w:val="20"/>
          <w:lang w:eastAsia="sk-SK"/>
        </w:rPr>
        <w:t>§ 1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 xml:space="preserve">Predmet 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</w:rPr>
        <w:t>Toto nariadenie vlády ustanovuje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ind w:left="714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spôsob ustanovenia verejnej minimálnej siete poskytovateľov všeobecnej ambulantnej starostlivosti pre dospelých a všeobecnej ambulantnej  starostlivosti pre deti a dorast (ďalej len „minimálna sieť poskytovateľov 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všeobecnej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 ambulantnej starostlivosti“),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ind w:left="714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maximálny čas dojazdu a spôsob výpočtu miestnej dostupnosti,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vyjadrenie a spôsob výpočtu potrebnej kapacity poskytovateľov všeobecnej ambulantnej starostlivosti pre dospelých a všeobecnej ambulantnej  starostlivosti pre deti a dorast,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ind w:left="714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normatívny počet </w:t>
      </w:r>
      <w:proofErr w:type="spellStart"/>
      <w:r w:rsidRPr="00AD788B">
        <w:rPr>
          <w:rFonts w:ascii="Arial Narrow" w:hAnsi="Arial Narrow"/>
          <w:sz w:val="20"/>
          <w:szCs w:val="20"/>
          <w:lang w:eastAsia="sk-SK"/>
        </w:rPr>
        <w:t>kapitovaných</w:t>
      </w:r>
      <w:proofErr w:type="spellEnd"/>
      <w:r w:rsidRPr="00AD788B">
        <w:rPr>
          <w:rFonts w:ascii="Arial Narrow" w:hAnsi="Arial Narrow"/>
          <w:sz w:val="20"/>
          <w:szCs w:val="20"/>
          <w:lang w:eastAsia="sk-SK"/>
        </w:rPr>
        <w:t xml:space="preserve"> poistencov</w:t>
      </w:r>
      <w:r w:rsidRPr="00AD788B">
        <w:rPr>
          <w:rStyle w:val="Odkaznapoznmkupodiarou"/>
          <w:rFonts w:ascii="Arial Narrow" w:hAnsi="Arial Narrow"/>
          <w:sz w:val="20"/>
          <w:szCs w:val="20"/>
          <w:lang w:eastAsia="sk-SK"/>
        </w:rPr>
        <w:footnoteReference w:id="1"/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) pre jedno lekárske miesto u poskytovateľa všeobecnej ambulantnej starostlivosti pre dospelých a u poskytovateľa všeobecnej ambulantnej starostlivosti pre deti a dorast (ďalej len „normatívny počet </w:t>
      </w:r>
      <w:proofErr w:type="spellStart"/>
      <w:r w:rsidRPr="00AD788B">
        <w:rPr>
          <w:rFonts w:ascii="Arial Narrow" w:hAnsi="Arial Narrow"/>
          <w:sz w:val="20"/>
          <w:szCs w:val="20"/>
          <w:lang w:eastAsia="sk-SK"/>
        </w:rPr>
        <w:t>kapitovaných</w:t>
      </w:r>
      <w:proofErr w:type="spellEnd"/>
      <w:r w:rsidRPr="00AD788B">
        <w:rPr>
          <w:rFonts w:ascii="Arial Narrow" w:hAnsi="Arial Narrow"/>
          <w:sz w:val="20"/>
          <w:szCs w:val="20"/>
          <w:lang w:eastAsia="sk-SK"/>
        </w:rPr>
        <w:t xml:space="preserve"> poistencov“),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ind w:left="714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parametre klasifikácie okresov,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ind w:left="714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podrobnosti o postupe, povinných subjektoch, sprístupňovaných údajoch a o výsledkoch vyhodnocovania stavu minimálnej siete poskytovateľov všeobecnej ambulantnej starostlivosti podľa § 5b zákona (ďalej len „vyhodnocovanie stavu siete“),</w:t>
      </w:r>
    </w:p>
    <w:p w:rsidR="00A94FDC" w:rsidRPr="00AD788B" w:rsidRDefault="00A94FDC" w:rsidP="00A94FDC">
      <w:pPr>
        <w:pStyle w:val="Odsekzoznamu"/>
        <w:numPr>
          <w:ilvl w:val="0"/>
          <w:numId w:val="19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spôsob určenia hodnôt vnútroštátnej migrácie pre určenie počtu lekárskych miest minimálnej siete poskytovateľov všeobecnej ambulantnej starostlivosti pre nasledujúci kalendárny rok.</w:t>
      </w:r>
    </w:p>
    <w:p w:rsidR="00A94FDC" w:rsidRPr="00AD788B" w:rsidRDefault="00A94FDC" w:rsidP="00A94FDC">
      <w:pPr>
        <w:pStyle w:val="Odsekzoznamu"/>
        <w:ind w:left="714"/>
        <w:rPr>
          <w:rFonts w:ascii="Arial Narrow" w:hAnsi="Arial Narrow"/>
          <w:bCs/>
          <w:sz w:val="20"/>
          <w:szCs w:val="20"/>
          <w:shd w:val="clear" w:color="auto" w:fill="FFFFFF"/>
        </w:rPr>
      </w:pPr>
    </w:p>
    <w:p w:rsidR="00A94FDC" w:rsidRPr="00AD788B" w:rsidRDefault="00A94FDC" w:rsidP="00A94FDC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b/>
          <w:sz w:val="20"/>
          <w:szCs w:val="20"/>
          <w:lang w:eastAsia="sk-SK"/>
        </w:rPr>
        <w:t>§ 2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Spôsob ustanovenia minimálnej siete poskytovateľov všeobecnej ambulantnej starostlivosti, maximálny čas dojazdu a potrebnej kapacity poskytovateľov v</w:t>
      </w:r>
      <w:r>
        <w:rPr>
          <w:rFonts w:ascii="Arial Narrow" w:hAnsi="Arial Narrow"/>
          <w:b/>
          <w:sz w:val="20"/>
          <w:szCs w:val="20"/>
          <w:lang w:eastAsia="sk-SK"/>
        </w:rPr>
        <w:t> </w:t>
      </w:r>
      <w:r w:rsidRPr="00AD788B">
        <w:rPr>
          <w:rFonts w:ascii="Arial Narrow" w:hAnsi="Arial Narrow"/>
          <w:b/>
          <w:sz w:val="20"/>
          <w:szCs w:val="20"/>
          <w:lang w:eastAsia="sk-SK"/>
        </w:rPr>
        <w:t>okrese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AD788B" w:rsidRDefault="00A94FDC" w:rsidP="00A94FDC">
      <w:pPr>
        <w:pStyle w:val="Odsekzoznamu"/>
        <w:numPr>
          <w:ilvl w:val="0"/>
          <w:numId w:val="20"/>
        </w:numPr>
        <w:ind w:left="0" w:firstLine="349"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Minimálna sieť poskytovateľov všeobecnej ambulantnej starostlivosti sa ustanovuje každoročne pre územie okresu tak,  aby sa zabezpečila potrebná kapacita poskytovateľov všeobecnej ambulantnej starostlivosti v okrese (ďalej len „potreba lekárskych miest v okrese“) a miestna dostupnosť poskytovateľov všeobecnej ambulantnej starostlivosti v okrese (ďalej len „miestna dostupnosť“). </w:t>
      </w:r>
    </w:p>
    <w:p w:rsidR="00A94FDC" w:rsidRPr="00AD788B" w:rsidRDefault="00A94FDC" w:rsidP="00A94FDC">
      <w:pPr>
        <w:pStyle w:val="Odsekzoznamu"/>
        <w:numPr>
          <w:ilvl w:val="0"/>
          <w:numId w:val="20"/>
        </w:numPr>
        <w:ind w:left="0" w:firstLine="349"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Miestna dostupnosť je v okrese zabezpečená vtedy, ak čas dojazdu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podľa § 5a ods. 1 zákona 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nepresiahne 25 minút (ďalej len „maximálny čas dojazdu“).</w:t>
      </w:r>
    </w:p>
    <w:p w:rsidR="00A94FDC" w:rsidRPr="00AD788B" w:rsidRDefault="00A94FDC" w:rsidP="00A94FDC">
      <w:pPr>
        <w:pStyle w:val="Odsekzoznamu"/>
        <w:numPr>
          <w:ilvl w:val="0"/>
          <w:numId w:val="20"/>
        </w:numPr>
        <w:ind w:left="0" w:firstLine="349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Potreba lekárskych miest v okrese sa určí postupom podľa prílohy č. 2 ako podiel prepočítaných poistencov s trvalým pobytom v okrese pri zohľadnení vnútroštátnej migrácie a normatívneho počtu </w:t>
      </w:r>
      <w:proofErr w:type="spellStart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kapitovaných</w:t>
      </w:r>
      <w:proofErr w:type="spellEnd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 na jedno lekárske miesto u poskytovateľa všeobecnej ambulantnej starostlivosti (ďalej len „normatívny počet </w:t>
      </w:r>
      <w:proofErr w:type="spellStart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kapitovaných</w:t>
      </w:r>
      <w:proofErr w:type="spellEnd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poistencov“). </w:t>
      </w:r>
    </w:p>
    <w:p w:rsidR="00A94FDC" w:rsidRPr="00AD788B" w:rsidRDefault="00A94FDC" w:rsidP="00A94FDC">
      <w:pPr>
        <w:pStyle w:val="Odsekzoznamu"/>
        <w:numPr>
          <w:ilvl w:val="0"/>
          <w:numId w:val="20"/>
        </w:numPr>
        <w:ind w:left="0" w:firstLine="349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Prepočítaní poistenci vyjadrujú rôznu náročnosť poistencov rôznych vekových skupín vyjadrenú návštevnosťou. Pre určenie prepočítaných poistencov sa použije postup a index  náročnosti poistenca , ktorý vyjadruje odchýlku náročnosti vekovej skupiny vo vzťahu k priemernému počtu návštev ambulancie všeobecnej ambulantnej starostliv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>osti a je určený v prílohe č. 2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.</w:t>
      </w:r>
    </w:p>
    <w:p w:rsidR="00A94FDC" w:rsidRDefault="00A94FDC" w:rsidP="00A94FDC">
      <w:pPr>
        <w:pStyle w:val="Odsekzoznamu"/>
        <w:numPr>
          <w:ilvl w:val="0"/>
          <w:numId w:val="20"/>
        </w:numPr>
        <w:ind w:left="0" w:firstLine="349"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Vnútroštátna migrácia </w:t>
      </w:r>
      <w:r w:rsidRPr="00AD788B">
        <w:rPr>
          <w:rFonts w:ascii="Arial Narrow" w:hAnsi="Arial Narrow"/>
          <w:sz w:val="20"/>
          <w:szCs w:val="20"/>
          <w:lang w:eastAsia="sk-SK"/>
        </w:rPr>
        <w:t>vyjadruje</w:t>
      </w:r>
      <w:r w:rsidRPr="00AD788B">
        <w:rPr>
          <w:rFonts w:ascii="Arial Narrow" w:hAnsi="Arial Narrow"/>
          <w:sz w:val="20"/>
          <w:szCs w:val="20"/>
        </w:rPr>
        <w:t xml:space="preserve"> pomer medzi súčtom </w:t>
      </w:r>
      <w:proofErr w:type="spellStart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kapitovaných</w:t>
      </w:r>
      <w:proofErr w:type="spellEnd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 a </w:t>
      </w:r>
      <w:proofErr w:type="spellStart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nekapitovaných</w:t>
      </w:r>
      <w:proofErr w:type="spellEnd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 v okrese a celkovým počtom poistencov v okrese. </w:t>
      </w:r>
      <w:proofErr w:type="spellStart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Nekapitovaný</w:t>
      </w:r>
      <w:proofErr w:type="spellEnd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poistenec je poistenec, ktorý nemá 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uzavretú zmluvu o poskytovaní zdravotnej starostlivosti so žiadnym poskytovateľom všeobecnej ambulantnej starostlivosti. 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Normatívny počet </w:t>
      </w:r>
      <w:proofErr w:type="spellStart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kapitovaných</w:t>
      </w:r>
      <w:proofErr w:type="spellEnd"/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 je na jedno lekárske miesto u poskytovateľa všeobecnej ambulantnej starostlivosti pre dospelých 1600 a na jedno lekárske miesto u poskytovateľa všeobecnej ambulantnej starostlivosti pre deti a dorast 1100 poistencov.</w:t>
      </w:r>
    </w:p>
    <w:p w:rsidR="00A94FDC" w:rsidRPr="00AD788B" w:rsidRDefault="00A94FDC" w:rsidP="00A94FDC">
      <w:pPr>
        <w:pStyle w:val="Odsekzoznamu"/>
        <w:numPr>
          <w:ilvl w:val="0"/>
          <w:numId w:val="20"/>
        </w:numPr>
        <w:ind w:left="0" w:firstLine="349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lastRenderedPageBreak/>
        <w:t>Minimálna sieť poskytovateľov všeobecnej starostlivosti sa stanovuje samostatne pre</w:t>
      </w:r>
    </w:p>
    <w:p w:rsidR="00A94FDC" w:rsidRPr="00AD788B" w:rsidRDefault="00A94FDC" w:rsidP="00A94FDC">
      <w:pPr>
        <w:pStyle w:val="Odsekzoznamu"/>
        <w:numPr>
          <w:ilvl w:val="1"/>
          <w:numId w:val="20"/>
        </w:numPr>
        <w:ind w:left="1434" w:hanging="357"/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všeobecnú ambulantnú starostlivosť pre dospelých (ďalej len „minimálna sieť poskytovateľov pre dospelých“)</w:t>
      </w:r>
    </w:p>
    <w:p w:rsidR="00A94FDC" w:rsidRPr="00AD788B" w:rsidRDefault="00A94FDC" w:rsidP="00A94FDC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všeobecnú ambulantnú starostlivosť pre deti a dorast (ďalej len „minimálna sieť poskytovateľov pre deti a dorast“)</w:t>
      </w:r>
    </w:p>
    <w:p w:rsidR="00A94FDC" w:rsidRPr="00AD788B" w:rsidRDefault="00A94FDC" w:rsidP="00A94FDC">
      <w:pPr>
        <w:pStyle w:val="Odsekzoznamu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§ 3</w:t>
      </w:r>
    </w:p>
    <w:p w:rsidR="00A94FDC" w:rsidRDefault="00A94FDC" w:rsidP="00A94FDC">
      <w:pPr>
        <w:pStyle w:val="Odsekzoznamu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Parametre klasifikácie okresov</w:t>
      </w:r>
    </w:p>
    <w:p w:rsidR="00A94FDC" w:rsidRPr="00AD788B" w:rsidRDefault="00A94FDC" w:rsidP="00A94FDC">
      <w:pPr>
        <w:pStyle w:val="Odsekzoznamu"/>
        <w:jc w:val="center"/>
        <w:rPr>
          <w:rFonts w:ascii="Arial Narrow" w:hAnsi="Arial Narrow"/>
          <w:sz w:val="20"/>
          <w:szCs w:val="20"/>
          <w:shd w:val="clear" w:color="auto" w:fill="FFFFFF"/>
        </w:rPr>
      </w:pPr>
    </w:p>
    <w:p w:rsidR="00A94FDC" w:rsidRPr="00AD788B" w:rsidRDefault="00A94FDC" w:rsidP="00A94FDC">
      <w:pPr>
        <w:pStyle w:val="Odsekzoznamu"/>
        <w:ind w:left="0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Parametrami pre klasifikáciu okresov sú</w:t>
      </w:r>
    </w:p>
    <w:p w:rsidR="00A94FDC" w:rsidRPr="00AD788B" w:rsidRDefault="00A94FDC" w:rsidP="00A94FDC">
      <w:pPr>
        <w:pStyle w:val="Odsekzoznamu"/>
        <w:numPr>
          <w:ilvl w:val="1"/>
          <w:numId w:val="21"/>
        </w:numPr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počet obyvateľov okresu, ktorí nemajú zabezpečenú miestnu dostupnosť poskytovateľov všeobecnej ambulantnej starostlivosti, </w:t>
      </w:r>
    </w:p>
    <w:p w:rsidR="00A94FDC" w:rsidRPr="00AD788B" w:rsidRDefault="00A94FDC" w:rsidP="00A94FDC">
      <w:pPr>
        <w:pStyle w:val="Odsekzoznamu"/>
        <w:numPr>
          <w:ilvl w:val="1"/>
          <w:numId w:val="21"/>
        </w:numPr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percentuálne vyjadrená kapacitná priepustnosť verejnej siete poskytovateľov všeobecnej ambulantnej starostlivosti, </w:t>
      </w:r>
    </w:p>
    <w:p w:rsidR="00A94FDC" w:rsidRPr="00AD788B" w:rsidRDefault="00A94FDC" w:rsidP="00A94FDC">
      <w:pPr>
        <w:pStyle w:val="Odsekzoznamu"/>
        <w:numPr>
          <w:ilvl w:val="1"/>
          <w:numId w:val="21"/>
        </w:numPr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demografická štruktúra všeobecných lekárov.</w:t>
      </w:r>
    </w:p>
    <w:p w:rsidR="00A94FDC" w:rsidRPr="00AD788B" w:rsidRDefault="00A94FDC" w:rsidP="00A94FDC">
      <w:pPr>
        <w:pStyle w:val="Odsekzoznamu"/>
        <w:ind w:left="1440"/>
        <w:rPr>
          <w:rFonts w:ascii="Arial Narrow" w:hAnsi="Arial Narrow"/>
          <w:bCs/>
          <w:sz w:val="20"/>
          <w:szCs w:val="20"/>
          <w:shd w:val="clear" w:color="auto" w:fill="FFFFFF"/>
        </w:rPr>
      </w:pPr>
    </w:p>
    <w:p w:rsidR="00A94FDC" w:rsidRPr="00AD788B" w:rsidRDefault="00A94FDC" w:rsidP="00A94FDC">
      <w:pPr>
        <w:pStyle w:val="Odsekzoznamu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§ 4</w:t>
      </w:r>
    </w:p>
    <w:p w:rsidR="00A94FDC" w:rsidRDefault="00A94FDC" w:rsidP="00A94FDC">
      <w:pPr>
        <w:pStyle w:val="Odsekzoznamu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Vyhodnocovanie stavu siete</w:t>
      </w:r>
    </w:p>
    <w:p w:rsidR="00A94FDC" w:rsidRPr="00AD788B" w:rsidRDefault="00A94FDC" w:rsidP="00A94FDC">
      <w:pPr>
        <w:pStyle w:val="Odsekzoznamu"/>
        <w:jc w:val="center"/>
        <w:rPr>
          <w:rFonts w:ascii="Arial Narrow" w:hAnsi="Arial Narrow"/>
          <w:sz w:val="20"/>
          <w:szCs w:val="20"/>
          <w:lang w:eastAsia="sk-SK"/>
        </w:rPr>
      </w:pP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Vyhodnocovanie stavu siete</w:t>
      </w:r>
      <w:r>
        <w:rPr>
          <w:rFonts w:ascii="Arial Narrow" w:hAnsi="Arial Narrow"/>
          <w:sz w:val="20"/>
          <w:szCs w:val="20"/>
          <w:lang w:eastAsia="sk-SK"/>
        </w:rPr>
        <w:t xml:space="preserve"> podľa § 5b zákona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 sa uskutočňuje zvlášť pre poskytovateľov všeobecnej ambulantnej starostlivosti pre dospelých a pre poskytovateľov všeobecnej ambulantnej starostlivosti pre deti a dorast.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Zdrojom údajov o počte obyvateľov potrebných pre výpočty podľa tohto nariadenia sú verejné databázy Štatistického úradu Slovenskej republiky, dostupné na jeho webovom sídle.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Údaje</w:t>
      </w:r>
      <w:r>
        <w:rPr>
          <w:rFonts w:ascii="Arial Narrow" w:hAnsi="Arial Narrow"/>
          <w:sz w:val="20"/>
          <w:szCs w:val="20"/>
          <w:lang w:eastAsia="sk-SK"/>
        </w:rPr>
        <w:t xml:space="preserve"> podľa § 5b ods. 1 zákona 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sprístupnia povinné subjekty v elektronicky spracovateľnej podobe v rozsahu a spôsobom určeným v prílohe č. 3.  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Výsledky vyhodnocovania sa zverejňujú v štruktúre a spôsobom podľa prílohy č. 4, zvlášť pre poskytovateľov všeobecnej ambulantnej starostlivosti o dospelých a pre poskytovateľov všeobecnej ambulantnej starostlivosti pre deti a dorast. 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Počet lekárskych miest verejnej minimálnej siete v okrese sa stanoví spôsobom podľa prílohy č. 2.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Počet lekárskych miest vo verejnej sieti poskytovateľov všeobecnej ambulantnej starostlivosti</w:t>
      </w:r>
      <w:r>
        <w:rPr>
          <w:rFonts w:ascii="Arial Narrow" w:hAnsi="Arial Narrow"/>
          <w:sz w:val="20"/>
          <w:szCs w:val="20"/>
          <w:lang w:eastAsia="sk-SK"/>
        </w:rPr>
        <w:t xml:space="preserve"> v okrese podľa § 5b ods. 3 písm. b) zákona 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, sa určí spôsobom </w:t>
      </w:r>
      <w:r>
        <w:rPr>
          <w:rFonts w:ascii="Arial Narrow" w:hAnsi="Arial Narrow"/>
          <w:sz w:val="20"/>
          <w:szCs w:val="20"/>
          <w:lang w:eastAsia="sk-SK"/>
        </w:rPr>
        <w:t xml:space="preserve">uvedeným v </w:t>
      </w:r>
      <w:r w:rsidRPr="00AD788B">
        <w:rPr>
          <w:rFonts w:ascii="Arial Narrow" w:hAnsi="Arial Narrow"/>
          <w:sz w:val="20"/>
          <w:szCs w:val="20"/>
          <w:lang w:eastAsia="sk-SK"/>
        </w:rPr>
        <w:t>príloh</w:t>
      </w:r>
      <w:r>
        <w:rPr>
          <w:rFonts w:ascii="Arial Narrow" w:hAnsi="Arial Narrow"/>
          <w:sz w:val="20"/>
          <w:szCs w:val="20"/>
          <w:lang w:eastAsia="sk-SK"/>
        </w:rPr>
        <w:t>e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 č. 5.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Obce, ktoré nemajú zabezpečenú miestnu dostupnosť poskytovateľov všeobecnej ambulantnej starostlivosti sa určia ako tie obce, ktoré podľa prílohy č. 1 majú čas dojazdu do najbližšej obce, kde má poskytovateľ všeobecnej ambulantnej </w:t>
      </w:r>
      <w:r>
        <w:rPr>
          <w:rFonts w:ascii="Arial Narrow" w:hAnsi="Arial Narrow"/>
          <w:sz w:val="20"/>
          <w:szCs w:val="20"/>
          <w:lang w:eastAsia="sk-SK"/>
        </w:rPr>
        <w:t xml:space="preserve">zdravotnej 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starostlivosti miesto prevádzky, viac ako 25 minút. 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Počet neobsadených lekárskych miest v okrese sa určí v prípade, ak je počet lekárskych miest v okrese podľa odseku 5 väčší ako počet lekárskych miest v okrese podľa odseku 6, a to ako ich rozdiel.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Počet 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obyvateľov okresu, ktorí nemajú zabezpečenú miestnu dostupnosť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podľa 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>§ 5 ods. 1 písm. a) zákona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>,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sa určí ako súčet obyvateľov obcí okresu podľa odseku 7.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350C0D">
        <w:rPr>
          <w:rFonts w:ascii="Arial Narrow" w:hAnsi="Arial Narrow"/>
          <w:sz w:val="20"/>
          <w:szCs w:val="20"/>
          <w:lang w:eastAsia="sk-SK"/>
        </w:rPr>
        <w:t>Demografick</w:t>
      </w:r>
      <w:r>
        <w:rPr>
          <w:rFonts w:ascii="Arial Narrow" w:hAnsi="Arial Narrow"/>
          <w:sz w:val="20"/>
          <w:szCs w:val="20"/>
          <w:lang w:eastAsia="sk-SK"/>
        </w:rPr>
        <w:t>á štruktúra všeobecných lekárov</w:t>
      </w:r>
      <w:r w:rsidRPr="00A54754">
        <w:rPr>
          <w:rFonts w:ascii="Arial Narrow" w:hAnsi="Arial Narrow"/>
          <w:sz w:val="20"/>
          <w:szCs w:val="20"/>
          <w:vertAlign w:val="superscript"/>
          <w:lang w:eastAsia="sk-SK"/>
        </w:rPr>
        <w:t>2</w:t>
      </w:r>
      <w:r w:rsidRPr="00350C0D">
        <w:rPr>
          <w:rFonts w:ascii="Arial Narrow" w:hAnsi="Arial Narrow"/>
          <w:sz w:val="20"/>
          <w:szCs w:val="20"/>
          <w:lang w:eastAsia="sk-SK"/>
        </w:rPr>
        <w:t>)</w:t>
      </w:r>
      <w:r>
        <w:rPr>
          <w:rFonts w:ascii="Arial Narrow" w:hAnsi="Arial Narrow"/>
          <w:sz w:val="20"/>
          <w:szCs w:val="20"/>
          <w:lang w:eastAsia="sk-SK"/>
        </w:rPr>
        <w:t>,</w:t>
      </w:r>
      <w:r w:rsidRPr="00350C0D">
        <w:rPr>
          <w:rFonts w:ascii="Arial Narrow" w:hAnsi="Arial Narrow"/>
          <w:sz w:val="20"/>
          <w:szCs w:val="20"/>
          <w:lang w:eastAsia="sk-SK"/>
        </w:rPr>
        <w:t xml:space="preserve"> sa určí ako percentuálny podiel súčtu úväzkov všeobecných lekárov v dôchodkovom veku, ktorí vykonávajú zdravotnícke povolanie podľa § 3 ods. 4 písm. a) až c) zákona u poskytovateľa všeobecnej ambulantnej starostlivosti v okrese a celkového súčtu úväzkov všeobecných lekárov, ktorí vykonávajú zdravotnícke povolanie podľa § 3 ods. 4 písm. a) až c) zákona u poskytovateľov všeobecnej ambulantnej starostlivosti v okrese. Všeobecným lekárom v dôchodkovom veku sa rozumie všeobecný lekár, ktorý v príslušnom roku vyhodnocovania stavu minimálnej siete dosiahne vek nároku na starobný dôchodok.</w:t>
      </w:r>
      <w:r>
        <w:rPr>
          <w:rFonts w:ascii="Arial Narrow" w:hAnsi="Arial Narrow"/>
          <w:sz w:val="20"/>
          <w:szCs w:val="20"/>
          <w:vertAlign w:val="superscript"/>
          <w:lang w:eastAsia="sk-SK"/>
        </w:rPr>
        <w:t>3</w:t>
      </w:r>
      <w:r w:rsidRPr="00350C0D">
        <w:rPr>
          <w:rFonts w:ascii="Arial Narrow" w:hAnsi="Arial Narrow"/>
          <w:sz w:val="20"/>
          <w:szCs w:val="20"/>
          <w:lang w:eastAsia="sk-SK"/>
        </w:rPr>
        <w:t>)</w:t>
      </w:r>
      <w:r>
        <w:rPr>
          <w:rFonts w:ascii="Arial Narrow" w:hAnsi="Arial Narrow"/>
          <w:sz w:val="20"/>
          <w:szCs w:val="20"/>
          <w:lang w:eastAsia="sk-SK"/>
        </w:rPr>
        <w:t>)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360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Kapacitná priepustnosť</w:t>
      </w:r>
      <w:r>
        <w:rPr>
          <w:rFonts w:ascii="Arial Narrow" w:hAnsi="Arial Narrow"/>
          <w:sz w:val="20"/>
          <w:szCs w:val="20"/>
          <w:lang w:eastAsia="sk-SK"/>
        </w:rPr>
        <w:t xml:space="preserve"> </w:t>
      </w:r>
      <w:r w:rsidRPr="00AD788B">
        <w:rPr>
          <w:rFonts w:ascii="Arial Narrow" w:hAnsi="Arial Narrow"/>
          <w:sz w:val="20"/>
          <w:szCs w:val="20"/>
          <w:lang w:eastAsia="sk-SK"/>
        </w:rPr>
        <w:t>§ 5 ods. 1 písm. b) zákona sa určí ako percentuálny podiel počtu lekárskych miest podľa odseku 6 a počtu lekárskych miest podľa odseku 5.</w:t>
      </w:r>
    </w:p>
    <w:p w:rsidR="00A94FDC" w:rsidRPr="00AD788B" w:rsidRDefault="00A94FDC" w:rsidP="00A94FDC">
      <w:pPr>
        <w:pStyle w:val="Odsekzoznamu"/>
        <w:numPr>
          <w:ilvl w:val="0"/>
          <w:numId w:val="22"/>
        </w:numPr>
        <w:ind w:left="0" w:firstLine="284"/>
        <w:jc w:val="both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>Hodnoty vnútroštátnej migrácie pre určenie počtu lekárskych miest verejnej minimálnej siete pre nasledujúci rok sa určia spôsobom podľa prílohy č. 6.</w:t>
      </w:r>
    </w:p>
    <w:p w:rsidR="00A94FDC" w:rsidRPr="00AD788B" w:rsidRDefault="00A94FDC" w:rsidP="00A94FDC">
      <w:pPr>
        <w:spacing w:after="0" w:line="240" w:lineRule="auto"/>
        <w:rPr>
          <w:rFonts w:ascii="Arial Narrow" w:hAnsi="Arial Narrow"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b/>
          <w:sz w:val="20"/>
          <w:szCs w:val="20"/>
          <w:lang w:eastAsia="sk-SK"/>
        </w:rPr>
        <w:t>§ 5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Prechodné ustanovenia</w:t>
      </w:r>
    </w:p>
    <w:p w:rsidR="00A94FDC" w:rsidRPr="00AD788B" w:rsidRDefault="00A94FDC" w:rsidP="00A94FDC">
      <w:pPr>
        <w:spacing w:after="0" w:line="240" w:lineRule="auto"/>
        <w:rPr>
          <w:rFonts w:ascii="Arial Narrow" w:hAnsi="Arial Narrow"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Údaje uvedené v prílohe č. 3 písm. A) </w:t>
      </w:r>
      <w:r>
        <w:rPr>
          <w:rFonts w:ascii="Arial Narrow" w:hAnsi="Arial Narrow"/>
          <w:sz w:val="20"/>
          <w:szCs w:val="20"/>
          <w:lang w:eastAsia="sk-SK"/>
        </w:rPr>
        <w:t xml:space="preserve">sa 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poskytujú </w:t>
      </w:r>
      <w:r>
        <w:rPr>
          <w:rFonts w:ascii="Arial Narrow" w:hAnsi="Arial Narrow"/>
          <w:sz w:val="20"/>
          <w:szCs w:val="20"/>
          <w:lang w:eastAsia="sk-SK"/>
        </w:rPr>
        <w:t>zdravotnými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 poisťov</w:t>
      </w:r>
      <w:r>
        <w:rPr>
          <w:rFonts w:ascii="Arial Narrow" w:hAnsi="Arial Narrow"/>
          <w:sz w:val="20"/>
          <w:szCs w:val="20"/>
          <w:lang w:eastAsia="sk-SK"/>
        </w:rPr>
        <w:t>ňami</w:t>
      </w:r>
      <w:r w:rsidRPr="00AD788B">
        <w:rPr>
          <w:rFonts w:ascii="Arial Narrow" w:hAnsi="Arial Narrow"/>
          <w:sz w:val="20"/>
          <w:szCs w:val="20"/>
          <w:lang w:eastAsia="sk-SK"/>
        </w:rPr>
        <w:t xml:space="preserve"> do 1. januára 2024.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b/>
          <w:sz w:val="20"/>
          <w:szCs w:val="20"/>
          <w:lang w:eastAsia="sk-SK"/>
        </w:rPr>
        <w:t>§ 6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Spoločné ustanovenia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ind w:left="339"/>
        <w:rPr>
          <w:rFonts w:ascii="Arial Narrow" w:hAnsi="Arial Narrow"/>
          <w:sz w:val="20"/>
          <w:szCs w:val="20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t xml:space="preserve">Pre účely tohto nariadenia sa 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pod </w:t>
      </w:r>
      <w:r w:rsidRPr="00AD788B">
        <w:rPr>
          <w:rFonts w:ascii="Arial Narrow" w:hAnsi="Arial Narrow"/>
          <w:sz w:val="20"/>
          <w:szCs w:val="20"/>
          <w:lang w:eastAsia="sk-SK"/>
        </w:rPr>
        <w:t>pojmom</w:t>
      </w:r>
      <w:r w:rsidRPr="00AD788B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okres Bratislava rozumie územie okresov Bratislava I, Bratislava II, Bratislava III, Bratislava IV a Bratislava V a pod pojmom okres Košice sa rozumie územie okresov Košice I, Košice II, Košice III, Košice IV a Košice-okolie.</w:t>
      </w:r>
    </w:p>
    <w:p w:rsidR="00A94FDC" w:rsidRPr="00AD788B" w:rsidRDefault="00A94FDC" w:rsidP="00A94FDC">
      <w:pPr>
        <w:spacing w:after="0" w:line="240" w:lineRule="auto"/>
        <w:rPr>
          <w:rFonts w:ascii="Arial Narrow" w:hAnsi="Arial Narrow"/>
          <w:sz w:val="20"/>
          <w:szCs w:val="20"/>
          <w:lang w:eastAsia="sk-SK"/>
        </w:rPr>
      </w:pPr>
    </w:p>
    <w:p w:rsidR="00A94FDC" w:rsidRPr="00AD788B" w:rsidRDefault="00A94FDC" w:rsidP="00A94FDC">
      <w:pPr>
        <w:spacing w:after="0" w:line="240" w:lineRule="auto"/>
        <w:contextualSpacing/>
        <w:jc w:val="center"/>
        <w:rPr>
          <w:rFonts w:ascii="Arial Narrow" w:eastAsia="Times New Roman" w:hAnsi="Arial Narrow"/>
          <w:b/>
          <w:sz w:val="20"/>
          <w:szCs w:val="20"/>
          <w:lang w:eastAsia="sk-SK"/>
        </w:rPr>
      </w:pPr>
      <w:r w:rsidRPr="00AD788B">
        <w:rPr>
          <w:rFonts w:ascii="Arial Narrow" w:eastAsia="Times New Roman" w:hAnsi="Arial Narrow"/>
          <w:b/>
          <w:sz w:val="20"/>
          <w:szCs w:val="20"/>
          <w:lang w:eastAsia="sk-SK"/>
        </w:rPr>
        <w:t>§ 7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AD788B">
        <w:rPr>
          <w:rFonts w:ascii="Arial Narrow" w:hAnsi="Arial Narrow"/>
          <w:b/>
          <w:sz w:val="20"/>
          <w:szCs w:val="20"/>
          <w:lang w:eastAsia="sk-SK"/>
        </w:rPr>
        <w:t>Účinnosť</w:t>
      </w:r>
    </w:p>
    <w:p w:rsidR="00A94FDC" w:rsidRPr="00AD788B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sz w:val="20"/>
          <w:szCs w:val="20"/>
          <w:lang w:eastAsia="sk-SK"/>
        </w:rPr>
      </w:pPr>
      <w:r w:rsidRPr="00AD788B">
        <w:rPr>
          <w:rFonts w:ascii="Arial Narrow" w:hAnsi="Arial Narrow"/>
          <w:sz w:val="20"/>
          <w:szCs w:val="20"/>
          <w:lang w:eastAsia="sk-SK"/>
        </w:rPr>
        <w:lastRenderedPageBreak/>
        <w:t xml:space="preserve">Toto  nariadenie nadobúda účinnosť </w:t>
      </w:r>
      <w:r>
        <w:rPr>
          <w:rFonts w:ascii="Arial Narrow" w:hAnsi="Arial Narrow"/>
          <w:sz w:val="20"/>
          <w:szCs w:val="20"/>
          <w:lang w:eastAsia="sk-SK"/>
        </w:rPr>
        <w:t>1. januára 2022</w:t>
      </w:r>
      <w:r w:rsidRPr="00AD788B">
        <w:rPr>
          <w:rFonts w:ascii="Arial Narrow" w:hAnsi="Arial Narrow"/>
          <w:sz w:val="20"/>
          <w:szCs w:val="20"/>
          <w:lang w:eastAsia="sk-SK"/>
        </w:rPr>
        <w:t>.</w:t>
      </w: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 xml:space="preserve">Príloha č. 1 </w:t>
      </w:r>
    </w:p>
    <w:p w:rsidR="00A94FDC" w:rsidRPr="007B3F7D" w:rsidRDefault="00A94FDC" w:rsidP="00A94FDC">
      <w:pPr>
        <w:spacing w:after="0" w:line="240" w:lineRule="auto"/>
        <w:ind w:left="1416" w:hanging="1416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k nariadeniu vlády č..../2021 Z. z.</w:t>
      </w:r>
    </w:p>
    <w:p w:rsidR="00A94FDC" w:rsidRDefault="00A94FDC" w:rsidP="00A94FDC">
      <w:pPr>
        <w:spacing w:after="0" w:line="240" w:lineRule="auto"/>
        <w:ind w:left="1416" w:hanging="1416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Matica cestovných časov</w:t>
      </w:r>
    </w:p>
    <w:p w:rsidR="00A94FDC" w:rsidRPr="007B3F7D" w:rsidRDefault="00A94FDC" w:rsidP="00A94FDC">
      <w:pPr>
        <w:spacing w:after="0" w:line="240" w:lineRule="auto"/>
        <w:ind w:left="1416" w:hanging="1416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7B3F7D" w:rsidRDefault="00A94FDC" w:rsidP="00A94FDC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Čas dojazdu k poskytovateľovi všeobecnej ambulantnej starostlivosti sa pre obec určí podľa matice cestovných časov dostupnej na XXXXXXX(</w:t>
      </w:r>
      <w:r w:rsidRPr="007B3F7D">
        <w:rPr>
          <w:rFonts w:ascii="Arial Narrow" w:hAnsi="Arial Narrow"/>
          <w:color w:val="FF0000"/>
          <w:sz w:val="20"/>
          <w:szCs w:val="20"/>
          <w:lang w:eastAsia="sk-SK"/>
        </w:rPr>
        <w:t>Doplniť odkaz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) ako najkratší  čas dojazdu osobným motorovým vozidlom do obce, </w:t>
      </w:r>
      <w:r w:rsidRPr="007B3F7D">
        <w:rPr>
          <w:rFonts w:ascii="Arial Narrow" w:hAnsi="Arial Narrow"/>
          <w:sz w:val="20"/>
          <w:szCs w:val="20"/>
        </w:rPr>
        <w:t xml:space="preserve">v ktorej má poskytovateľ všeobecnej ambulantnej </w:t>
      </w:r>
      <w:r>
        <w:rPr>
          <w:rFonts w:ascii="Arial Narrow" w:hAnsi="Arial Narrow"/>
          <w:sz w:val="20"/>
          <w:szCs w:val="20"/>
        </w:rPr>
        <w:t xml:space="preserve">zdravotnej </w:t>
      </w:r>
      <w:r w:rsidRPr="007B3F7D">
        <w:rPr>
          <w:rFonts w:ascii="Arial Narrow" w:hAnsi="Arial Narrow"/>
          <w:sz w:val="20"/>
          <w:szCs w:val="20"/>
        </w:rPr>
        <w:t>starostlivosti miesto prevádzkovania.</w:t>
      </w:r>
    </w:p>
    <w:p w:rsidR="00A94FDC" w:rsidRPr="007B3F7D" w:rsidRDefault="00A94FDC" w:rsidP="00A94FDC">
      <w:pPr>
        <w:spacing w:after="0" w:line="240" w:lineRule="auto"/>
        <w:contextualSpacing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ind w:left="1134" w:hanging="1134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Príloha č. 2</w:t>
      </w:r>
      <w:r w:rsidRPr="007B3F7D">
        <w:rPr>
          <w:rFonts w:ascii="Arial Narrow" w:hAnsi="Arial Narrow"/>
          <w:b/>
          <w:sz w:val="20"/>
          <w:szCs w:val="20"/>
          <w:lang w:eastAsia="sk-SK"/>
        </w:rPr>
        <w:tab/>
      </w:r>
    </w:p>
    <w:p w:rsidR="00A94FDC" w:rsidRPr="007B3F7D" w:rsidRDefault="00A94FDC" w:rsidP="00A94FDC">
      <w:pPr>
        <w:spacing w:after="0" w:line="240" w:lineRule="auto"/>
        <w:ind w:left="1134" w:hanging="1134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k nariadeniu vlády č...../2021 Z. z.</w:t>
      </w:r>
    </w:p>
    <w:p w:rsidR="00A94FDC" w:rsidRDefault="00A94FDC" w:rsidP="00A94FDC">
      <w:pPr>
        <w:spacing w:after="0" w:line="240" w:lineRule="auto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7B3F7D" w:rsidRDefault="00A94FDC" w:rsidP="00A94FDC">
      <w:pPr>
        <w:spacing w:after="0" w:line="240" w:lineRule="auto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Ustanovenie potreby lekárskych miest verejnej minimálnej siete poskytovateľov všeobecnej</w:t>
      </w:r>
      <w:r>
        <w:rPr>
          <w:rFonts w:ascii="Arial Narrow" w:hAnsi="Arial Narrow"/>
          <w:b/>
          <w:sz w:val="20"/>
          <w:szCs w:val="20"/>
          <w:lang w:eastAsia="sk-SK"/>
        </w:rPr>
        <w:t xml:space="preserve"> </w:t>
      </w:r>
      <w:r w:rsidRPr="007B3F7D">
        <w:rPr>
          <w:rFonts w:ascii="Arial Narrow" w:hAnsi="Arial Narrow"/>
          <w:b/>
          <w:sz w:val="20"/>
          <w:szCs w:val="20"/>
          <w:lang w:eastAsia="sk-SK"/>
        </w:rPr>
        <w:t>ambulantnej starostlivosti  v okrese</w:t>
      </w:r>
    </w:p>
    <w:p w:rsidR="00A94FDC" w:rsidRPr="007B3F7D" w:rsidRDefault="00A94FDC" w:rsidP="00A94FDC">
      <w:pPr>
        <w:pStyle w:val="Odsekzoznamu"/>
        <w:numPr>
          <w:ilvl w:val="0"/>
          <w:numId w:val="29"/>
        </w:numPr>
        <w:ind w:left="425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Kohortu poistencov pre výpočet minimálnej siete poskytovateľov</w:t>
      </w:r>
    </w:p>
    <w:p w:rsidR="00A94FDC" w:rsidRPr="007B3F7D" w:rsidRDefault="00A94FDC" w:rsidP="00A94FDC">
      <w:pPr>
        <w:pStyle w:val="Odsekzoznamu"/>
        <w:numPr>
          <w:ilvl w:val="0"/>
          <w:numId w:val="30"/>
        </w:numPr>
        <w:ind w:left="811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pre dospelých tvorí polovica poistencov vo veku 19 až 24 rokov s trvalým pobytom na území okresu spolu so všetkými poistencami vo veku 25 a viac rokov s trvalým pobytom v okrese</w:t>
      </w:r>
    </w:p>
    <w:p w:rsidR="00A94FDC" w:rsidRPr="007B3F7D" w:rsidRDefault="00A94FDC" w:rsidP="00A94FDC">
      <w:pPr>
        <w:pStyle w:val="Odsekzoznamu"/>
        <w:numPr>
          <w:ilvl w:val="0"/>
          <w:numId w:val="30"/>
        </w:numPr>
        <w:ind w:left="811" w:hanging="357"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pre deti a dorast tvoria všetci poistenci do 18 rokov s trvalým pobytom v okrese, spolu s polovicou poistencov vo veku 19 až 24 rokov s trvalým pobytom v okrese.</w:t>
      </w:r>
    </w:p>
    <w:p w:rsidR="00A94FDC" w:rsidRPr="007B3F7D" w:rsidRDefault="00A94FDC" w:rsidP="00A94FDC">
      <w:pPr>
        <w:pStyle w:val="Odsekzoznamu"/>
        <w:numPr>
          <w:ilvl w:val="0"/>
          <w:numId w:val="29"/>
        </w:numPr>
        <w:ind w:left="426"/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Potreba lekárskych miest v okrese sa určí nasledovným výpočtom:</w:t>
      </w:r>
    </w:p>
    <w:p w:rsidR="00A94FDC" w:rsidRPr="007B3F7D" w:rsidRDefault="00A94FDC" w:rsidP="00A94FDC">
      <w:pPr>
        <w:spacing w:after="0" w:line="240" w:lineRule="auto"/>
        <w:ind w:left="426"/>
        <w:rPr>
          <w:rFonts w:ascii="Arial Narrow" w:eastAsiaTheme="minorEastAsia" w:hAnsi="Arial Narrow"/>
          <w:i/>
          <w:sz w:val="20"/>
          <w:szCs w:val="20"/>
        </w:rPr>
      </w:pPr>
      <m:oMathPara>
        <m:oMath>
          <m:r>
            <w:rPr>
              <w:rFonts w:ascii="Cambria Math" w:eastAsiaTheme="minorEastAsia" w:hAnsi="Cambria Math"/>
              <w:sz w:val="20"/>
              <w:szCs w:val="20"/>
            </w:rPr>
            <m:t xml:space="preserve">POTREBA= 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  <w:szCs w:val="20"/>
                </w:rPr>
                <m:t># PPOI × (1+MIG)</m:t>
              </m:r>
              <m:r>
                <w:rPr>
                  <w:rFonts w:ascii="Cambria Math" w:eastAsiaTheme="minorEastAsia" w:hAnsi="Cambria Math"/>
                  <w:color w:val="FF0000"/>
                  <w:sz w:val="20"/>
                  <w:szCs w:val="20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NPK</m:t>
              </m:r>
            </m:den>
          </m:f>
        </m:oMath>
      </m:oMathPara>
    </w:p>
    <w:tbl>
      <w:tblPr>
        <w:tblStyle w:val="Mriekatabuky"/>
        <w:tblW w:w="8926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080"/>
      </w:tblGrid>
      <w:tr w:rsidR="00A94FDC" w:rsidRPr="007B3F7D" w:rsidTr="00537D5F">
        <w:tc>
          <w:tcPr>
            <w:tcW w:w="846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# PPOI</w:t>
            </w:r>
          </w:p>
        </w:tc>
        <w:tc>
          <w:tcPr>
            <w:tcW w:w="8080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- počet prepočítaných poistencov vypočítaný podľa odseku 3.</w:t>
            </w:r>
          </w:p>
        </w:tc>
      </w:tr>
      <w:tr w:rsidR="00A94FDC" w:rsidRPr="007B3F7D" w:rsidTr="00537D5F">
        <w:tc>
          <w:tcPr>
            <w:tcW w:w="846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MIG</w:t>
            </w:r>
          </w:p>
        </w:tc>
        <w:tc>
          <w:tcPr>
            <w:tcW w:w="8080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4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- hodnota migrácie v okrese, ktorú každoročne zverejní ministerstvo zdravotníctva podľa § 5c zákona č. 578/2004 Z. z.</w:t>
            </w:r>
          </w:p>
        </w:tc>
      </w:tr>
      <w:tr w:rsidR="00A94FDC" w:rsidRPr="007B3F7D" w:rsidTr="00537D5F">
        <w:tc>
          <w:tcPr>
            <w:tcW w:w="846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NPK</w:t>
            </w:r>
          </w:p>
        </w:tc>
        <w:tc>
          <w:tcPr>
            <w:tcW w:w="8080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normatívny počtu </w:t>
            </w:r>
            <w:proofErr w:type="spellStart"/>
            <w:r w:rsidRPr="007B3F7D">
              <w:rPr>
                <w:rFonts w:ascii="Arial Narrow" w:hAnsi="Arial Narrow"/>
                <w:i/>
              </w:rPr>
              <w:t>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určený v § </w:t>
            </w:r>
            <w:r>
              <w:rPr>
                <w:rFonts w:ascii="Arial Narrow" w:hAnsi="Arial Narrow"/>
                <w:i/>
              </w:rPr>
              <w:t>2</w:t>
            </w:r>
            <w:r w:rsidRPr="007B3F7D">
              <w:rPr>
                <w:rFonts w:ascii="Arial Narrow" w:hAnsi="Arial Narrow"/>
                <w:i/>
              </w:rPr>
              <w:t xml:space="preserve"> odsek </w:t>
            </w:r>
            <w:r>
              <w:rPr>
                <w:rFonts w:ascii="Arial Narrow" w:hAnsi="Arial Narrow"/>
                <w:i/>
              </w:rPr>
              <w:t>5</w:t>
            </w:r>
          </w:p>
        </w:tc>
      </w:tr>
    </w:tbl>
    <w:p w:rsidR="00A94FDC" w:rsidRPr="007B3F7D" w:rsidRDefault="00A94FDC" w:rsidP="00A94FDC">
      <w:pPr>
        <w:pStyle w:val="Odsekzoznamu"/>
        <w:ind w:left="567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9"/>
        </w:numPr>
        <w:ind w:left="567"/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Počet prepočítaných poistencov (</w:t>
      </w:r>
      <w:r w:rsidRPr="007B3F7D">
        <w:rPr>
          <w:rFonts w:ascii="Arial Narrow" w:hAnsi="Arial Narrow"/>
          <w:sz w:val="20"/>
          <w:szCs w:val="20"/>
          <w:lang w:val="en-US" w:eastAsia="sk-SK"/>
        </w:rPr>
        <w:t xml:space="preserve"># </w:t>
      </w:r>
      <w:r w:rsidRPr="007B3F7D">
        <w:rPr>
          <w:rFonts w:ascii="Arial Narrow" w:hAnsi="Arial Narrow"/>
          <w:sz w:val="20"/>
          <w:szCs w:val="20"/>
          <w:lang w:eastAsia="sk-SK"/>
        </w:rPr>
        <w:t>PPOI) sa vypočíta nasledovným postupom:</w:t>
      </w:r>
    </w:p>
    <w:p w:rsidR="00A94FDC" w:rsidRPr="007B3F7D" w:rsidRDefault="00A94FDC" w:rsidP="00A94FDC">
      <w:pPr>
        <w:spacing w:after="0" w:line="240" w:lineRule="auto"/>
        <w:ind w:left="709"/>
        <w:rPr>
          <w:rFonts w:ascii="Arial Narrow" w:eastAsiaTheme="minorEastAsia" w:hAnsi="Arial Narrow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# PPOI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vek1-18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# POI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vek1-18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INDEX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vek1-18</m:t>
              </m:r>
            </m:sub>
          </m:sSub>
        </m:oMath>
      </m:oMathPara>
    </w:p>
    <w:tbl>
      <w:tblPr>
        <w:tblStyle w:val="Mriekatabuky"/>
        <w:tblW w:w="892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7655"/>
      </w:tblGrid>
      <w:tr w:rsidR="00A94FDC" w:rsidRPr="007B3F7D" w:rsidTr="00537D5F">
        <w:tc>
          <w:tcPr>
            <w:tcW w:w="1270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POI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655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počet poistencov podľa odseku 1 v príslušných vekových skupinách podľa odseku 4. </w:t>
            </w:r>
          </w:p>
        </w:tc>
      </w:tr>
      <w:tr w:rsidR="00A94FDC" w:rsidRPr="007B3F7D" w:rsidTr="00537D5F">
        <w:tc>
          <w:tcPr>
            <w:tcW w:w="1270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INDEX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655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hodnota indexu náročnosti poistenca príslušnej vekovej skupiny podľa odseku 4. </w:t>
            </w:r>
          </w:p>
        </w:tc>
      </w:tr>
    </w:tbl>
    <w:p w:rsidR="00A94FDC" w:rsidRPr="007B3F7D" w:rsidRDefault="00A94FDC" w:rsidP="00A94FDC">
      <w:pPr>
        <w:pStyle w:val="Odsekzoznamu"/>
        <w:tabs>
          <w:tab w:val="left" w:pos="5103"/>
        </w:tabs>
        <w:ind w:left="360"/>
        <w:jc w:val="center"/>
        <w:rPr>
          <w:rFonts w:ascii="Arial Narrow" w:hAnsi="Arial Narrow"/>
          <w:sz w:val="20"/>
          <w:szCs w:val="20"/>
          <w:lang w:eastAsia="sk-SK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# PPOI=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PPOI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vek1-18</m:t>
                </m:r>
              </m:sub>
            </m:sSub>
          </m:e>
        </m:nary>
      </m:oMath>
      <w:r w:rsidRPr="007B3F7D">
        <w:rPr>
          <w:rFonts w:ascii="Arial Narrow" w:hAnsi="Arial Narrow"/>
          <w:sz w:val="20"/>
          <w:szCs w:val="20"/>
          <w:lang w:eastAsia="sk-SK"/>
        </w:rPr>
        <w:t xml:space="preserve"> </w:t>
      </w:r>
    </w:p>
    <w:p w:rsidR="00A94FDC" w:rsidRPr="007B3F7D" w:rsidRDefault="00A94FDC" w:rsidP="00A94FDC">
      <w:pPr>
        <w:pStyle w:val="Odsekzoznamu"/>
        <w:tabs>
          <w:tab w:val="left" w:pos="5103"/>
        </w:tabs>
        <w:ind w:left="360"/>
        <w:jc w:val="center"/>
        <w:rPr>
          <w:rFonts w:ascii="Arial Narrow" w:hAnsi="Arial Narrow"/>
          <w:sz w:val="20"/>
          <w:szCs w:val="20"/>
          <w:lang w:eastAsia="sk-SK"/>
        </w:rPr>
      </w:pPr>
    </w:p>
    <w:tbl>
      <w:tblPr>
        <w:tblStyle w:val="Mriekatabuky"/>
        <w:tblW w:w="9355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8227"/>
      </w:tblGrid>
      <w:tr w:rsidR="00A94FDC" w:rsidRPr="007B3F7D" w:rsidTr="00537D5F">
        <w:tc>
          <w:tcPr>
            <w:tcW w:w="1128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9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# PPOI</w:t>
            </w:r>
          </w:p>
        </w:tc>
        <w:tc>
          <w:tcPr>
            <w:tcW w:w="8227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- súčet počtu prepočítaných poistencov všetkých vekových skupín uvedených v prílohe č. 3, časť E)</w:t>
            </w:r>
          </w:p>
        </w:tc>
      </w:tr>
    </w:tbl>
    <w:p w:rsidR="00A94FDC" w:rsidRPr="007B3F7D" w:rsidRDefault="00A94FDC" w:rsidP="00A94FDC">
      <w:pPr>
        <w:pStyle w:val="Odsekzoznamu"/>
        <w:ind w:left="360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9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Hodnoty indexu náročnosti poistenca podľa vekových skupín:</w:t>
      </w:r>
    </w:p>
    <w:tbl>
      <w:tblPr>
        <w:tblW w:w="2712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153"/>
      </w:tblGrid>
      <w:tr w:rsidR="00A94FDC" w:rsidRPr="007B3F7D" w:rsidTr="00537D5F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77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Veková skupina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INDEX</w:t>
            </w: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vertAlign w:val="subscript"/>
                <w:lang w:eastAsia="sk-SK"/>
              </w:rPr>
              <w:t>vek</w:t>
            </w:r>
            <w:proofErr w:type="spellEnd"/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0 - 4 roky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1,62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5 - 9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1,06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10 - 14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0,81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15 - 19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0,81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20 - 24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0,51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25 - 29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0,51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30 - 34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0,53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35 - 39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0,58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40 - 44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0,68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45 - 49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0,77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50 - 54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0,96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55 - 59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1,13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60 - 64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1,26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65 - 69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1,34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70 - 74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1,55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75 - 79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1,83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80 - 84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2,06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lastRenderedPageBreak/>
              <w:t>85 a viac rokov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2,15</w:t>
            </w:r>
          </w:p>
        </w:tc>
      </w:tr>
    </w:tbl>
    <w:p w:rsidR="00A94FDC" w:rsidRPr="007B3F7D" w:rsidRDefault="00A94FDC" w:rsidP="00A94FDC">
      <w:pPr>
        <w:spacing w:after="0" w:line="240" w:lineRule="auto"/>
        <w:ind w:left="1418" w:hanging="1418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Príloha č. 3</w:t>
      </w:r>
      <w:r w:rsidRPr="007B3F7D">
        <w:rPr>
          <w:rFonts w:ascii="Arial Narrow" w:hAnsi="Arial Narrow"/>
          <w:b/>
          <w:sz w:val="20"/>
          <w:szCs w:val="20"/>
          <w:lang w:eastAsia="sk-SK"/>
        </w:rPr>
        <w:tab/>
      </w:r>
    </w:p>
    <w:p w:rsidR="00A94FDC" w:rsidRPr="007B3F7D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k nariadeniu vlády č. ..../2021 Z. z.</w:t>
      </w: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Údaje poskytované podľa § 5b odseku 1 zákona 578/2004 Z. z.</w:t>
      </w:r>
    </w:p>
    <w:p w:rsidR="00A94FDC" w:rsidRPr="007B3F7D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3"/>
        </w:numPr>
        <w:ind w:left="425" w:hanging="357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Samosprávne kraje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 sprístupnia údaje o poskytovateľoch všeobecnej ambulantnej starostlivosti s povolením na výkon činnosti na území samosprávneho kraja  v rozsahu: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IČO poskytovateľa všeobecnej ambulantnej starostlivosti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názov poskytovateľa všeobecnej ambulantnej starostlivosti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všetky kódy poskytovateľa zdravotnej starostlivosti 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všetky adresy miesta poskytovania všeobecnej ambulantnej starostlivosti v rozsahu:</w:t>
      </w:r>
    </w:p>
    <w:p w:rsidR="00A94FDC" w:rsidRPr="007B3F7D" w:rsidRDefault="00A94FDC" w:rsidP="00A94FDC">
      <w:pPr>
        <w:pStyle w:val="Odsekzoznamu"/>
        <w:numPr>
          <w:ilvl w:val="2"/>
          <w:numId w:val="23"/>
        </w:numPr>
        <w:ind w:left="1701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kód obce</w:t>
      </w:r>
    </w:p>
    <w:p w:rsidR="00A94FDC" w:rsidRPr="007B3F7D" w:rsidRDefault="00A94FDC" w:rsidP="00A94FDC">
      <w:pPr>
        <w:pStyle w:val="Odsekzoznamu"/>
        <w:numPr>
          <w:ilvl w:val="2"/>
          <w:numId w:val="23"/>
        </w:numPr>
        <w:ind w:left="1701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názov obce</w:t>
      </w:r>
    </w:p>
    <w:p w:rsidR="00A94FDC" w:rsidRPr="007B3F7D" w:rsidRDefault="00A94FDC" w:rsidP="00A94FDC">
      <w:pPr>
        <w:pStyle w:val="Odsekzoznamu"/>
        <w:numPr>
          <w:ilvl w:val="2"/>
          <w:numId w:val="23"/>
        </w:numPr>
        <w:ind w:left="1701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okres</w:t>
      </w:r>
    </w:p>
    <w:p w:rsidR="00A94FDC" w:rsidRPr="007B3F7D" w:rsidRDefault="00A94FDC" w:rsidP="00A94FDC">
      <w:pPr>
        <w:pStyle w:val="Odsekzoznamu"/>
        <w:numPr>
          <w:ilvl w:val="2"/>
          <w:numId w:val="23"/>
        </w:numPr>
        <w:ind w:left="1701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kraj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údaje všeobecného lekára, ktorý vykonáva zdravotnícke povolanie u poskytovateľa všeobecnej ambulantnej starostlivosti v rozsahu: 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meno a priezvisko všeobecného lekára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špecializácia 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kód zdravotníckeho pracovníka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vek lekára podľa roku narodenia lekára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výška úväzku lekára na ambulancii všeobecnej ambulantnej starostlivosti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údaje sestry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alebo zdravotníckeho asistenta</w:t>
      </w: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, ktorý vykonáva zdravotnícke povolanie u poskytovateľa všeobecnej ambulantnej starostlivosti v rozsahu: 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meno a priezvisko 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špecializácia 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>
        <w:rPr>
          <w:rFonts w:ascii="Arial Narrow" w:hAnsi="Arial Narrow"/>
          <w:bCs/>
          <w:sz w:val="20"/>
          <w:szCs w:val="20"/>
          <w:shd w:val="clear" w:color="auto" w:fill="FFFFFF"/>
        </w:rPr>
        <w:t>číslo</w:t>
      </w: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registrácie </w:t>
      </w: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zdravotníckeho pracovníka</w:t>
      </w:r>
      <w:r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v príslušnej komore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vek podľa roku narodenia </w:t>
      </w:r>
    </w:p>
    <w:p w:rsidR="00A94FDC" w:rsidRPr="007B3F7D" w:rsidRDefault="00A94FDC" w:rsidP="00A94FDC">
      <w:pPr>
        <w:pStyle w:val="Odsekzoznamu"/>
        <w:numPr>
          <w:ilvl w:val="1"/>
          <w:numId w:val="28"/>
        </w:numPr>
        <w:ind w:left="184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výška úväzku na ambulancii všeobecnej ambulantnej starostlivosti</w:t>
      </w:r>
    </w:p>
    <w:p w:rsidR="00A94FDC" w:rsidRPr="007B3F7D" w:rsidRDefault="00A94FDC" w:rsidP="00A94FDC">
      <w:pPr>
        <w:pStyle w:val="Odsekzoznamu"/>
        <w:ind w:left="1701"/>
        <w:rPr>
          <w:rFonts w:ascii="Arial Narrow" w:hAnsi="Arial Narrow"/>
          <w:bCs/>
          <w:sz w:val="20"/>
          <w:szCs w:val="20"/>
          <w:shd w:val="clear" w:color="auto" w:fill="FFFFFF"/>
        </w:rPr>
      </w:pPr>
    </w:p>
    <w:p w:rsidR="00A94FDC" w:rsidRPr="007B3F7D" w:rsidRDefault="00A94FDC" w:rsidP="00A94FDC">
      <w:pPr>
        <w:pStyle w:val="Odsekzoznamu"/>
        <w:numPr>
          <w:ilvl w:val="0"/>
          <w:numId w:val="23"/>
        </w:numPr>
        <w:ind w:left="426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Úrad pre dohľad nad zdravotnou starostlivosťou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sprístupní údaje o poistencoch v rozsahu: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okres trvalého pobytu poistencov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počet poistencov podľa vekových skupín uvedených v časti E)</w:t>
      </w:r>
    </w:p>
    <w:p w:rsidR="00A94FDC" w:rsidRPr="007B3F7D" w:rsidRDefault="00A94FDC" w:rsidP="00A94FDC">
      <w:pPr>
        <w:pStyle w:val="Odsekzoznamu"/>
        <w:ind w:left="993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3"/>
        </w:numPr>
        <w:ind w:left="426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Národné centrum zdravotníckych informácií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sprístupní údaje o 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poistencoch v rozsahu: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IČO poskytovateľa všeobecnej ambulantnej starostlivosti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kód poskytovateľa zdravotnej starostlivosti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kód všeobecného lekára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počet </w:t>
      </w:r>
      <w:proofErr w:type="spellStart"/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kapitovaných</w:t>
      </w:r>
      <w:proofErr w:type="spellEnd"/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 podľa vekových skupín uvedených v časti E)</w:t>
      </w:r>
    </w:p>
    <w:p w:rsidR="00A94FDC" w:rsidRPr="007B3F7D" w:rsidRDefault="00A94FDC" w:rsidP="00A94FDC">
      <w:pPr>
        <w:pStyle w:val="Odsekzoznamu"/>
        <w:ind w:left="993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3"/>
        </w:numPr>
        <w:ind w:left="426"/>
        <w:contextualSpacing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Zdravotné poisťovne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sprístupnia údaje poistencoch, ktorí nemajú uzavretú zmluvu o poskytovaní zdravotnej starostlivosti s poskytovateľom všeobecnej ambulantnej starostlivosti podľa osobitného zákona</w:t>
      </w:r>
      <w:r w:rsidRPr="007B3F7D">
        <w:rPr>
          <w:rStyle w:val="Odkaznapoznmkupodiarou"/>
          <w:rFonts w:ascii="Arial Narrow" w:hAnsi="Arial Narrow"/>
          <w:sz w:val="20"/>
          <w:szCs w:val="20"/>
          <w:lang w:eastAsia="sk-SK"/>
        </w:rPr>
        <w:footnoteReference w:id="2"/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(ďalej len „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nekapitovaní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poistenci“) v rozsahu:</w:t>
      </w:r>
    </w:p>
    <w:p w:rsidR="00A94FDC" w:rsidRPr="007B3F7D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okres trvalého pobytu </w:t>
      </w:r>
      <w:proofErr w:type="spellStart"/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nekapitovaných</w:t>
      </w:r>
      <w:proofErr w:type="spellEnd"/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</w:t>
      </w:r>
    </w:p>
    <w:p w:rsidR="00A94FDC" w:rsidRDefault="00A94FDC" w:rsidP="00A94FDC">
      <w:pPr>
        <w:pStyle w:val="Odsekzoznamu"/>
        <w:numPr>
          <w:ilvl w:val="1"/>
          <w:numId w:val="23"/>
        </w:numPr>
        <w:ind w:left="993"/>
        <w:contextualSpacing/>
        <w:jc w:val="both"/>
        <w:rPr>
          <w:rFonts w:ascii="Arial Narrow" w:hAnsi="Arial Narrow"/>
          <w:bCs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počet </w:t>
      </w:r>
      <w:proofErr w:type="spellStart"/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>nekapitovaných</w:t>
      </w:r>
      <w:proofErr w:type="spellEnd"/>
      <w:r w:rsidRPr="007B3F7D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poistencov podľa vekových skupín uvedených v časti E)</w:t>
      </w:r>
    </w:p>
    <w:p w:rsidR="00A94FDC" w:rsidRPr="007B3F7D" w:rsidRDefault="00A94FDC" w:rsidP="00A94FDC">
      <w:pPr>
        <w:pStyle w:val="Odsekzoznamu"/>
        <w:ind w:left="993"/>
        <w:rPr>
          <w:rFonts w:ascii="Arial Narrow" w:hAnsi="Arial Narrow"/>
          <w:bCs/>
          <w:sz w:val="20"/>
          <w:szCs w:val="20"/>
          <w:shd w:val="clear" w:color="auto" w:fill="FFFFFF"/>
        </w:rPr>
      </w:pPr>
    </w:p>
    <w:p w:rsidR="00A94FDC" w:rsidRPr="007B3F7D" w:rsidRDefault="00A94FDC" w:rsidP="00A94FDC">
      <w:pPr>
        <w:pStyle w:val="Odsekzoznamu"/>
        <w:numPr>
          <w:ilvl w:val="0"/>
          <w:numId w:val="23"/>
        </w:numPr>
        <w:ind w:left="426"/>
        <w:contextualSpacing/>
        <w:jc w:val="both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Vekové skupiny poistencov</w:t>
      </w:r>
    </w:p>
    <w:tbl>
      <w:tblPr>
        <w:tblW w:w="311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9"/>
      </w:tblGrid>
      <w:tr w:rsidR="00A94FDC" w:rsidRPr="007B3F7D" w:rsidTr="00537D5F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Poradové číslo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Cs/>
                <w:color w:val="000000"/>
                <w:sz w:val="20"/>
                <w:szCs w:val="20"/>
                <w:lang w:eastAsia="sk-SK"/>
              </w:rPr>
              <w:t>Veková skupina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0 - 4 roky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5 - 9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10 - 14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15 - 19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20 - 24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25 - 29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30 - 34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35 - 39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40 - 44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45 - 49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50 - 54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55 - 59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60 - 64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65 - 69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70 - 74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75 - 79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80 - 84 rokov</w:t>
            </w:r>
          </w:p>
        </w:tc>
      </w:tr>
      <w:tr w:rsidR="00A94FDC" w:rsidRPr="007B3F7D" w:rsidTr="00537D5F">
        <w:trPr>
          <w:trHeight w:val="28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C" w:rsidRPr="007B3F7D" w:rsidRDefault="00A94FDC" w:rsidP="00537D5F">
            <w:pPr>
              <w:spacing w:after="0" w:line="240" w:lineRule="auto"/>
              <w:ind w:left="113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ind w:left="113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  <w:t>85 a viac rokov</w:t>
            </w:r>
          </w:p>
        </w:tc>
      </w:tr>
    </w:tbl>
    <w:p w:rsidR="00A94FDC" w:rsidRPr="007B3F7D" w:rsidRDefault="00A94FDC" w:rsidP="00A94FDC">
      <w:pPr>
        <w:pStyle w:val="Odsekzoznamu"/>
        <w:ind w:left="426"/>
        <w:rPr>
          <w:rFonts w:ascii="Arial Narrow" w:hAnsi="Arial Narrow"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Príloha č. 4</w:t>
      </w:r>
      <w:r w:rsidRPr="007B3F7D">
        <w:rPr>
          <w:rFonts w:ascii="Arial Narrow" w:hAnsi="Arial Narrow"/>
          <w:b/>
          <w:sz w:val="20"/>
          <w:szCs w:val="20"/>
          <w:lang w:eastAsia="sk-SK"/>
        </w:rPr>
        <w:tab/>
      </w: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k nariadeniu vlády č...../2021  Z. z.</w:t>
      </w:r>
    </w:p>
    <w:p w:rsidR="00A94FDC" w:rsidRPr="007B3F7D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Zverejňovanie výsledkov vyhodnocovania stavu siete</w:t>
      </w:r>
    </w:p>
    <w:p w:rsidR="00A94FDC" w:rsidRPr="007B3F7D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ind w:left="357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Výsledky vyhodnocovania stavu siete sa zverejnia samostatne pre všeobecnú ambulantnú starostlivosť a všeobecnú ambulantnú starostlivosť pre deti a dorast v nasledujúcej forme a v rozsahu:</w:t>
      </w:r>
    </w:p>
    <w:p w:rsidR="00A94FDC" w:rsidRPr="007B3F7D" w:rsidRDefault="00A94FDC" w:rsidP="00A94FDC">
      <w:pPr>
        <w:pStyle w:val="Odsekzoznamu"/>
        <w:numPr>
          <w:ilvl w:val="0"/>
          <w:numId w:val="31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vyplnená tabuľka č. 1</w:t>
      </w:r>
    </w:p>
    <w:p w:rsidR="00A94FDC" w:rsidRPr="007B3F7D" w:rsidRDefault="00A94FDC" w:rsidP="00A94FDC">
      <w:pPr>
        <w:pStyle w:val="Odsekzoznamu"/>
        <w:numPr>
          <w:ilvl w:val="0"/>
          <w:numId w:val="31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mapa miestnej dostupnosti zdravotnej starostlivosti s farebným označením:</w:t>
      </w:r>
    </w:p>
    <w:p w:rsidR="00A94FDC" w:rsidRPr="007B3F7D" w:rsidRDefault="00A94FDC" w:rsidP="00A94FDC">
      <w:pPr>
        <w:pStyle w:val="Odsekzoznamu"/>
        <w:numPr>
          <w:ilvl w:val="1"/>
          <w:numId w:val="31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zelenou farbou pre obce so zabezpečenou miestnou dostupnosťou</w:t>
      </w:r>
    </w:p>
    <w:p w:rsidR="00A94FDC" w:rsidRPr="007B3F7D" w:rsidRDefault="00A94FDC" w:rsidP="00A94FDC">
      <w:pPr>
        <w:pStyle w:val="Odsekzoznamu"/>
        <w:numPr>
          <w:ilvl w:val="1"/>
          <w:numId w:val="31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červenou farbou pre obce, ktoré nemajú zabezpečenú miestnu dostupnosť</w:t>
      </w:r>
    </w:p>
    <w:p w:rsidR="00A94FDC" w:rsidRPr="007B3F7D" w:rsidRDefault="00A94FDC" w:rsidP="00A94FDC">
      <w:pPr>
        <w:pStyle w:val="Odsekzoznamu"/>
        <w:numPr>
          <w:ilvl w:val="0"/>
          <w:numId w:val="31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mapa kapacitnej priepustnosti s farebným označením:</w:t>
      </w:r>
    </w:p>
    <w:p w:rsidR="00A94FDC" w:rsidRPr="007B3F7D" w:rsidRDefault="00A94FDC" w:rsidP="00A94FDC">
      <w:pPr>
        <w:pStyle w:val="Odsekzoznamu"/>
        <w:numPr>
          <w:ilvl w:val="1"/>
          <w:numId w:val="31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zelenou farbou pre okresy, v ktorých  kapacitná priepustnosť dosahuje aspoň 100 percent</w:t>
      </w:r>
    </w:p>
    <w:p w:rsidR="00A94FDC" w:rsidRPr="007B3F7D" w:rsidRDefault="00A94FDC" w:rsidP="00A94FDC">
      <w:pPr>
        <w:pStyle w:val="Odsekzoznamu"/>
        <w:numPr>
          <w:ilvl w:val="1"/>
          <w:numId w:val="31"/>
        </w:numPr>
        <w:contextualSpacing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červenou farbou pre okresy, v ktorých je kapacitná priepustnosť menšia ako 100 percent.</w:t>
      </w:r>
    </w:p>
    <w:p w:rsidR="00A94FDC" w:rsidRPr="007B3F7D" w:rsidRDefault="00A94FDC" w:rsidP="00A94FDC">
      <w:pPr>
        <w:spacing w:after="0" w:line="240" w:lineRule="auto"/>
        <w:contextualSpacing/>
        <w:rPr>
          <w:rFonts w:ascii="Arial Narrow" w:hAnsi="Arial Narrow"/>
          <w:b/>
          <w:sz w:val="20"/>
          <w:szCs w:val="20"/>
          <w:lang w:eastAsia="sk-SK"/>
        </w:rPr>
        <w:sectPr w:rsidR="00A94FDC" w:rsidRPr="007B3F7D" w:rsidSect="00E14E9E"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:rsidR="00A94FDC" w:rsidRPr="007B3F7D" w:rsidRDefault="00A94FDC" w:rsidP="00A94FDC">
      <w:pPr>
        <w:spacing w:after="0" w:line="240" w:lineRule="auto"/>
        <w:ind w:left="-567"/>
        <w:contextualSpacing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lastRenderedPageBreak/>
        <w:t>Tabuľka č. 1</w:t>
      </w:r>
    </w:p>
    <w:tbl>
      <w:tblPr>
        <w:tblW w:w="1530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760"/>
        <w:gridCol w:w="2560"/>
        <w:gridCol w:w="1160"/>
        <w:gridCol w:w="1237"/>
        <w:gridCol w:w="1517"/>
        <w:gridCol w:w="1170"/>
        <w:gridCol w:w="1301"/>
        <w:gridCol w:w="1520"/>
      </w:tblGrid>
      <w:tr w:rsidR="00A94FDC" w:rsidRPr="007B3F7D" w:rsidTr="00537D5F">
        <w:trPr>
          <w:trHeight w:val="399"/>
          <w:tblHeader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OKRES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Počet lekárskych miest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Vnútroštátna </w:t>
            </w: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br/>
              <w:t>migrácia (§ 4 ods. 12)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Obce s nezabezpečenou miestnou dostupnosťou (§ 4 ods. 7)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Parametre klasifikácie okresov</w:t>
            </w:r>
          </w:p>
        </w:tc>
      </w:tr>
      <w:tr w:rsidR="00A94FDC" w:rsidRPr="007B3F7D" w:rsidTr="00537D5F">
        <w:trPr>
          <w:trHeight w:val="684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Minimálna sieť poskytovateľov </w:t>
            </w: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br/>
              <w:t>všeobecnej ambulantnej starostlivosti (§ 4 ods. 5)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Verejná sieť poskytovateľov, </w:t>
            </w: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br/>
              <w:t>ktorí poskytujú všeobecnú ambulantnú starostlivosť (§ 4 ods. 6)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Neobsadené lekárske miesta (§ 4 ods. 8) 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Miestna dostupnosť (§ 4 ods. 9)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Demografická štruktúra lekárov (§ 4 ods. 10)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Kapacitná priepustnosť (§ 4 ods. 11)</w:t>
            </w: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Bánovce nad Bebravou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Bardejov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Bytča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Čadca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Dolný Kubín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Dunajská Streda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Galanta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Gelnica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Hlohovec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276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Humenné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Ilava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Kežmarok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Komárno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Košice + Košice - okolie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Krupina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Kysucké Nové Mesto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Levice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Levoča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Liptovský Mikuláš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Malacky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Martin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Medzilaborce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Michalovce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Myjava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Námestovo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Nitra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Nové Mesto nad Váhom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Nové Zámky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Partizánske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Pezinok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Piešťany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Poltár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Poprad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Považská Bystrica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Prievidza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Púchov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Revúca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Rimavská Sobota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Rožňava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Ružomberok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Sabinov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Senec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Senica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Skalica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Snina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Sobrance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Spišská Nová Ves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Stará Ľubovňa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Stropkov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Svidník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Šaľa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Topoľčany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Trebišov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Trenčín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Trnava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Turčianske Teplice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Tvrdošín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Vranov nad Topľou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Zlaté Moravce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Žarnovica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  <w:tr w:rsidR="00A94FDC" w:rsidRPr="007B3F7D" w:rsidTr="00537D5F">
        <w:trPr>
          <w:trHeight w:val="321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FDC" w:rsidRPr="007B3F7D" w:rsidRDefault="00A94FDC" w:rsidP="00537D5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B3F7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sk-SK"/>
              </w:rPr>
              <w:t>Žilina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FDC" w:rsidRPr="007B3F7D" w:rsidRDefault="00A94FDC" w:rsidP="00537D5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94FDC" w:rsidRPr="007B3F7D" w:rsidRDefault="00A94FDC" w:rsidP="00A94FDC">
      <w:pPr>
        <w:pStyle w:val="Odsekzoznamu"/>
        <w:ind w:left="-142" w:right="-737" w:hanging="425"/>
        <w:rPr>
          <w:rFonts w:ascii="Arial Narrow" w:hAnsi="Arial Narrow"/>
          <w:i/>
          <w:sz w:val="20"/>
          <w:szCs w:val="20"/>
          <w:lang w:eastAsia="sk-SK"/>
        </w:rPr>
      </w:pPr>
    </w:p>
    <w:p w:rsidR="00A94FDC" w:rsidRPr="007B3F7D" w:rsidRDefault="00A94FDC" w:rsidP="00A94FDC">
      <w:pPr>
        <w:spacing w:after="0" w:line="240" w:lineRule="auto"/>
        <w:contextualSpacing/>
        <w:rPr>
          <w:rFonts w:ascii="Arial Narrow" w:hAnsi="Arial Narrow"/>
          <w:b/>
          <w:sz w:val="20"/>
          <w:szCs w:val="20"/>
          <w:lang w:eastAsia="sk-SK"/>
        </w:rPr>
        <w:sectPr w:rsidR="00A94FDC" w:rsidRPr="007B3F7D" w:rsidSect="00E14E9E">
          <w:pgSz w:w="16838" w:h="11906" w:orient="landscape"/>
          <w:pgMar w:top="993" w:right="1417" w:bottom="991" w:left="1417" w:header="708" w:footer="708" w:gutter="0"/>
          <w:cols w:space="708"/>
          <w:docGrid w:linePitch="360"/>
        </w:sectPr>
      </w:pP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lastRenderedPageBreak/>
        <w:t xml:space="preserve">Príloha č. 5 </w:t>
      </w: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k nariadeniu vlády č...../2021  Z. z.</w:t>
      </w:r>
    </w:p>
    <w:p w:rsidR="00A94FDC" w:rsidRPr="007B3F7D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Počet lekárskych miest vo verejnej sieti poskytovateľov všeobecnej ambulantnej starostlivosti v</w:t>
      </w:r>
      <w:r>
        <w:rPr>
          <w:rFonts w:ascii="Arial Narrow" w:hAnsi="Arial Narrow"/>
          <w:b/>
          <w:sz w:val="20"/>
          <w:szCs w:val="20"/>
          <w:lang w:eastAsia="sk-SK"/>
        </w:rPr>
        <w:t> </w:t>
      </w:r>
      <w:r w:rsidRPr="007B3F7D">
        <w:rPr>
          <w:rFonts w:ascii="Arial Narrow" w:hAnsi="Arial Narrow"/>
          <w:b/>
          <w:sz w:val="20"/>
          <w:szCs w:val="20"/>
          <w:lang w:eastAsia="sk-SK"/>
        </w:rPr>
        <w:t>okrese</w:t>
      </w:r>
    </w:p>
    <w:p w:rsidR="00A94FDC" w:rsidRPr="007B3F7D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5"/>
        </w:numPr>
        <w:ind w:left="425" w:hanging="357"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 xml:space="preserve">Počet lekárskych miest vo verejnej sieti poskytovateľov všeobecnej ambulantnej starostlivosti </w:t>
      </w:r>
      <w:r w:rsidRPr="007B3F7D">
        <w:rPr>
          <w:rFonts w:ascii="Arial Narrow" w:hAnsi="Arial Narrow"/>
          <w:sz w:val="20"/>
          <w:szCs w:val="20"/>
        </w:rPr>
        <w:t xml:space="preserve"> sa stanoví pre územie okresu samostatne pre poskytovateľov všeobecnej starostlivosti pre dospelých a verejnú sieť pre deti a dorast pomocou nasledovného postupu: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 w:hanging="357"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Zadanie výšky úväzkov všeobecného lekára na jednotlivých ambulanciách všeobecnej ambulantnej starostlivosti, a to samostatne pre každú zdravotnú poisťovňu.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 w:hanging="357"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Výber úväzku z tej zdravotnej poisťovne, v ktorej je evidovaný najvyšší úväzok (ďalej ako „maximálny úväzok).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 w:hanging="357"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Súčet všetkých maximálnych úväzkov všeobecného lekára</w:t>
      </w:r>
      <w:r w:rsidRPr="007B3F7D">
        <w:rPr>
          <w:rFonts w:ascii="Arial Narrow" w:hAnsi="Arial Narrow"/>
          <w:sz w:val="20"/>
          <w:szCs w:val="20"/>
        </w:rPr>
        <w:t xml:space="preserve"> na všetkých ambulanciách a u všetkých </w:t>
      </w:r>
      <w:r w:rsidRPr="007B3F7D">
        <w:rPr>
          <w:rFonts w:ascii="Arial Narrow" w:hAnsi="Arial Narrow"/>
          <w:sz w:val="20"/>
          <w:szCs w:val="20"/>
          <w:shd w:val="clear" w:color="auto" w:fill="FFFFFF"/>
        </w:rPr>
        <w:t>poskytovateľov</w:t>
      </w:r>
      <w:r w:rsidRPr="007B3F7D">
        <w:rPr>
          <w:rFonts w:ascii="Arial Narrow" w:hAnsi="Arial Narrow"/>
          <w:sz w:val="20"/>
          <w:szCs w:val="20"/>
        </w:rPr>
        <w:t xml:space="preserve"> všeobecnej ambulantnej starostlivosti. 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 w:hanging="357"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Výpočet percentuálneho podielu maximálnych úväzkov lekára na jednotlivých ambulanciách z celkového súčtu všetkých maximálnych úväzkov lekára.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/>
        <w:contextualSpacing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Ak je súčet všetkých maximálnych úväzkov lekára väčší ako 1,00, súčet maximálnych úväzkov sa stanoví ako hodnota 1,00.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 w:hanging="357"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Výpočet výšky úväzku všeobecného lekára na jednotlivých ambulanciách ako percentuálny podiel súčtu všetkých maximálnych úväzkov (ďalej ako „výsledný úväzok“).</w:t>
      </w:r>
    </w:p>
    <w:p w:rsidR="00A94FDC" w:rsidRPr="007B3F7D" w:rsidRDefault="00A94FDC" w:rsidP="00A94FDC">
      <w:pPr>
        <w:pStyle w:val="Odsekzoznamu"/>
        <w:numPr>
          <w:ilvl w:val="1"/>
          <w:numId w:val="26"/>
        </w:numPr>
        <w:ind w:left="1134"/>
        <w:contextualSpacing/>
        <w:jc w:val="both"/>
        <w:rPr>
          <w:rFonts w:ascii="Arial Narrow" w:hAnsi="Arial Narrow"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  <w:shd w:val="clear" w:color="auto" w:fill="FFFFFF"/>
        </w:rPr>
        <w:t>Súčet výsledných úväzkov všetkých všeobecných lekárov predstavuje počet lekárskych miest vo verejnej sieti poskytovateľov, ktorí prevádzkujú všeobecnú ambulantnú starostlivosť (ďalej ako „kapacita siete“):</w:t>
      </w:r>
    </w:p>
    <w:p w:rsidR="00A94FDC" w:rsidRPr="007B3F7D" w:rsidRDefault="00A94FDC" w:rsidP="00A94FDC">
      <w:pPr>
        <w:pStyle w:val="Odsekzoznamu"/>
        <w:ind w:left="1134"/>
        <w:jc w:val="center"/>
        <w:rPr>
          <w:rFonts w:ascii="Arial Narrow" w:hAnsi="Arial Narrow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KAPACITA=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LM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1…n</m:t>
                </m:r>
              </m:sub>
            </m:sSub>
          </m:e>
        </m:nary>
      </m:oMath>
      <w:r w:rsidRPr="007B3F7D">
        <w:rPr>
          <w:rFonts w:ascii="Arial Narrow" w:hAnsi="Arial Narrow"/>
          <w:sz w:val="20"/>
          <w:szCs w:val="20"/>
        </w:rPr>
        <w:t xml:space="preserve"> </w:t>
      </w:r>
    </w:p>
    <w:p w:rsidR="00A94FDC" w:rsidRPr="007B3F7D" w:rsidRDefault="00A94FDC" w:rsidP="00A94FDC">
      <w:pPr>
        <w:spacing w:after="0" w:line="240" w:lineRule="auto"/>
        <w:rPr>
          <w:rFonts w:ascii="Arial Narrow" w:hAnsi="Arial Narrow"/>
          <w:b/>
          <w:bCs/>
          <w:i/>
          <w:sz w:val="20"/>
          <w:szCs w:val="20"/>
          <w:shd w:val="clear" w:color="auto" w:fill="FFFFFF"/>
        </w:rPr>
      </w:pP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Príloha č. 6</w:t>
      </w:r>
      <w:r w:rsidRPr="007B3F7D">
        <w:rPr>
          <w:rFonts w:ascii="Arial Narrow" w:hAnsi="Arial Narrow"/>
          <w:b/>
          <w:sz w:val="20"/>
          <w:szCs w:val="20"/>
          <w:lang w:eastAsia="sk-SK"/>
        </w:rPr>
        <w:tab/>
      </w:r>
    </w:p>
    <w:p w:rsidR="00A94FDC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k nariadeniu vlády č...../2021  Z. z.</w:t>
      </w:r>
    </w:p>
    <w:p w:rsidR="00A94FDC" w:rsidRPr="007B3F7D" w:rsidRDefault="00A94FDC" w:rsidP="00A94FD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  <w:r w:rsidRPr="007B3F7D">
        <w:rPr>
          <w:rFonts w:ascii="Arial Narrow" w:hAnsi="Arial Narrow"/>
          <w:b/>
          <w:sz w:val="20"/>
          <w:szCs w:val="20"/>
          <w:lang w:eastAsia="sk-SK"/>
        </w:rPr>
        <w:t>Výpočet hodnôt vnútroštátnej migrácie</w:t>
      </w:r>
    </w:p>
    <w:p w:rsidR="00A94FDC" w:rsidRPr="007B3F7D" w:rsidRDefault="00A94FDC" w:rsidP="00A94FDC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sz w:val="20"/>
          <w:szCs w:val="20"/>
        </w:rPr>
        <w:t xml:space="preserve">Vnútroštátna migrácia sa v okrese </w:t>
      </w:r>
      <w:r w:rsidRPr="007B3F7D">
        <w:rPr>
          <w:rFonts w:ascii="Arial Narrow" w:hAnsi="Arial Narrow"/>
          <w:sz w:val="20"/>
          <w:szCs w:val="20"/>
          <w:lang w:eastAsia="sk-SK"/>
        </w:rPr>
        <w:t>stanoví samostatne pre minimálnu sieť pre dospelých a minimálnu sieť pre deti a dorast podľa vzorca</w:t>
      </w:r>
    </w:p>
    <w:p w:rsidR="00A94FDC" w:rsidRPr="007B3F7D" w:rsidRDefault="00A94FDC" w:rsidP="00A94FDC">
      <w:pPr>
        <w:spacing w:after="0" w:line="240" w:lineRule="auto"/>
        <w:rPr>
          <w:rFonts w:ascii="Arial Narrow" w:hAnsi="Arial Narrow"/>
          <w:sz w:val="20"/>
          <w:szCs w:val="20"/>
          <w:shd w:val="clear" w:color="auto" w:fill="FFFFFF"/>
        </w:rPr>
      </w:pPr>
      <m:oMathPara>
        <m:oMath>
          <m:r>
            <w:rPr>
              <w:rFonts w:ascii="Cambria Math" w:eastAsiaTheme="minorEastAsia" w:hAnsi="Cambria Math"/>
              <w:sz w:val="20"/>
              <w:szCs w:val="20"/>
            </w:rPr>
            <m:t xml:space="preserve">MIG= </m:t>
          </m:r>
          <m:f>
            <m:f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0"/>
                  <w:szCs w:val="20"/>
                </w:rPr>
                <m:t># PKAP+# PNKAP</m:t>
              </m:r>
              <m:r>
                <w:rPr>
                  <w:rFonts w:ascii="Cambria Math" w:eastAsiaTheme="minorEastAsia" w:hAnsi="Cambria Math"/>
                  <w:color w:val="FF0000"/>
                  <w:sz w:val="20"/>
                  <w:szCs w:val="20"/>
                </w:rPr>
                <m:t xml:space="preserve"> </m:t>
              </m:r>
            </m:num>
            <m:den>
              <m:r>
                <w:rPr>
                  <w:rFonts w:ascii="Cambria Math" w:eastAsiaTheme="minorEastAsia" w:hAnsi="Cambria Math"/>
                  <w:sz w:val="20"/>
                  <w:szCs w:val="20"/>
                </w:rPr>
                <m:t># PPOI</m:t>
              </m:r>
            </m:den>
          </m:f>
          <m:r>
            <w:rPr>
              <w:rFonts w:ascii="Cambria Math" w:eastAsiaTheme="minorEastAsia" w:hAnsi="Cambria Math"/>
              <w:sz w:val="20"/>
              <w:szCs w:val="20"/>
            </w:rPr>
            <m:t>-1</m:t>
          </m:r>
        </m:oMath>
      </m:oMathPara>
    </w:p>
    <w:tbl>
      <w:tblPr>
        <w:tblStyle w:val="Mriekatabuky"/>
        <w:tblW w:w="8926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933"/>
      </w:tblGrid>
      <w:tr w:rsidR="00A94FDC" w:rsidRPr="007B3F7D" w:rsidTr="00537D5F">
        <w:tc>
          <w:tcPr>
            <w:tcW w:w="993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# PKAP</w:t>
            </w:r>
          </w:p>
        </w:tc>
        <w:tc>
          <w:tcPr>
            <w:tcW w:w="7933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počet prepočítaných </w:t>
            </w:r>
            <w:proofErr w:type="spellStart"/>
            <w:r w:rsidRPr="007B3F7D">
              <w:rPr>
                <w:rFonts w:ascii="Arial Narrow" w:hAnsi="Arial Narrow"/>
                <w:i/>
              </w:rPr>
              <w:t>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vypočítaný podľa bodu 1.1.</w:t>
            </w:r>
          </w:p>
        </w:tc>
      </w:tr>
      <w:tr w:rsidR="00A94FDC" w:rsidRPr="007B3F7D" w:rsidTr="00537D5F">
        <w:tc>
          <w:tcPr>
            <w:tcW w:w="993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# PNKAP</w:t>
            </w:r>
          </w:p>
        </w:tc>
        <w:tc>
          <w:tcPr>
            <w:tcW w:w="7933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počet prepočítaných </w:t>
            </w:r>
            <w:proofErr w:type="spellStart"/>
            <w:r w:rsidRPr="007B3F7D">
              <w:rPr>
                <w:rFonts w:ascii="Arial Narrow" w:hAnsi="Arial Narrow"/>
                <w:i/>
              </w:rPr>
              <w:t>nekapitovaných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vypočítaný podľa bodu 1.2.</w:t>
            </w:r>
          </w:p>
        </w:tc>
      </w:tr>
      <w:tr w:rsidR="00A94FDC" w:rsidRPr="007B3F7D" w:rsidTr="00537D5F">
        <w:tc>
          <w:tcPr>
            <w:tcW w:w="993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# PPOI</w:t>
            </w:r>
          </w:p>
        </w:tc>
        <w:tc>
          <w:tcPr>
            <w:tcW w:w="7933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počet prepočítaných poistencov </w:t>
            </w:r>
            <w:r>
              <w:rPr>
                <w:rFonts w:ascii="Arial Narrow" w:hAnsi="Arial Narrow"/>
                <w:i/>
              </w:rPr>
              <w:t xml:space="preserve">v okrese </w:t>
            </w:r>
            <w:r w:rsidRPr="007B3F7D">
              <w:rPr>
                <w:rFonts w:ascii="Arial Narrow" w:hAnsi="Arial Narrow"/>
                <w:i/>
              </w:rPr>
              <w:t>podľa prílohy č. 2 ods. 3.</w:t>
            </w:r>
          </w:p>
        </w:tc>
      </w:tr>
    </w:tbl>
    <w:p w:rsidR="00A94FDC" w:rsidRPr="007B3F7D" w:rsidRDefault="00A94FDC" w:rsidP="00A94FDC">
      <w:pPr>
        <w:spacing w:after="0" w:line="240" w:lineRule="auto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1"/>
          <w:numId w:val="27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 xml:space="preserve">Počet prepočítaných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poistencov sa vypočíta podľa vzorca</w:t>
      </w:r>
    </w:p>
    <w:p w:rsidR="00A94FDC" w:rsidRPr="007B3F7D" w:rsidRDefault="00A94FDC" w:rsidP="00A94FDC">
      <w:pPr>
        <w:pStyle w:val="Odsekzoznamu"/>
        <w:tabs>
          <w:tab w:val="left" w:pos="5103"/>
        </w:tabs>
        <w:ind w:left="360"/>
        <w:jc w:val="center"/>
        <w:rPr>
          <w:rFonts w:ascii="Arial Narrow" w:hAnsi="Arial Narrow"/>
          <w:sz w:val="20"/>
          <w:szCs w:val="20"/>
          <w:lang w:eastAsia="sk-SK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# PKAP=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PKAP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vek1-18</m:t>
                </m:r>
              </m:sub>
            </m:sSub>
          </m:e>
        </m:nary>
      </m:oMath>
      <w:r w:rsidRPr="007B3F7D">
        <w:rPr>
          <w:rFonts w:ascii="Arial Narrow" w:hAnsi="Arial Narrow"/>
          <w:sz w:val="20"/>
          <w:szCs w:val="20"/>
          <w:lang w:eastAsia="sk-SK"/>
        </w:rPr>
        <w:t xml:space="preserve"> </w:t>
      </w:r>
    </w:p>
    <w:tbl>
      <w:tblPr>
        <w:tblStyle w:val="Mriekatabuky"/>
        <w:tblW w:w="921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8074"/>
      </w:tblGrid>
      <w:tr w:rsidR="00A94FDC" w:rsidRPr="007B3F7D" w:rsidTr="00537D5F">
        <w:tc>
          <w:tcPr>
            <w:tcW w:w="1139" w:type="dxa"/>
          </w:tcPr>
          <w:p w:rsidR="00A94FDC" w:rsidRPr="007B3F7D" w:rsidRDefault="00A94FDC" w:rsidP="00537D5F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color w:val="202122"/>
              </w:rPr>
            </w:pPr>
            <w:r w:rsidRPr="007B3F7D">
              <w:rPr>
                <w:rFonts w:ascii="Arial Narrow" w:hAnsi="Arial Narrow"/>
                <w:color w:val="202122"/>
              </w:rPr>
              <w:t xml:space="preserve"> </w:t>
            </w:r>
            <w:r w:rsidRPr="007B3F7D">
              <w:rPr>
                <w:rFonts w:ascii="Arial Narrow" w:eastAsia="Times New Roman" w:hAnsi="Arial Narrow"/>
                <w:color w:val="202122"/>
              </w:rPr>
              <w:t>∑</w:t>
            </w:r>
            <w:r w:rsidRPr="007B3F7D">
              <w:rPr>
                <w:rFonts w:ascii="Arial Narrow" w:hAnsi="Arial Narrow"/>
                <w:i/>
              </w:rPr>
              <w:t xml:space="preserve"> </w:t>
            </w:r>
            <w:proofErr w:type="spellStart"/>
            <w:r w:rsidRPr="007B3F7D">
              <w:rPr>
                <w:rFonts w:ascii="Arial Narrow" w:hAnsi="Arial Narrow"/>
                <w:i/>
              </w:rPr>
              <w:t>PKAP</w:t>
            </w:r>
            <w:r w:rsidRPr="007B3F7D">
              <w:rPr>
                <w:rFonts w:ascii="Arial Narrow" w:hAnsi="Arial Narrow"/>
                <w:i/>
                <w:vertAlign w:val="subscript"/>
              </w:rPr>
              <w:t>vek</w:t>
            </w:r>
            <w:proofErr w:type="spellEnd"/>
          </w:p>
        </w:tc>
        <w:tc>
          <w:tcPr>
            <w:tcW w:w="8074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súčet počtu prepočítaných </w:t>
            </w:r>
            <w:proofErr w:type="spellStart"/>
            <w:r w:rsidRPr="007B3F7D">
              <w:rPr>
                <w:rFonts w:ascii="Arial Narrow" w:hAnsi="Arial Narrow"/>
                <w:i/>
              </w:rPr>
              <w:t>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všetkých vekových skupín uvedených v prílohe č. 3, časť E)</w:t>
            </w:r>
          </w:p>
        </w:tc>
      </w:tr>
    </w:tbl>
    <w:p w:rsidR="00A94FDC" w:rsidRPr="007B3F7D" w:rsidRDefault="00A94FDC" w:rsidP="00A94FDC">
      <w:pPr>
        <w:spacing w:after="0" w:line="240" w:lineRule="auto"/>
        <w:jc w:val="center"/>
        <w:rPr>
          <w:rFonts w:ascii="Arial Narrow" w:eastAsiaTheme="minorEastAsia" w:hAnsi="Arial Narrow"/>
          <w:i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</w:rPr>
        <w:t>a</w:t>
      </w:r>
    </w:p>
    <w:p w:rsidR="00A94FDC" w:rsidRPr="007B3F7D" w:rsidRDefault="00A94FDC" w:rsidP="00A94FDC">
      <w:pPr>
        <w:spacing w:after="0" w:line="240" w:lineRule="auto"/>
        <w:ind w:left="709"/>
        <w:rPr>
          <w:rFonts w:ascii="Arial Narrow" w:eastAsiaTheme="minorEastAsia" w:hAnsi="Arial Narrow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# PKAP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vek1-18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# KAP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vek1-18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INDEX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vek1-18</m:t>
              </m:r>
            </m:sub>
          </m:sSub>
        </m:oMath>
      </m:oMathPara>
    </w:p>
    <w:tbl>
      <w:tblPr>
        <w:tblStyle w:val="Mriekatabu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938"/>
      </w:tblGrid>
      <w:tr w:rsidR="00A94FDC" w:rsidRPr="007B3F7D" w:rsidTr="00537D5F">
        <w:tc>
          <w:tcPr>
            <w:tcW w:w="1275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# KAP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938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počet </w:t>
            </w:r>
            <w:proofErr w:type="spellStart"/>
            <w:r w:rsidRPr="007B3F7D">
              <w:rPr>
                <w:rFonts w:ascii="Arial Narrow" w:hAnsi="Arial Narrow"/>
                <w:i/>
              </w:rPr>
              <w:t>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v príslušnej vekovej skupine</w:t>
            </w:r>
            <w:r>
              <w:rPr>
                <w:rFonts w:ascii="Arial Narrow" w:hAnsi="Arial Narrow"/>
                <w:i/>
              </w:rPr>
              <w:t xml:space="preserve"> podľa bodu 1.3</w:t>
            </w:r>
            <w:r w:rsidRPr="007B3F7D">
              <w:rPr>
                <w:rFonts w:ascii="Arial Narrow" w:hAnsi="Arial Narrow"/>
                <w:i/>
              </w:rPr>
              <w:t xml:space="preserve">.  </w:t>
            </w:r>
          </w:p>
        </w:tc>
      </w:tr>
      <w:tr w:rsidR="00A94FDC" w:rsidRPr="007B3F7D" w:rsidTr="00537D5F">
        <w:tc>
          <w:tcPr>
            <w:tcW w:w="1275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INDEX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938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>- hodnota indexu náročnosti poistenca príslušnej vekovej skupiny podľa prílohy č. 2 ods. 4.</w:t>
            </w:r>
          </w:p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</w:p>
        </w:tc>
      </w:tr>
    </w:tbl>
    <w:p w:rsidR="00A94FDC" w:rsidRPr="007B3F7D" w:rsidRDefault="00A94FDC" w:rsidP="00A94FDC">
      <w:pPr>
        <w:pStyle w:val="Odsekzoznamu"/>
        <w:numPr>
          <w:ilvl w:val="1"/>
          <w:numId w:val="27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 xml:space="preserve">Počet prepočítaných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poistencov sa vypočíta podľa vzorca</w:t>
      </w:r>
    </w:p>
    <w:p w:rsidR="00A94FDC" w:rsidRPr="007B3F7D" w:rsidRDefault="00A94FDC" w:rsidP="00A94FDC">
      <w:pPr>
        <w:pStyle w:val="Odsekzoznamu"/>
        <w:ind w:left="792"/>
        <w:jc w:val="center"/>
        <w:rPr>
          <w:rFonts w:ascii="Arial Narrow" w:hAnsi="Arial Narrow"/>
          <w:sz w:val="20"/>
          <w:szCs w:val="20"/>
          <w:lang w:eastAsia="sk-SK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# PNKAP=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PNKAP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vek1-18</m:t>
                </m:r>
              </m:sub>
            </m:sSub>
          </m:e>
        </m:nary>
      </m:oMath>
      <w:r w:rsidRPr="007B3F7D">
        <w:rPr>
          <w:rFonts w:ascii="Arial Narrow" w:hAnsi="Arial Narrow"/>
          <w:sz w:val="20"/>
          <w:szCs w:val="20"/>
          <w:lang w:eastAsia="sk-SK"/>
        </w:rPr>
        <w:t xml:space="preserve"> </w:t>
      </w:r>
    </w:p>
    <w:tbl>
      <w:tblPr>
        <w:tblStyle w:val="Mriekatabuky"/>
        <w:tblW w:w="921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7791"/>
      </w:tblGrid>
      <w:tr w:rsidR="00A94FDC" w:rsidRPr="007B3F7D" w:rsidTr="00537D5F">
        <w:tc>
          <w:tcPr>
            <w:tcW w:w="1422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9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eastAsia="Times New Roman" w:hAnsi="Arial Narrow"/>
                <w:color w:val="202122"/>
              </w:rPr>
              <w:t>∑</w:t>
            </w:r>
            <w:r w:rsidRPr="007B3F7D">
              <w:rPr>
                <w:rFonts w:ascii="Arial Narrow" w:hAnsi="Arial Narrow"/>
                <w:i/>
              </w:rPr>
              <w:t xml:space="preserve"> PNKAP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791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9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súčet počtu prepočítaných </w:t>
            </w:r>
            <w:proofErr w:type="spellStart"/>
            <w:r w:rsidRPr="007B3F7D">
              <w:rPr>
                <w:rFonts w:ascii="Arial Narrow" w:hAnsi="Arial Narrow"/>
                <w:i/>
              </w:rPr>
              <w:t>nekapitovaných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všetkých vekových skupín uvedených v prílohe č. 3, časť E)</w:t>
            </w:r>
          </w:p>
        </w:tc>
      </w:tr>
    </w:tbl>
    <w:p w:rsidR="00A94FDC" w:rsidRPr="007B3F7D" w:rsidRDefault="00A94FDC" w:rsidP="00A94FDC">
      <w:pPr>
        <w:spacing w:after="0" w:line="240" w:lineRule="auto"/>
        <w:jc w:val="center"/>
        <w:rPr>
          <w:rFonts w:ascii="Arial Narrow" w:eastAsiaTheme="minorEastAsia" w:hAnsi="Arial Narrow"/>
          <w:i/>
          <w:sz w:val="20"/>
          <w:szCs w:val="20"/>
        </w:rPr>
      </w:pPr>
      <w:r w:rsidRPr="007B3F7D">
        <w:rPr>
          <w:rFonts w:ascii="Arial Narrow" w:hAnsi="Arial Narrow"/>
          <w:sz w:val="20"/>
          <w:szCs w:val="20"/>
        </w:rPr>
        <w:t>a</w:t>
      </w:r>
    </w:p>
    <w:p w:rsidR="00A94FDC" w:rsidRPr="007B3F7D" w:rsidRDefault="00A94FDC" w:rsidP="00A94FDC">
      <w:pPr>
        <w:spacing w:after="0" w:line="240" w:lineRule="auto"/>
        <w:ind w:left="709"/>
        <w:rPr>
          <w:rFonts w:ascii="Arial Narrow" w:eastAsiaTheme="minorEastAsia" w:hAnsi="Arial Narrow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# PNKAP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vek1-18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# NKAP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vek1-18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INDEX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vek1-18</m:t>
              </m:r>
            </m:sub>
          </m:sSub>
        </m:oMath>
      </m:oMathPara>
    </w:p>
    <w:tbl>
      <w:tblPr>
        <w:tblStyle w:val="Mriekatabu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7938"/>
      </w:tblGrid>
      <w:tr w:rsidR="00A94FDC" w:rsidRPr="007B3F7D" w:rsidTr="00537D5F">
        <w:tc>
          <w:tcPr>
            <w:tcW w:w="1275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# NKAP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938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počet </w:t>
            </w:r>
            <w:proofErr w:type="spellStart"/>
            <w:r w:rsidRPr="007B3F7D">
              <w:rPr>
                <w:rFonts w:ascii="Arial Narrow" w:hAnsi="Arial Narrow"/>
                <w:i/>
              </w:rPr>
              <w:t>nekapitovaných</w:t>
            </w:r>
            <w:proofErr w:type="spellEnd"/>
            <w:r w:rsidRPr="007B3F7D">
              <w:rPr>
                <w:rFonts w:ascii="Arial Narrow" w:hAnsi="Arial Narrow"/>
                <w:i/>
              </w:rPr>
              <w:t xml:space="preserve"> poistencov v príslušnej vekovej skupine podľa bodu 1.</w:t>
            </w:r>
            <w:r>
              <w:rPr>
                <w:rFonts w:ascii="Arial Narrow" w:hAnsi="Arial Narrow"/>
                <w:i/>
              </w:rPr>
              <w:t>4</w:t>
            </w:r>
            <w:r w:rsidRPr="007B3F7D">
              <w:rPr>
                <w:rFonts w:ascii="Arial Narrow" w:hAnsi="Arial Narrow"/>
                <w:i/>
              </w:rPr>
              <w:t xml:space="preserve">.  </w:t>
            </w:r>
          </w:p>
        </w:tc>
      </w:tr>
      <w:tr w:rsidR="00A94FDC" w:rsidRPr="007B3F7D" w:rsidTr="00537D5F">
        <w:tc>
          <w:tcPr>
            <w:tcW w:w="1275" w:type="dxa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 Narrow" w:hAnsi="Arial Narrow"/>
                <w:i/>
                <w:vertAlign w:val="subscript"/>
              </w:rPr>
            </w:pPr>
            <w:r w:rsidRPr="007B3F7D">
              <w:rPr>
                <w:rFonts w:ascii="Arial Narrow" w:hAnsi="Arial Narrow"/>
                <w:i/>
              </w:rPr>
              <w:t>INDEX</w:t>
            </w:r>
            <w:r w:rsidRPr="007B3F7D">
              <w:rPr>
                <w:rFonts w:ascii="Arial Narrow" w:hAnsi="Arial Narrow"/>
                <w:i/>
                <w:vertAlign w:val="subscript"/>
              </w:rPr>
              <w:t>vek1-18</w:t>
            </w:r>
          </w:p>
        </w:tc>
        <w:tc>
          <w:tcPr>
            <w:tcW w:w="7938" w:type="dxa"/>
            <w:vAlign w:val="center"/>
          </w:tcPr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hanging="108"/>
              <w:rPr>
                <w:rFonts w:ascii="Arial Narrow" w:hAnsi="Arial Narrow"/>
                <w:i/>
              </w:rPr>
            </w:pPr>
            <w:r w:rsidRPr="007B3F7D">
              <w:rPr>
                <w:rFonts w:ascii="Arial Narrow" w:hAnsi="Arial Narrow"/>
                <w:i/>
              </w:rPr>
              <w:t xml:space="preserve">- hodnota indexu náročnosti poistenca príslušnej vekovej skupiny podľa prílohy č. 2 ods. 4, </w:t>
            </w:r>
          </w:p>
          <w:p w:rsidR="00A94FDC" w:rsidRPr="007B3F7D" w:rsidRDefault="00A94FDC" w:rsidP="00537D5F">
            <w:pPr>
              <w:tabs>
                <w:tab w:val="left" w:pos="1134"/>
              </w:tabs>
              <w:spacing w:after="0" w:line="240" w:lineRule="auto"/>
              <w:ind w:left="-108"/>
              <w:rPr>
                <w:rFonts w:ascii="Arial Narrow" w:hAnsi="Arial Narrow"/>
                <w:i/>
              </w:rPr>
            </w:pPr>
          </w:p>
        </w:tc>
      </w:tr>
    </w:tbl>
    <w:p w:rsidR="00A94FDC" w:rsidRPr="007B3F7D" w:rsidRDefault="00A94FDC" w:rsidP="00A94FDC">
      <w:pPr>
        <w:pStyle w:val="Odsekzoznamu"/>
        <w:numPr>
          <w:ilvl w:val="1"/>
          <w:numId w:val="27"/>
        </w:numPr>
        <w:jc w:val="both"/>
        <w:rPr>
          <w:rFonts w:ascii="Arial Narrow" w:hAnsi="Arial Narrow"/>
          <w:sz w:val="20"/>
          <w:szCs w:val="20"/>
          <w:lang w:eastAsia="sk-SK"/>
        </w:rPr>
      </w:pPr>
      <w:r>
        <w:rPr>
          <w:rFonts w:ascii="Arial Narrow" w:hAnsi="Arial Narrow"/>
          <w:sz w:val="20"/>
          <w:szCs w:val="20"/>
          <w:lang w:eastAsia="sk-SK"/>
        </w:rPr>
        <w:t xml:space="preserve">Kohortu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poistencov pre výpočet </w:t>
      </w:r>
    </w:p>
    <w:p w:rsidR="00A94FDC" w:rsidRPr="007B3F7D" w:rsidRDefault="00A94FDC" w:rsidP="00A94FDC">
      <w:pPr>
        <w:pStyle w:val="Odsekzoznamu"/>
        <w:numPr>
          <w:ilvl w:val="2"/>
          <w:numId w:val="24"/>
        </w:numPr>
        <w:ind w:left="1225" w:hanging="505"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migrácie v minimálnej s</w:t>
      </w:r>
      <w:r>
        <w:rPr>
          <w:rFonts w:ascii="Arial Narrow" w:hAnsi="Arial Narrow"/>
          <w:sz w:val="20"/>
          <w:szCs w:val="20"/>
          <w:lang w:eastAsia="sk-SK"/>
        </w:rPr>
        <w:t xml:space="preserve">ieti pre dospelých tvoria poistenci </w:t>
      </w:r>
      <w:proofErr w:type="spellStart"/>
      <w:r>
        <w:rPr>
          <w:rFonts w:ascii="Arial Narrow" w:hAnsi="Arial Narrow"/>
          <w:sz w:val="20"/>
          <w:szCs w:val="20"/>
          <w:lang w:eastAsia="sk-SK"/>
        </w:rPr>
        <w:t>kapitovaní</w:t>
      </w:r>
      <w:proofErr w:type="spellEnd"/>
      <w:r>
        <w:rPr>
          <w:rFonts w:ascii="Arial Narrow" w:hAnsi="Arial Narrow"/>
          <w:sz w:val="20"/>
          <w:szCs w:val="20"/>
          <w:lang w:eastAsia="sk-SK"/>
        </w:rPr>
        <w:t xml:space="preserve"> u poskytovateľov všeobecnej ambulantnej starostlivosti pre dospelých s miestom poskytovania všeobecnej ambulantnej starostlivosti pre dospelých v okrese.</w:t>
      </w:r>
    </w:p>
    <w:p w:rsidR="00A94FDC" w:rsidRPr="007B3F7D" w:rsidRDefault="00A94FDC" w:rsidP="00A94FDC">
      <w:pPr>
        <w:pStyle w:val="Odsekzoznamu"/>
        <w:numPr>
          <w:ilvl w:val="2"/>
          <w:numId w:val="24"/>
        </w:numPr>
        <w:ind w:left="1225" w:hanging="505"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lastRenderedPageBreak/>
        <w:t>migrácie v minimálnej s</w:t>
      </w:r>
      <w:r>
        <w:rPr>
          <w:rFonts w:ascii="Arial Narrow" w:hAnsi="Arial Narrow"/>
          <w:sz w:val="20"/>
          <w:szCs w:val="20"/>
          <w:lang w:eastAsia="sk-SK"/>
        </w:rPr>
        <w:t xml:space="preserve">ieti pre deti a dorast tvoria poistenci </w:t>
      </w:r>
      <w:proofErr w:type="spellStart"/>
      <w:r>
        <w:rPr>
          <w:rFonts w:ascii="Arial Narrow" w:hAnsi="Arial Narrow"/>
          <w:sz w:val="20"/>
          <w:szCs w:val="20"/>
          <w:lang w:eastAsia="sk-SK"/>
        </w:rPr>
        <w:t>kapitovaní</w:t>
      </w:r>
      <w:proofErr w:type="spellEnd"/>
      <w:r>
        <w:rPr>
          <w:rFonts w:ascii="Arial Narrow" w:hAnsi="Arial Narrow"/>
          <w:sz w:val="20"/>
          <w:szCs w:val="20"/>
          <w:lang w:eastAsia="sk-SK"/>
        </w:rPr>
        <w:t xml:space="preserve"> u poskytovateľov všeobecnej ambulantnej starostlivosti pre deti a dorast s miestom poskytovania všeobecnej ambulantnej starostlivosti pre deti a dorast v okrese.</w:t>
      </w:r>
    </w:p>
    <w:p w:rsidR="00A94FDC" w:rsidRDefault="00A94FDC" w:rsidP="00A94FDC">
      <w:pPr>
        <w:pStyle w:val="Odsekzoznamu"/>
        <w:ind w:left="792"/>
        <w:jc w:val="both"/>
        <w:rPr>
          <w:rFonts w:ascii="Arial Narrow" w:hAnsi="Arial Narrow"/>
          <w:sz w:val="20"/>
          <w:szCs w:val="20"/>
          <w:lang w:eastAsia="sk-SK"/>
        </w:rPr>
      </w:pPr>
    </w:p>
    <w:p w:rsidR="00A94FDC" w:rsidRPr="007B3F7D" w:rsidRDefault="00A94FDC" w:rsidP="00A94FDC">
      <w:pPr>
        <w:pStyle w:val="Odsekzoznamu"/>
        <w:numPr>
          <w:ilvl w:val="1"/>
          <w:numId w:val="27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 xml:space="preserve">Kohortu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poistencov pre výpočet </w:t>
      </w:r>
    </w:p>
    <w:p w:rsidR="00A94FDC" w:rsidRPr="007B3F7D" w:rsidRDefault="00A94FDC" w:rsidP="00A94FDC">
      <w:pPr>
        <w:pStyle w:val="Odsekzoznamu"/>
        <w:numPr>
          <w:ilvl w:val="2"/>
          <w:numId w:val="24"/>
        </w:numPr>
        <w:ind w:left="1225" w:hanging="505"/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migrácie v minimálnej siet</w:t>
      </w:r>
      <w:r>
        <w:rPr>
          <w:rFonts w:ascii="Arial Narrow" w:hAnsi="Arial Narrow"/>
          <w:sz w:val="20"/>
          <w:szCs w:val="20"/>
          <w:lang w:eastAsia="sk-SK"/>
        </w:rPr>
        <w:t>i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pre dospelých tvorí polovica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poistencov vo veku 19 až 24 rokov s trvalým pobytom v okrese spolu so všetkými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nekapitovanými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poistencami vo veku 25 a viac rokov s trvalým pobytom v okrese.</w:t>
      </w:r>
    </w:p>
    <w:p w:rsidR="00A94FDC" w:rsidRPr="007B3F7D" w:rsidRDefault="00A94FDC" w:rsidP="00A94FDC">
      <w:pPr>
        <w:pStyle w:val="Odsekzoznamu"/>
        <w:numPr>
          <w:ilvl w:val="2"/>
          <w:numId w:val="24"/>
        </w:numPr>
        <w:jc w:val="both"/>
        <w:rPr>
          <w:rFonts w:ascii="Arial Narrow" w:hAnsi="Arial Narrow"/>
          <w:sz w:val="20"/>
          <w:szCs w:val="20"/>
          <w:lang w:eastAsia="sk-SK"/>
        </w:rPr>
      </w:pPr>
      <w:r w:rsidRPr="007B3F7D">
        <w:rPr>
          <w:rFonts w:ascii="Arial Narrow" w:hAnsi="Arial Narrow"/>
          <w:sz w:val="20"/>
          <w:szCs w:val="20"/>
          <w:lang w:eastAsia="sk-SK"/>
        </w:rPr>
        <w:t>migrácie v minimálnej siet</w:t>
      </w:r>
      <w:r>
        <w:rPr>
          <w:rFonts w:ascii="Arial Narrow" w:hAnsi="Arial Narrow"/>
          <w:sz w:val="20"/>
          <w:szCs w:val="20"/>
          <w:lang w:eastAsia="sk-SK"/>
        </w:rPr>
        <w:t>i</w:t>
      </w:r>
      <w:r w:rsidRPr="007B3F7D">
        <w:rPr>
          <w:rFonts w:ascii="Arial Narrow" w:hAnsi="Arial Narrow"/>
          <w:sz w:val="20"/>
          <w:szCs w:val="20"/>
          <w:lang w:eastAsia="sk-SK"/>
        </w:rPr>
        <w:t xml:space="preserve"> pre deti a dorast tvoria všetci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nekapitovaní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poistenci do veku 18 rokov ako s trvalým pobytom v okrese a spolu s polovicou </w:t>
      </w:r>
      <w:proofErr w:type="spellStart"/>
      <w:r w:rsidRPr="007B3F7D">
        <w:rPr>
          <w:rFonts w:ascii="Arial Narrow" w:hAnsi="Arial Narrow"/>
          <w:sz w:val="20"/>
          <w:szCs w:val="20"/>
          <w:lang w:eastAsia="sk-SK"/>
        </w:rPr>
        <w:t>nekapitovaných</w:t>
      </w:r>
      <w:proofErr w:type="spellEnd"/>
      <w:r w:rsidRPr="007B3F7D">
        <w:rPr>
          <w:rFonts w:ascii="Arial Narrow" w:hAnsi="Arial Narrow"/>
          <w:sz w:val="20"/>
          <w:szCs w:val="20"/>
          <w:lang w:eastAsia="sk-SK"/>
        </w:rPr>
        <w:t xml:space="preserve"> poistencov vo veku 19 až 24 rokov s trvalým pobytom v okrese.</w:t>
      </w:r>
    </w:p>
    <w:p w:rsidR="00A94FDC" w:rsidRPr="007B3F7D" w:rsidRDefault="00A94FDC" w:rsidP="00A94FDC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sz w:val="20"/>
          <w:szCs w:val="20"/>
        </w:rPr>
        <w:t>Vnútroštátna migrácia môže nadobúdať kladné aj záporné hodnoty.</w:t>
      </w:r>
    </w:p>
    <w:p w:rsidR="00A94FDC" w:rsidRPr="007B3F7D" w:rsidRDefault="00A94FDC" w:rsidP="00A94FDC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sz w:val="20"/>
          <w:szCs w:val="20"/>
          <w:shd w:val="clear" w:color="auto" w:fill="FFFFFF"/>
        </w:rPr>
      </w:pPr>
      <w:r w:rsidRPr="007B3F7D">
        <w:rPr>
          <w:rFonts w:ascii="Arial Narrow" w:hAnsi="Arial Narrow"/>
          <w:sz w:val="20"/>
          <w:szCs w:val="20"/>
        </w:rPr>
        <w:t xml:space="preserve">Vnútroštátna migrácia sa zohľadňuje iba v prípade, ak je priemer súčtu prepočítaných </w:t>
      </w:r>
      <w:proofErr w:type="spellStart"/>
      <w:r w:rsidRPr="007B3F7D">
        <w:rPr>
          <w:rFonts w:ascii="Arial Narrow" w:hAnsi="Arial Narrow"/>
          <w:sz w:val="20"/>
          <w:szCs w:val="20"/>
        </w:rPr>
        <w:t>kapitovaných</w:t>
      </w:r>
      <w:proofErr w:type="spellEnd"/>
      <w:r w:rsidRPr="007B3F7D">
        <w:rPr>
          <w:rFonts w:ascii="Arial Narrow" w:hAnsi="Arial Narrow"/>
          <w:sz w:val="20"/>
          <w:szCs w:val="20"/>
        </w:rPr>
        <w:t xml:space="preserve"> poistencov a prepočítaných </w:t>
      </w:r>
      <w:proofErr w:type="spellStart"/>
      <w:r w:rsidRPr="007B3F7D">
        <w:rPr>
          <w:rFonts w:ascii="Arial Narrow" w:hAnsi="Arial Narrow"/>
          <w:sz w:val="20"/>
          <w:szCs w:val="20"/>
        </w:rPr>
        <w:t>nekapitovaných</w:t>
      </w:r>
      <w:proofErr w:type="spellEnd"/>
      <w:r w:rsidRPr="007B3F7D">
        <w:rPr>
          <w:rFonts w:ascii="Arial Narrow" w:hAnsi="Arial Narrow"/>
          <w:sz w:val="20"/>
          <w:szCs w:val="20"/>
        </w:rPr>
        <w:t xml:space="preserve"> poistencov (zaokrúhlený na stovky) v okrese na jedno lekárske miesto nižší ako normatív počtu </w:t>
      </w:r>
      <w:proofErr w:type="spellStart"/>
      <w:r w:rsidRPr="007B3F7D">
        <w:rPr>
          <w:rFonts w:ascii="Arial Narrow" w:hAnsi="Arial Narrow"/>
          <w:sz w:val="20"/>
          <w:szCs w:val="20"/>
        </w:rPr>
        <w:t>kapitantov</w:t>
      </w:r>
      <w:proofErr w:type="spellEnd"/>
      <w:r w:rsidRPr="007B3F7D">
        <w:rPr>
          <w:rFonts w:ascii="Arial Narrow" w:hAnsi="Arial Narrow"/>
          <w:sz w:val="20"/>
          <w:szCs w:val="20"/>
        </w:rPr>
        <w:t>.</w:t>
      </w:r>
    </w:p>
    <w:p w:rsidR="00A94FDC" w:rsidRPr="005D3DEF" w:rsidRDefault="00A94FDC" w:rsidP="00A94FDC">
      <w:pPr>
        <w:spacing w:after="0" w:line="240" w:lineRule="auto"/>
        <w:rPr>
          <w:b/>
          <w:bCs/>
          <w:i/>
          <w:sz w:val="24"/>
          <w:szCs w:val="24"/>
          <w:shd w:val="clear" w:color="auto" w:fill="FFFFFF"/>
        </w:rPr>
      </w:pPr>
    </w:p>
    <w:p w:rsidR="00A94FDC" w:rsidRPr="005D3DEF" w:rsidRDefault="00A94FDC" w:rsidP="00A94FDC">
      <w:pPr>
        <w:spacing w:after="0" w:line="240" w:lineRule="auto"/>
        <w:rPr>
          <w:b/>
          <w:bCs/>
          <w:i/>
          <w:sz w:val="24"/>
          <w:szCs w:val="24"/>
          <w:shd w:val="clear" w:color="auto" w:fill="FFFFFF"/>
        </w:rPr>
      </w:pPr>
    </w:p>
    <w:p w:rsidR="00A94FDC" w:rsidRPr="005D3DEF" w:rsidRDefault="00A94FDC" w:rsidP="00A94FDC">
      <w:pPr>
        <w:spacing w:after="0" w:line="240" w:lineRule="auto"/>
        <w:rPr>
          <w:b/>
          <w:bCs/>
          <w:i/>
          <w:sz w:val="24"/>
          <w:szCs w:val="24"/>
          <w:shd w:val="clear" w:color="auto" w:fill="FFFFFF"/>
        </w:rPr>
      </w:pPr>
    </w:p>
    <w:p w:rsidR="007D44D0" w:rsidRDefault="00F16E59"/>
    <w:sectPr w:rsidR="007D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E59" w:rsidRDefault="00F16E59" w:rsidP="00A94FDC">
      <w:pPr>
        <w:spacing w:after="0" w:line="240" w:lineRule="auto"/>
      </w:pPr>
      <w:r>
        <w:separator/>
      </w:r>
    </w:p>
  </w:endnote>
  <w:endnote w:type="continuationSeparator" w:id="0">
    <w:p w:rsidR="00F16E59" w:rsidRDefault="00F16E59" w:rsidP="00A9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E59" w:rsidRDefault="00F16E59" w:rsidP="00A94FDC">
      <w:pPr>
        <w:spacing w:after="0" w:line="240" w:lineRule="auto"/>
      </w:pPr>
      <w:r>
        <w:separator/>
      </w:r>
    </w:p>
  </w:footnote>
  <w:footnote w:type="continuationSeparator" w:id="0">
    <w:p w:rsidR="00F16E59" w:rsidRDefault="00F16E59" w:rsidP="00A94FDC">
      <w:pPr>
        <w:spacing w:after="0" w:line="240" w:lineRule="auto"/>
      </w:pPr>
      <w:r>
        <w:continuationSeparator/>
      </w:r>
    </w:p>
  </w:footnote>
  <w:footnote w:id="1">
    <w:p w:rsidR="00A94FDC" w:rsidRPr="003D04DA" w:rsidRDefault="00A94FDC" w:rsidP="00A94FDC">
      <w:pPr>
        <w:pStyle w:val="Textpoznmkypodiarou"/>
        <w:tabs>
          <w:tab w:val="left" w:pos="284"/>
        </w:tabs>
        <w:ind w:left="284" w:hanging="284"/>
      </w:pPr>
      <w:r w:rsidRPr="003D04DA">
        <w:rPr>
          <w:rStyle w:val="Odkaznapoznmkupodiarou"/>
        </w:rPr>
        <w:footnoteRef/>
      </w:r>
      <w:r w:rsidRPr="003D04DA">
        <w:t xml:space="preserve">) </w:t>
      </w:r>
      <w:r w:rsidRPr="003D04DA">
        <w:tab/>
        <w:t>§ 3 zákona č. 580/2004  Z. z. o zdravotnom poistení a o zmene a doplnení zákona č. 95/2002 Z. z. o poisťovníctve a o zmene a doplnení niektorých zákonov</w:t>
      </w:r>
    </w:p>
  </w:footnote>
  <w:footnote w:id="2">
    <w:p w:rsidR="00A94FDC" w:rsidRPr="003D04DA" w:rsidRDefault="00A94FDC" w:rsidP="00A94FDC">
      <w:pPr>
        <w:pStyle w:val="Textpoznmkypodiarou"/>
        <w:tabs>
          <w:tab w:val="left" w:pos="284"/>
        </w:tabs>
        <w:ind w:left="284" w:hanging="284"/>
      </w:pPr>
      <w:r w:rsidRPr="003D04DA">
        <w:rPr>
          <w:rStyle w:val="Odkaznapoznmkupodiarou"/>
        </w:rPr>
        <w:footnoteRef/>
      </w:r>
      <w:r w:rsidRPr="003D04DA">
        <w:t>)</w:t>
      </w:r>
      <w:r w:rsidRPr="003D04DA">
        <w:tab/>
      </w:r>
      <w:r w:rsidRPr="003D04DA">
        <w:rPr>
          <w:rStyle w:val="Odkaznapoznmkupodiarou"/>
        </w:rPr>
        <w:t xml:space="preserve"> § 12 zákona č. 576/2004 Z. z.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6A4D2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7DE1A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B6E47"/>
    <w:multiLevelType w:val="hybridMultilevel"/>
    <w:tmpl w:val="936E7996"/>
    <w:lvl w:ilvl="0" w:tplc="2E3AC138">
      <w:start w:val="1"/>
      <w:numFmt w:val="upperLetter"/>
      <w:lvlText w:val="%1)"/>
      <w:lvlJc w:val="left"/>
      <w:pPr>
        <w:ind w:left="928" w:hanging="360"/>
      </w:pPr>
      <w:rPr>
        <w:rFonts w:cs="Times New Roman" w:hint="default"/>
        <w:color w:val="auto"/>
      </w:rPr>
    </w:lvl>
    <w:lvl w:ilvl="1" w:tplc="041B0011">
      <w:start w:val="1"/>
      <w:numFmt w:val="decimal"/>
      <w:lvlText w:val="%2)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1FB32C8"/>
    <w:multiLevelType w:val="hybridMultilevel"/>
    <w:tmpl w:val="8006EC5E"/>
    <w:lvl w:ilvl="0" w:tplc="E9D08AB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2542C"/>
    <w:multiLevelType w:val="hybridMultilevel"/>
    <w:tmpl w:val="F4D04FC8"/>
    <w:lvl w:ilvl="0" w:tplc="6C3E1A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055A7"/>
    <w:multiLevelType w:val="hybridMultilevel"/>
    <w:tmpl w:val="631CB2DA"/>
    <w:lvl w:ilvl="0" w:tplc="37AC3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pStyle w:val="Textpsmene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1D5486F"/>
    <w:multiLevelType w:val="hybridMultilevel"/>
    <w:tmpl w:val="29422A0A"/>
    <w:lvl w:ilvl="0" w:tplc="041B000F">
      <w:start w:val="1"/>
      <w:numFmt w:val="decimal"/>
      <w:lvlText w:val="%1."/>
      <w:lvlJc w:val="left"/>
      <w:pPr>
        <w:ind w:left="1116" w:hanging="360"/>
      </w:pPr>
    </w:lvl>
    <w:lvl w:ilvl="1" w:tplc="041B0019">
      <w:start w:val="1"/>
      <w:numFmt w:val="lowerLetter"/>
      <w:lvlText w:val="%2."/>
      <w:lvlJc w:val="left"/>
      <w:pPr>
        <w:ind w:left="1836" w:hanging="360"/>
      </w:pPr>
    </w:lvl>
    <w:lvl w:ilvl="2" w:tplc="041B001B" w:tentative="1">
      <w:start w:val="1"/>
      <w:numFmt w:val="lowerRoman"/>
      <w:lvlText w:val="%3."/>
      <w:lvlJc w:val="right"/>
      <w:pPr>
        <w:ind w:left="2556" w:hanging="180"/>
      </w:pPr>
    </w:lvl>
    <w:lvl w:ilvl="3" w:tplc="041B000F" w:tentative="1">
      <w:start w:val="1"/>
      <w:numFmt w:val="decimal"/>
      <w:lvlText w:val="%4."/>
      <w:lvlJc w:val="left"/>
      <w:pPr>
        <w:ind w:left="3276" w:hanging="360"/>
      </w:pPr>
    </w:lvl>
    <w:lvl w:ilvl="4" w:tplc="041B0019" w:tentative="1">
      <w:start w:val="1"/>
      <w:numFmt w:val="lowerLetter"/>
      <w:lvlText w:val="%5."/>
      <w:lvlJc w:val="left"/>
      <w:pPr>
        <w:ind w:left="3996" w:hanging="360"/>
      </w:pPr>
    </w:lvl>
    <w:lvl w:ilvl="5" w:tplc="041B001B" w:tentative="1">
      <w:start w:val="1"/>
      <w:numFmt w:val="lowerRoman"/>
      <w:lvlText w:val="%6."/>
      <w:lvlJc w:val="right"/>
      <w:pPr>
        <w:ind w:left="4716" w:hanging="180"/>
      </w:pPr>
    </w:lvl>
    <w:lvl w:ilvl="6" w:tplc="041B000F" w:tentative="1">
      <w:start w:val="1"/>
      <w:numFmt w:val="decimal"/>
      <w:lvlText w:val="%7."/>
      <w:lvlJc w:val="left"/>
      <w:pPr>
        <w:ind w:left="5436" w:hanging="360"/>
      </w:pPr>
    </w:lvl>
    <w:lvl w:ilvl="7" w:tplc="041B0019" w:tentative="1">
      <w:start w:val="1"/>
      <w:numFmt w:val="lowerLetter"/>
      <w:lvlText w:val="%8."/>
      <w:lvlJc w:val="left"/>
      <w:pPr>
        <w:ind w:left="6156" w:hanging="360"/>
      </w:pPr>
    </w:lvl>
    <w:lvl w:ilvl="8" w:tplc="041B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 w15:restartNumberingAfterBreak="0">
    <w:nsid w:val="11F5227B"/>
    <w:multiLevelType w:val="hybridMultilevel"/>
    <w:tmpl w:val="78A4C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95F8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F908D6"/>
    <w:multiLevelType w:val="hybridMultilevel"/>
    <w:tmpl w:val="0D524446"/>
    <w:lvl w:ilvl="0" w:tplc="87206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C2B6D"/>
    <w:multiLevelType w:val="hybridMultilevel"/>
    <w:tmpl w:val="525040A4"/>
    <w:lvl w:ilvl="0" w:tplc="87206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3DF9"/>
    <w:multiLevelType w:val="multilevel"/>
    <w:tmpl w:val="DCAE9A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644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FA367DB"/>
    <w:multiLevelType w:val="hybridMultilevel"/>
    <w:tmpl w:val="4880A69E"/>
    <w:lvl w:ilvl="0" w:tplc="2586F180">
      <w:start w:val="1"/>
      <w:numFmt w:val="decimal"/>
      <w:lvlText w:val="(%1)"/>
      <w:lvlJc w:val="left"/>
      <w:pPr>
        <w:ind w:left="730" w:hanging="3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62AD6"/>
    <w:multiLevelType w:val="hybridMultilevel"/>
    <w:tmpl w:val="FB8A6E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1535A"/>
    <w:multiLevelType w:val="multilevel"/>
    <w:tmpl w:val="BB7619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CF3AEF"/>
    <w:multiLevelType w:val="hybridMultilevel"/>
    <w:tmpl w:val="38DCADB0"/>
    <w:lvl w:ilvl="0" w:tplc="041B0017">
      <w:start w:val="1"/>
      <w:numFmt w:val="lowerLetter"/>
      <w:lvlText w:val="%1)"/>
      <w:lvlJc w:val="left"/>
      <w:pPr>
        <w:ind w:left="812" w:hanging="360"/>
      </w:pPr>
    </w:lvl>
    <w:lvl w:ilvl="1" w:tplc="041B0019" w:tentative="1">
      <w:start w:val="1"/>
      <w:numFmt w:val="lowerLetter"/>
      <w:lvlText w:val="%2."/>
      <w:lvlJc w:val="left"/>
      <w:pPr>
        <w:ind w:left="1532" w:hanging="360"/>
      </w:pPr>
    </w:lvl>
    <w:lvl w:ilvl="2" w:tplc="041B001B" w:tentative="1">
      <w:start w:val="1"/>
      <w:numFmt w:val="lowerRoman"/>
      <w:lvlText w:val="%3."/>
      <w:lvlJc w:val="right"/>
      <w:pPr>
        <w:ind w:left="2252" w:hanging="180"/>
      </w:pPr>
    </w:lvl>
    <w:lvl w:ilvl="3" w:tplc="041B000F" w:tentative="1">
      <w:start w:val="1"/>
      <w:numFmt w:val="decimal"/>
      <w:lvlText w:val="%4."/>
      <w:lvlJc w:val="left"/>
      <w:pPr>
        <w:ind w:left="2972" w:hanging="360"/>
      </w:pPr>
    </w:lvl>
    <w:lvl w:ilvl="4" w:tplc="041B0019" w:tentative="1">
      <w:start w:val="1"/>
      <w:numFmt w:val="lowerLetter"/>
      <w:lvlText w:val="%5."/>
      <w:lvlJc w:val="left"/>
      <w:pPr>
        <w:ind w:left="3692" w:hanging="360"/>
      </w:pPr>
    </w:lvl>
    <w:lvl w:ilvl="5" w:tplc="041B001B" w:tentative="1">
      <w:start w:val="1"/>
      <w:numFmt w:val="lowerRoman"/>
      <w:lvlText w:val="%6."/>
      <w:lvlJc w:val="right"/>
      <w:pPr>
        <w:ind w:left="4412" w:hanging="180"/>
      </w:pPr>
    </w:lvl>
    <w:lvl w:ilvl="6" w:tplc="041B000F" w:tentative="1">
      <w:start w:val="1"/>
      <w:numFmt w:val="decimal"/>
      <w:lvlText w:val="%7."/>
      <w:lvlJc w:val="left"/>
      <w:pPr>
        <w:ind w:left="5132" w:hanging="360"/>
      </w:pPr>
    </w:lvl>
    <w:lvl w:ilvl="7" w:tplc="041B0019" w:tentative="1">
      <w:start w:val="1"/>
      <w:numFmt w:val="lowerLetter"/>
      <w:lvlText w:val="%8."/>
      <w:lvlJc w:val="left"/>
      <w:pPr>
        <w:ind w:left="5852" w:hanging="360"/>
      </w:pPr>
    </w:lvl>
    <w:lvl w:ilvl="8" w:tplc="041B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6" w15:restartNumberingAfterBreak="0">
    <w:nsid w:val="2785483D"/>
    <w:multiLevelType w:val="hybridMultilevel"/>
    <w:tmpl w:val="EBC0A338"/>
    <w:lvl w:ilvl="0" w:tplc="224C4258">
      <w:start w:val="1"/>
      <w:numFmt w:val="lowerLetter"/>
      <w:pStyle w:val="1podsek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9431F6D"/>
    <w:multiLevelType w:val="hybridMultilevel"/>
    <w:tmpl w:val="9FFC2E0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545FAC"/>
    <w:multiLevelType w:val="multilevel"/>
    <w:tmpl w:val="3440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DB00505"/>
    <w:multiLevelType w:val="hybridMultilevel"/>
    <w:tmpl w:val="75BA01C6"/>
    <w:lvl w:ilvl="0" w:tplc="3A10C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602B8"/>
    <w:multiLevelType w:val="multilevel"/>
    <w:tmpl w:val="B5AC3560"/>
    <w:lvl w:ilvl="0">
      <w:start w:val="1"/>
      <w:numFmt w:val="none"/>
      <w:suff w:val="space"/>
      <w:lvlText w:val="(1)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Normlny1"/>
      <w:suff w:val="space"/>
      <w:lvlText w:val="-"/>
      <w:lvlJc w:val="left"/>
      <w:pPr>
        <w:ind w:left="113" w:firstLine="22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68A51E8"/>
    <w:multiLevelType w:val="hybridMultilevel"/>
    <w:tmpl w:val="CB503A3C"/>
    <w:lvl w:ilvl="0" w:tplc="87206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D18C8"/>
    <w:multiLevelType w:val="hybridMultilevel"/>
    <w:tmpl w:val="1D2A2D6A"/>
    <w:lvl w:ilvl="0" w:tplc="FFFFFFFF">
      <w:start w:val="1"/>
      <w:numFmt w:val="bullet"/>
      <w:pStyle w:val="KONC-TEXT-ODRKY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587F71"/>
    <w:multiLevelType w:val="hybridMultilevel"/>
    <w:tmpl w:val="AC4679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AE2BA3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F4AE5"/>
    <w:multiLevelType w:val="hybridMultilevel"/>
    <w:tmpl w:val="C082BE0A"/>
    <w:lvl w:ilvl="0" w:tplc="8514ECA8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3266E908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27379"/>
    <w:multiLevelType w:val="hybridMultilevel"/>
    <w:tmpl w:val="56C65C50"/>
    <w:lvl w:ilvl="0" w:tplc="DCA65DB0">
      <w:start w:val="1"/>
      <w:numFmt w:val="decimal"/>
      <w:pStyle w:val="Styl2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2176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8A7250"/>
    <w:multiLevelType w:val="hybridMultilevel"/>
    <w:tmpl w:val="056AFA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6167E"/>
    <w:multiLevelType w:val="hybridMultilevel"/>
    <w:tmpl w:val="BA2E2518"/>
    <w:lvl w:ilvl="0" w:tplc="8BF0E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80CB7"/>
    <w:multiLevelType w:val="hybridMultilevel"/>
    <w:tmpl w:val="3C1C5E3C"/>
    <w:lvl w:ilvl="0" w:tplc="6B5AC516">
      <w:start w:val="1"/>
      <w:numFmt w:val="upperRoman"/>
      <w:pStyle w:val="Nadpis1"/>
      <w:lvlText w:val="%1."/>
      <w:lvlJc w:val="right"/>
      <w:pPr>
        <w:ind w:left="720" w:hanging="180"/>
      </w:pPr>
    </w:lvl>
    <w:lvl w:ilvl="1" w:tplc="7B3E8924">
      <w:numFmt w:val="bullet"/>
      <w:lvlText w:val="-"/>
      <w:lvlJc w:val="left"/>
      <w:pPr>
        <w:ind w:left="1500" w:hanging="420"/>
      </w:pPr>
      <w:rPr>
        <w:rFonts w:ascii="Arial Narrow" w:eastAsia="Calibri" w:hAnsi="Arial Narrow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B1F98"/>
    <w:multiLevelType w:val="hybridMultilevel"/>
    <w:tmpl w:val="6FE28C7C"/>
    <w:lvl w:ilvl="0" w:tplc="D2F24ABA">
      <w:start w:val="1"/>
      <w:numFmt w:val="bullet"/>
      <w:pStyle w:val="KONC-OBSAH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27C4F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BA3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AE14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4D45A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BAC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3168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3226D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BC17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03488E"/>
    <w:multiLevelType w:val="hybridMultilevel"/>
    <w:tmpl w:val="42C61446"/>
    <w:lvl w:ilvl="0" w:tplc="3D8A57DA">
      <w:start w:val="1"/>
      <w:numFmt w:val="upperLetter"/>
      <w:pStyle w:val="Nadpis2"/>
      <w:lvlText w:val="%1."/>
      <w:lvlJc w:val="left"/>
      <w:pPr>
        <w:ind w:left="9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2" w15:restartNumberingAfterBreak="0">
    <w:nsid w:val="79DA713A"/>
    <w:multiLevelType w:val="hybridMultilevel"/>
    <w:tmpl w:val="BA2E2518"/>
    <w:lvl w:ilvl="0" w:tplc="8BF0E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17"/>
  </w:num>
  <w:num w:numId="5">
    <w:abstractNumId w:val="24"/>
  </w:num>
  <w:num w:numId="6">
    <w:abstractNumId w:val="27"/>
  </w:num>
  <w:num w:numId="7">
    <w:abstractNumId w:val="12"/>
  </w:num>
  <w:num w:numId="8">
    <w:abstractNumId w:val="31"/>
  </w:num>
  <w:num w:numId="9">
    <w:abstractNumId w:val="29"/>
  </w:num>
  <w:num w:numId="10">
    <w:abstractNumId w:val="1"/>
  </w:num>
  <w:num w:numId="11">
    <w:abstractNumId w:val="0"/>
  </w:num>
  <w:num w:numId="12">
    <w:abstractNumId w:val="30"/>
  </w:num>
  <w:num w:numId="13">
    <w:abstractNumId w:val="22"/>
  </w:num>
  <w:num w:numId="14">
    <w:abstractNumId w:val="25"/>
  </w:num>
  <w:num w:numId="15">
    <w:abstractNumId w:val="20"/>
  </w:num>
  <w:num w:numId="16">
    <w:abstractNumId w:val="16"/>
  </w:num>
  <w:num w:numId="17">
    <w:abstractNumId w:val="5"/>
  </w:num>
  <w:num w:numId="18">
    <w:abstractNumId w:val="7"/>
  </w:num>
  <w:num w:numId="19">
    <w:abstractNumId w:val="23"/>
  </w:num>
  <w:num w:numId="20">
    <w:abstractNumId w:val="10"/>
  </w:num>
  <w:num w:numId="21">
    <w:abstractNumId w:val="21"/>
  </w:num>
  <w:num w:numId="22">
    <w:abstractNumId w:val="9"/>
  </w:num>
  <w:num w:numId="23">
    <w:abstractNumId w:val="3"/>
  </w:num>
  <w:num w:numId="24">
    <w:abstractNumId w:val="14"/>
  </w:num>
  <w:num w:numId="25">
    <w:abstractNumId w:val="8"/>
  </w:num>
  <w:num w:numId="26">
    <w:abstractNumId w:val="2"/>
  </w:num>
  <w:num w:numId="27">
    <w:abstractNumId w:val="26"/>
  </w:num>
  <w:num w:numId="28">
    <w:abstractNumId w:val="13"/>
  </w:num>
  <w:num w:numId="29">
    <w:abstractNumId w:val="4"/>
  </w:num>
  <w:num w:numId="30">
    <w:abstractNumId w:val="15"/>
  </w:num>
  <w:num w:numId="31">
    <w:abstractNumId w:val="6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DC"/>
    <w:rsid w:val="000451A5"/>
    <w:rsid w:val="005035CA"/>
    <w:rsid w:val="00A42D9B"/>
    <w:rsid w:val="00A94FDC"/>
    <w:rsid w:val="00AE4B9D"/>
    <w:rsid w:val="00F1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30BC"/>
  <w15:chartTrackingRefBased/>
  <w15:docId w15:val="{46BA5B03-191E-4C72-9178-987F2C95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4FD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Nadpis 1T,NADPIS,Heading 11111,Kapitola,H1,V_Head1,Main Section,MainHeader"/>
    <w:basedOn w:val="Normlny"/>
    <w:next w:val="Normlny"/>
    <w:link w:val="Nadpis1Char"/>
    <w:uiPriority w:val="9"/>
    <w:qFormat/>
    <w:rsid w:val="00A94FDC"/>
    <w:pPr>
      <w:keepNext/>
      <w:numPr>
        <w:numId w:val="9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Nadpis2">
    <w:name w:val="heading 2"/>
    <w:aliases w:val="Nadpis 2T,Podnadpis,F2,F21,H2,Podkapitola1,hlavicka,h2,V_Head2"/>
    <w:basedOn w:val="Obsah2"/>
    <w:next w:val="Normlny"/>
    <w:link w:val="Nadpis2Char"/>
    <w:uiPriority w:val="9"/>
    <w:qFormat/>
    <w:rsid w:val="00A94FDC"/>
    <w:pPr>
      <w:keepNext/>
      <w:numPr>
        <w:numId w:val="8"/>
      </w:numPr>
      <w:spacing w:before="240" w:after="60"/>
      <w:outlineLvl w:val="1"/>
    </w:pPr>
    <w:rPr>
      <w:rFonts w:eastAsia="MS Gothic"/>
      <w:b/>
      <w:bCs/>
      <w:iCs/>
      <w:sz w:val="28"/>
      <w:szCs w:val="28"/>
    </w:rPr>
  </w:style>
  <w:style w:type="paragraph" w:styleId="Nadpis3">
    <w:name w:val="heading 3"/>
    <w:aliases w:val="Záhlaví 3,V_Head3,V_Head31,V_Head32,Podkapitola2,H3,h3,h3 sub heading,(Alt+3),Table Attribute Heading,Heading C,sub Italic,proj3,proj31,proj32,proj33,proj34,proj35,proj36,proj37,proj38,proj39,proj310,proj311,proj312,proj321,proj331,proj341,b,2"/>
    <w:basedOn w:val="Normlny"/>
    <w:next w:val="Normlny"/>
    <w:link w:val="Nadpis3Char"/>
    <w:uiPriority w:val="9"/>
    <w:qFormat/>
    <w:rsid w:val="00A94F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Podkapitola3,Aufgabe"/>
    <w:basedOn w:val="Normlny"/>
    <w:next w:val="Normlny"/>
    <w:link w:val="Nadpis4Char"/>
    <w:uiPriority w:val="99"/>
    <w:qFormat/>
    <w:rsid w:val="00A94FD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A94FDC"/>
    <w:pPr>
      <w:keepNext/>
      <w:tabs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/>
      <w:b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A94FDC"/>
    <w:pPr>
      <w:keepNext/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94FDC"/>
    <w:pPr>
      <w:keepNext/>
      <w:pBdr>
        <w:top w:val="triple" w:sz="4" w:space="1" w:color="auto" w:shadow="1"/>
        <w:left w:val="triple" w:sz="4" w:space="4" w:color="auto" w:shadow="1"/>
        <w:bottom w:val="triple" w:sz="4" w:space="1" w:color="auto" w:shadow="1"/>
        <w:right w:val="triple" w:sz="4" w:space="4" w:color="auto" w:shadow="1"/>
      </w:pBdr>
      <w:shd w:val="clear" w:color="auto" w:fill="008000"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A94FDC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Times New Roman" w:eastAsia="Times New Roman" w:hAnsi="Times New Roman"/>
      <w:b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94FDC"/>
    <w:pPr>
      <w:keepNext/>
      <w:tabs>
        <w:tab w:val="num" w:pos="1584"/>
      </w:tabs>
      <w:spacing w:after="0" w:line="240" w:lineRule="auto"/>
      <w:ind w:left="1584" w:hanging="1584"/>
      <w:outlineLvl w:val="8"/>
    </w:pPr>
    <w:rPr>
      <w:rFonts w:ascii="Times New Roman" w:eastAsia="Times New Roman" w:hAnsi="Times New Roman"/>
      <w:i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1,NADPIS Char1,Heading 11111 Char1,Kapitola Char1,H1 Char1,V_Head1 Char1,Main Section Char1,MainHeader Char"/>
    <w:basedOn w:val="Predvolenpsmoodseku"/>
    <w:link w:val="Nadpis1"/>
    <w:uiPriority w:val="9"/>
    <w:rsid w:val="00A94FDC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Nadpis 2T Char1,Podnadpis Char1,F2 Char1,F21 Char1,H2 Char1,Podkapitola1 Char1,hlavicka Char1,h2 Char1,V_Head2 Char"/>
    <w:basedOn w:val="Predvolenpsmoodseku"/>
    <w:link w:val="Nadpis2"/>
    <w:uiPriority w:val="9"/>
    <w:rsid w:val="00A94FDC"/>
    <w:rPr>
      <w:rFonts w:ascii="Calibri" w:eastAsia="MS Gothic" w:hAnsi="Calibri" w:cs="Times New Roman"/>
      <w:b/>
      <w:bCs/>
      <w:iCs/>
      <w:sz w:val="28"/>
      <w:szCs w:val="28"/>
    </w:rPr>
  </w:style>
  <w:style w:type="character" w:customStyle="1" w:styleId="Nadpis3Char">
    <w:name w:val="Nadpis 3 Char"/>
    <w:aliases w:val="Záhlaví 3 Char,V_Head3 Char,V_Head31 Char,V_Head32 Char,Podkapitola2 Char,H3 Char,h3 Char,h3 sub heading Char,(Alt+3) Char,Table Attribute Heading Char,Heading C Char,sub Italic Char,proj3 Char,proj31 Char,proj32 Char,proj33 Char,b Char"/>
    <w:basedOn w:val="Predvolenpsmoodseku"/>
    <w:link w:val="Nadpis3"/>
    <w:uiPriority w:val="9"/>
    <w:rsid w:val="00A94FDC"/>
    <w:rPr>
      <w:rFonts w:ascii="Arial" w:eastAsia="Calibri" w:hAnsi="Arial" w:cs="Arial"/>
      <w:b/>
      <w:bCs/>
      <w:sz w:val="26"/>
      <w:szCs w:val="26"/>
    </w:rPr>
  </w:style>
  <w:style w:type="character" w:customStyle="1" w:styleId="Nadpis4Char">
    <w:name w:val="Nadpis 4 Char"/>
    <w:aliases w:val="Podkapitola3 Char,Aufgabe Char"/>
    <w:basedOn w:val="Predvolenpsmoodseku"/>
    <w:link w:val="Nadpis4"/>
    <w:uiPriority w:val="99"/>
    <w:rsid w:val="00A94FD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94FDC"/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A94FD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A94FDC"/>
    <w:rPr>
      <w:rFonts w:ascii="Times New Roman" w:eastAsia="Times New Roman" w:hAnsi="Times New Roman" w:cs="Times New Roman"/>
      <w:b/>
      <w:sz w:val="32"/>
      <w:szCs w:val="20"/>
      <w:shd w:val="clear" w:color="auto" w:fill="008000"/>
      <w:lang w:eastAsia="sk-SK"/>
    </w:rPr>
  </w:style>
  <w:style w:type="character" w:customStyle="1" w:styleId="Nadpis8Char">
    <w:name w:val="Nadpis 8 Char"/>
    <w:basedOn w:val="Predvolenpsmoodseku"/>
    <w:link w:val="Nadpis8"/>
    <w:rsid w:val="00A94FD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A94FDC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A94FD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link w:val="Odsekzoznamu"/>
    <w:uiPriority w:val="34"/>
    <w:qFormat/>
    <w:locked/>
    <w:rsid w:val="00A94F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uiPriority w:val="99"/>
    <w:rsid w:val="00A94FDC"/>
    <w:rPr>
      <w:sz w:val="16"/>
      <w:szCs w:val="16"/>
    </w:rPr>
  </w:style>
  <w:style w:type="paragraph" w:styleId="Obsah2">
    <w:name w:val="toc 2"/>
    <w:basedOn w:val="Normlny"/>
    <w:next w:val="Normlny"/>
    <w:autoRedefine/>
    <w:uiPriority w:val="39"/>
    <w:unhideWhenUsed/>
    <w:rsid w:val="00A94FDC"/>
    <w:pPr>
      <w:ind w:left="220"/>
    </w:pPr>
  </w:style>
  <w:style w:type="paragraph" w:customStyle="1" w:styleId="Text2">
    <w:name w:val="Text2"/>
    <w:basedOn w:val="Normlny"/>
    <w:rsid w:val="00A94FDC"/>
    <w:pPr>
      <w:keepNext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8"/>
      <w:szCs w:val="20"/>
      <w:lang w:eastAsia="sk-SK"/>
    </w:rPr>
  </w:style>
  <w:style w:type="paragraph" w:customStyle="1" w:styleId="CharCharCharCharCharCharCharChar">
    <w:name w:val="Char Char Char Char Char Char Char Char"/>
    <w:basedOn w:val="Normlny"/>
    <w:next w:val="Normlny"/>
    <w:rsid w:val="00A94FDC"/>
    <w:pPr>
      <w:tabs>
        <w:tab w:val="num" w:pos="1440"/>
      </w:tabs>
      <w:spacing w:after="0" w:line="240" w:lineRule="auto"/>
      <w:ind w:left="1440" w:hanging="360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Hlavika">
    <w:name w:val="header"/>
    <w:basedOn w:val="Normlny"/>
    <w:link w:val="HlavikaChar"/>
    <w:uiPriority w:val="99"/>
    <w:unhideWhenUsed/>
    <w:rsid w:val="00A94F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4FDC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94F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94FDC"/>
    <w:rPr>
      <w:rFonts w:ascii="Calibri" w:eastAsia="Calibri" w:hAnsi="Calibri" w:cs="Times New Roman"/>
    </w:rPr>
  </w:style>
  <w:style w:type="paragraph" w:styleId="Obsah1">
    <w:name w:val="toc 1"/>
    <w:basedOn w:val="Normlny"/>
    <w:next w:val="Normlny"/>
    <w:autoRedefine/>
    <w:uiPriority w:val="39"/>
    <w:unhideWhenUsed/>
    <w:rsid w:val="00A94FDC"/>
    <w:pPr>
      <w:tabs>
        <w:tab w:val="left" w:pos="351"/>
        <w:tab w:val="right" w:leader="dot" w:pos="9062"/>
      </w:tabs>
    </w:pPr>
  </w:style>
  <w:style w:type="paragraph" w:customStyle="1" w:styleId="Normal1">
    <w:name w:val="Normal1"/>
    <w:basedOn w:val="Normlny"/>
    <w:autoRedefine/>
    <w:rsid w:val="00A94FDC"/>
    <w:pPr>
      <w:spacing w:after="0" w:line="240" w:lineRule="auto"/>
      <w:jc w:val="both"/>
    </w:pPr>
    <w:rPr>
      <w:rFonts w:ascii="Arial" w:eastAsia="Times New Roman" w:hAnsi="Arial"/>
      <w:bCs/>
      <w:lang w:eastAsia="cs-CZ"/>
    </w:rPr>
  </w:style>
  <w:style w:type="character" w:customStyle="1" w:styleId="ra">
    <w:name w:val="ra"/>
    <w:basedOn w:val="Predvolenpsmoodseku"/>
    <w:rsid w:val="00A94FDC"/>
  </w:style>
  <w:style w:type="paragraph" w:styleId="Obsah3">
    <w:name w:val="toc 3"/>
    <w:basedOn w:val="Normlny"/>
    <w:next w:val="Normlny"/>
    <w:autoRedefine/>
    <w:uiPriority w:val="39"/>
    <w:rsid w:val="00A94FDC"/>
    <w:pPr>
      <w:ind w:left="440"/>
    </w:pPr>
  </w:style>
  <w:style w:type="paragraph" w:styleId="Zoznamsodrkami">
    <w:name w:val="List Bullet"/>
    <w:basedOn w:val="Normlny"/>
    <w:autoRedefine/>
    <w:semiHidden/>
    <w:rsid w:val="00A94FDC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sodrkami2">
    <w:name w:val="List Bullet 2"/>
    <w:basedOn w:val="Normlny"/>
    <w:autoRedefine/>
    <w:semiHidden/>
    <w:rsid w:val="00A94FDC"/>
    <w:pPr>
      <w:numPr>
        <w:numId w:val="1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KONC-OBSAH">
    <w:name w:val="KONC-OBSAH"/>
    <w:basedOn w:val="KONC-KAPITOLA"/>
    <w:rsid w:val="00A94FDC"/>
    <w:pPr>
      <w:numPr>
        <w:numId w:val="12"/>
      </w:numPr>
      <w:spacing w:before="60" w:after="0"/>
      <w:ind w:left="568" w:hanging="284"/>
      <w:outlineLvl w:val="9"/>
    </w:pPr>
    <w:rPr>
      <w:sz w:val="24"/>
      <w:szCs w:val="24"/>
    </w:rPr>
  </w:style>
  <w:style w:type="paragraph" w:customStyle="1" w:styleId="KONC-KAPITOLA">
    <w:name w:val="KONC-KAPITOLA"/>
    <w:basedOn w:val="Nadpis1"/>
    <w:rsid w:val="00A94FDC"/>
    <w:pPr>
      <w:tabs>
        <w:tab w:val="num" w:pos="432"/>
      </w:tabs>
      <w:spacing w:line="240" w:lineRule="auto"/>
      <w:ind w:left="432" w:hanging="432"/>
    </w:pPr>
    <w:rPr>
      <w:rFonts w:ascii="Arial" w:eastAsia="Times New Roman" w:hAnsi="Arial" w:cs="Arial"/>
      <w:b w:val="0"/>
      <w:caps/>
      <w:color w:val="0000FF"/>
      <w:lang w:eastAsia="sk-SK"/>
    </w:rPr>
  </w:style>
  <w:style w:type="paragraph" w:customStyle="1" w:styleId="KONC-TEXT">
    <w:name w:val="KONC-TEXT"/>
    <w:basedOn w:val="KONC-OBSAH"/>
    <w:rsid w:val="00A94FDC"/>
    <w:pPr>
      <w:numPr>
        <w:numId w:val="0"/>
      </w:numPr>
      <w:spacing w:before="0"/>
      <w:ind w:firstLine="340"/>
      <w:jc w:val="both"/>
    </w:pPr>
    <w:rPr>
      <w:rFonts w:ascii="Times New Roman" w:hAnsi="Times New Roman" w:cs="Times New Roman"/>
      <w:b/>
      <w:bCs w:val="0"/>
      <w:sz w:val="22"/>
      <w:szCs w:val="22"/>
    </w:rPr>
  </w:style>
  <w:style w:type="paragraph" w:customStyle="1" w:styleId="KONC-TEXT-ODRKY">
    <w:name w:val="KONC-TEXT-ODRÁŽKY"/>
    <w:basedOn w:val="KONC-TEXT"/>
    <w:rsid w:val="00A94FDC"/>
    <w:pPr>
      <w:keepNext w:val="0"/>
      <w:numPr>
        <w:numId w:val="13"/>
      </w:numPr>
    </w:pPr>
  </w:style>
  <w:style w:type="paragraph" w:customStyle="1" w:styleId="Styl2">
    <w:name w:val="Styl2"/>
    <w:basedOn w:val="Nadpis2"/>
    <w:next w:val="Nadpis2"/>
    <w:autoRedefine/>
    <w:rsid w:val="00A94FDC"/>
    <w:pPr>
      <w:numPr>
        <w:numId w:val="14"/>
      </w:numPr>
      <w:tabs>
        <w:tab w:val="left" w:pos="113"/>
        <w:tab w:val="left" w:pos="936"/>
      </w:tabs>
      <w:spacing w:before="160" w:after="120" w:line="240" w:lineRule="auto"/>
    </w:pPr>
    <w:rPr>
      <w:rFonts w:ascii="Arial" w:eastAsia="Times New Roman" w:hAnsi="Arial"/>
      <w:iCs w:val="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94FDC"/>
    <w:pPr>
      <w:spacing w:after="0" w:line="240" w:lineRule="auto"/>
    </w:pPr>
    <w:rPr>
      <w:rFonts w:ascii="Arial Narrow" w:eastAsia="Times New Roman" w:hAnsi="Arial Narrow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94FDC"/>
    <w:rPr>
      <w:rFonts w:ascii="Arial Narrow" w:eastAsia="Times New Roman" w:hAnsi="Arial Narrow" w:cs="Times New Roman"/>
      <w:sz w:val="20"/>
      <w:szCs w:val="20"/>
    </w:rPr>
  </w:style>
  <w:style w:type="character" w:styleId="Hypertextovprepojenie">
    <w:name w:val="Hyperlink"/>
    <w:uiPriority w:val="99"/>
    <w:rsid w:val="00A94FDC"/>
    <w:rPr>
      <w:color w:val="0000FF"/>
      <w:u w:val="single"/>
    </w:rPr>
  </w:style>
  <w:style w:type="paragraph" w:styleId="Zoznam">
    <w:name w:val="List"/>
    <w:basedOn w:val="Normlny"/>
    <w:semiHidden/>
    <w:rsid w:val="00A94FD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Zoznam2">
    <w:name w:val="List 2"/>
    <w:basedOn w:val="Normlny"/>
    <w:semiHidden/>
    <w:rsid w:val="00A94FDC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sk-SK"/>
    </w:rPr>
  </w:style>
  <w:style w:type="paragraph" w:customStyle="1" w:styleId="normln12">
    <w:name w:val="normální12"/>
    <w:basedOn w:val="Normlny"/>
    <w:rsid w:val="00A94FD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Normlny1">
    <w:name w:val="Normálny1"/>
    <w:basedOn w:val="Normlny"/>
    <w:autoRedefine/>
    <w:rsid w:val="00A94FDC"/>
    <w:pPr>
      <w:numPr>
        <w:ilvl w:val="1"/>
        <w:numId w:val="15"/>
      </w:numPr>
      <w:spacing w:before="40" w:after="0" w:line="240" w:lineRule="auto"/>
    </w:pPr>
    <w:rPr>
      <w:rFonts w:ascii="Arial" w:eastAsia="Times New Roman" w:hAnsi="Arial" w:cs="Arial"/>
      <w:bCs/>
      <w:color w:val="000000"/>
      <w:sz w:val="18"/>
      <w:szCs w:val="20"/>
      <w:lang w:eastAsia="cs-CZ"/>
    </w:rPr>
  </w:style>
  <w:style w:type="paragraph" w:customStyle="1" w:styleId="BodyText24">
    <w:name w:val="Body Text 24"/>
    <w:basedOn w:val="Normlny"/>
    <w:rsid w:val="00A94FDC"/>
    <w:pPr>
      <w:widowControl w:val="0"/>
      <w:spacing w:after="0" w:line="240" w:lineRule="auto"/>
      <w:jc w:val="both"/>
    </w:pPr>
    <w:rPr>
      <w:rFonts w:ascii="Switzerland" w:eastAsia="Times New Roman" w:hAnsi="Switzerland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A94FDC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4FD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l1">
    <w:name w:val="Štýl1"/>
    <w:basedOn w:val="normln12"/>
    <w:rsid w:val="00A94FDC"/>
    <w:rPr>
      <w:rFonts w:ascii="Arial" w:hAnsi="Arial"/>
      <w:sz w:val="20"/>
    </w:rPr>
  </w:style>
  <w:style w:type="paragraph" w:customStyle="1" w:styleId="tl2">
    <w:name w:val="Štýl2"/>
    <w:basedOn w:val="normln12"/>
    <w:autoRedefine/>
    <w:rsid w:val="00A94FDC"/>
    <w:rPr>
      <w:rFonts w:ascii="Arial" w:hAnsi="Arial"/>
      <w:sz w:val="20"/>
    </w:rPr>
  </w:style>
  <w:style w:type="paragraph" w:customStyle="1" w:styleId="tl3">
    <w:name w:val="Štýl3"/>
    <w:basedOn w:val="Normlny1"/>
    <w:rsid w:val="00A94FDC"/>
    <w:rPr>
      <w:sz w:val="20"/>
    </w:rPr>
  </w:style>
  <w:style w:type="character" w:customStyle="1" w:styleId="Nadpis2TChar">
    <w:name w:val="Nadpis 2T Char"/>
    <w:aliases w:val="Podnadpis Char,F2 Char,F21 Char,H2 Char,Podkapitola1 Char,hlavicka Char,h2 Char,V_Head2 Char Char"/>
    <w:rsid w:val="00A94FDC"/>
    <w:rPr>
      <w:rFonts w:ascii="Arial" w:hAnsi="Arial"/>
      <w:b/>
      <w:sz w:val="24"/>
      <w:lang w:val="sk-SK" w:eastAsia="sk-SK" w:bidi="ar-SA"/>
    </w:rPr>
  </w:style>
  <w:style w:type="character" w:customStyle="1" w:styleId="Nadpis1TChar">
    <w:name w:val="Nadpis 1T Char"/>
    <w:aliases w:val="NADPIS Char,Heading 11111 Char,Kapitola Char,H1 Char,V_Head1 Char,Main Section Char,MainHeader Char Char"/>
    <w:rsid w:val="00A94FDC"/>
    <w:rPr>
      <w:rFonts w:ascii="Arial" w:hAnsi="Arial"/>
      <w:b/>
      <w:caps/>
      <w:sz w:val="28"/>
      <w:lang w:val="sk-SK" w:eastAsia="sk-SK" w:bidi="ar-SA"/>
    </w:rPr>
  </w:style>
  <w:style w:type="paragraph" w:styleId="Zkladntext">
    <w:name w:val="Body Text"/>
    <w:basedOn w:val="Normlny"/>
    <w:link w:val="ZkladntextChar"/>
    <w:uiPriority w:val="99"/>
    <w:rsid w:val="00A94FD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94FD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A94FD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94FD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A94FD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A94FDC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PouitHypertextovPrepojenie">
    <w:name w:val="FollowedHyperlink"/>
    <w:rsid w:val="00A94FDC"/>
    <w:rPr>
      <w:color w:val="800080"/>
      <w:u w:val="single"/>
    </w:rPr>
  </w:style>
  <w:style w:type="paragraph" w:styleId="Textkomentra">
    <w:name w:val="annotation text"/>
    <w:basedOn w:val="Normlny"/>
    <w:link w:val="TextkomentraChar"/>
    <w:uiPriority w:val="99"/>
    <w:rsid w:val="00A94FD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94FD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94F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94FDC"/>
    <w:rPr>
      <w:rFonts w:ascii="Calibri" w:eastAsia="Calibri" w:hAnsi="Calibri" w:cs="Times New Roman"/>
      <w:b/>
      <w:bCs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A94FD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A94FDC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customStyle="1" w:styleId="msolistparagraph0">
    <w:name w:val="msolistparagraph"/>
    <w:basedOn w:val="Normlny"/>
    <w:rsid w:val="00A94FDC"/>
    <w:pPr>
      <w:spacing w:after="0" w:line="240" w:lineRule="auto"/>
      <w:ind w:left="720"/>
    </w:pPr>
    <w:rPr>
      <w:rFonts w:eastAsia="Times New Roman"/>
      <w:lang w:eastAsia="sk-SK"/>
    </w:rPr>
  </w:style>
  <w:style w:type="paragraph" w:styleId="Normlnywebov">
    <w:name w:val="Normal (Web)"/>
    <w:aliases w:val="webb"/>
    <w:basedOn w:val="Normlny"/>
    <w:uiPriority w:val="99"/>
    <w:unhideWhenUsed/>
    <w:qFormat/>
    <w:rsid w:val="00A9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A94FDC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1podsek">
    <w:name w:val="1podsek"/>
    <w:basedOn w:val="Odsekzoznamu"/>
    <w:qFormat/>
    <w:rsid w:val="00A94FDC"/>
    <w:pPr>
      <w:numPr>
        <w:numId w:val="16"/>
      </w:numPr>
      <w:autoSpaceDE w:val="0"/>
      <w:autoSpaceDN w:val="0"/>
      <w:adjustRightInd w:val="0"/>
      <w:contextualSpacing/>
      <w:jc w:val="both"/>
    </w:pPr>
    <w:rPr>
      <w:lang w:eastAsia="sk-SK"/>
    </w:rPr>
  </w:style>
  <w:style w:type="table" w:styleId="Mriekatabuky">
    <w:name w:val="Table Grid"/>
    <w:basedOn w:val="Normlnatabuka"/>
    <w:uiPriority w:val="99"/>
    <w:rsid w:val="00A94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akazakladnhotextu2">
    <w:name w:val="Zara?ka zakladn?ho textu 2"/>
    <w:basedOn w:val="Normlny"/>
    <w:rsid w:val="00A94FDC"/>
    <w:pPr>
      <w:widowControl w:val="0"/>
      <w:spacing w:after="0" w:line="240" w:lineRule="auto"/>
      <w:ind w:firstLine="708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94FDC"/>
    <w:pPr>
      <w:spacing w:after="0" w:line="240" w:lineRule="auto"/>
      <w:jc w:val="both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94FDC"/>
    <w:rPr>
      <w:rFonts w:ascii="Consolas" w:eastAsia="Calibri" w:hAnsi="Consolas" w:cs="Times New Roman"/>
      <w:sz w:val="21"/>
      <w:szCs w:val="21"/>
    </w:rPr>
  </w:style>
  <w:style w:type="paragraph" w:styleId="Podtitul">
    <w:name w:val="Subtitle"/>
    <w:basedOn w:val="Normlny"/>
    <w:link w:val="PodtitulChar"/>
    <w:qFormat/>
    <w:rsid w:val="00A94FDC"/>
    <w:pPr>
      <w:spacing w:after="0" w:line="240" w:lineRule="auto"/>
      <w:ind w:firstLine="720"/>
      <w:jc w:val="both"/>
    </w:pPr>
    <w:rPr>
      <w:rFonts w:ascii="Times New Roman" w:eastAsia="Times New Roman" w:hAnsi="Times New Roman"/>
      <w:i/>
      <w:iCs/>
      <w:sz w:val="24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A94FDC"/>
    <w:rPr>
      <w:rFonts w:ascii="Times New Roman" w:eastAsia="Times New Roman" w:hAnsi="Times New Roman" w:cs="Times New Roman"/>
      <w:i/>
      <w:iCs/>
      <w:sz w:val="24"/>
      <w:szCs w:val="20"/>
      <w:lang w:eastAsia="sk-SK"/>
    </w:rPr>
  </w:style>
  <w:style w:type="paragraph" w:customStyle="1" w:styleId="go">
    <w:name w:val="go"/>
    <w:basedOn w:val="Normlny"/>
    <w:rsid w:val="00A9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remennHTML">
    <w:name w:val="HTML Variable"/>
    <w:uiPriority w:val="99"/>
    <w:unhideWhenUsed/>
    <w:rsid w:val="00A94FDC"/>
    <w:rPr>
      <w:i/>
      <w:iCs/>
    </w:rPr>
  </w:style>
  <w:style w:type="paragraph" w:customStyle="1" w:styleId="l2">
    <w:name w:val="l2"/>
    <w:basedOn w:val="Normlny"/>
    <w:rsid w:val="00A9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s-note">
    <w:name w:val="rs-note"/>
    <w:rsid w:val="00A94FDC"/>
  </w:style>
  <w:style w:type="character" w:customStyle="1" w:styleId="rs-person">
    <w:name w:val="rs-person"/>
    <w:rsid w:val="00A94FDC"/>
  </w:style>
  <w:style w:type="paragraph" w:customStyle="1" w:styleId="PoznTxt">
    <w:name w:val="PoznTxt"/>
    <w:basedOn w:val="Normlny"/>
    <w:rsid w:val="00A94FDC"/>
    <w:pPr>
      <w:overflowPunct w:val="0"/>
      <w:autoSpaceDE w:val="0"/>
      <w:autoSpaceDN w:val="0"/>
      <w:adjustRightInd w:val="0"/>
      <w:spacing w:before="20" w:after="40" w:line="240" w:lineRule="auto"/>
      <w:ind w:left="1134"/>
      <w:jc w:val="both"/>
      <w:textAlignment w:val="baseline"/>
    </w:pPr>
    <w:rPr>
      <w:rFonts w:ascii="Arial" w:eastAsia="Times New Roman" w:hAnsi="Arial"/>
      <w:sz w:val="24"/>
      <w:szCs w:val="20"/>
      <w:lang w:val="en-US" w:eastAsia="sk-SK"/>
    </w:rPr>
  </w:style>
  <w:style w:type="paragraph" w:customStyle="1" w:styleId="Textpsmene">
    <w:name w:val="Text písmene"/>
    <w:basedOn w:val="Normlny"/>
    <w:link w:val="TextpsmeneChar"/>
    <w:rsid w:val="00A94FDC"/>
    <w:pPr>
      <w:numPr>
        <w:ilvl w:val="1"/>
        <w:numId w:val="17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val="cs-CZ" w:eastAsia="cs-CZ"/>
    </w:rPr>
  </w:style>
  <w:style w:type="character" w:customStyle="1" w:styleId="TextpsmeneChar">
    <w:name w:val="Text písmene Char"/>
    <w:link w:val="Textpsmene"/>
    <w:rsid w:val="00A94FD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y"/>
    <w:rsid w:val="00A94FDC"/>
    <w:pPr>
      <w:tabs>
        <w:tab w:val="num" w:pos="425"/>
        <w:tab w:val="left" w:pos="851"/>
      </w:tabs>
      <w:spacing w:before="120" w:after="120" w:line="240" w:lineRule="auto"/>
      <w:ind w:left="425" w:hanging="425"/>
      <w:jc w:val="both"/>
      <w:outlineLvl w:val="6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customStyle="1" w:styleId="Textbodu">
    <w:name w:val="Text bodu"/>
    <w:basedOn w:val="Normlny"/>
    <w:rsid w:val="00A94FDC"/>
    <w:pPr>
      <w:tabs>
        <w:tab w:val="num" w:pos="782"/>
      </w:tabs>
      <w:spacing w:after="0" w:line="240" w:lineRule="auto"/>
      <w:ind w:firstLine="425"/>
      <w:jc w:val="both"/>
      <w:outlineLvl w:val="8"/>
    </w:pPr>
    <w:rPr>
      <w:rFonts w:ascii="Times New Roman" w:eastAsia="Times New Roman" w:hAnsi="Times New Roman"/>
      <w:sz w:val="24"/>
      <w:szCs w:val="20"/>
      <w:lang w:val="cs-CZ" w:eastAsia="cs-CZ"/>
    </w:rPr>
  </w:style>
  <w:style w:type="paragraph" w:styleId="PredformtovanHTML">
    <w:name w:val="HTML Preformatted"/>
    <w:basedOn w:val="Normlny"/>
    <w:link w:val="PredformtovanHTMLChar"/>
    <w:rsid w:val="00A94FDC"/>
    <w:pPr>
      <w:tabs>
        <w:tab w:val="num" w:pos="85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850" w:hanging="425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rsid w:val="00A94FDC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Default">
    <w:name w:val="Default"/>
    <w:rsid w:val="00A94FD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Zvraznenie">
    <w:name w:val="Emphasis"/>
    <w:uiPriority w:val="20"/>
    <w:qFormat/>
    <w:rsid w:val="00A94FDC"/>
    <w:rPr>
      <w:i/>
      <w:iCs/>
    </w:rPr>
  </w:style>
  <w:style w:type="paragraph" w:styleId="Zkladntext2">
    <w:name w:val="Body Text 2"/>
    <w:basedOn w:val="Normlny"/>
    <w:link w:val="Zkladntext2Char"/>
    <w:rsid w:val="00A94FD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A94FDC"/>
    <w:rPr>
      <w:rFonts w:ascii="Calibri" w:eastAsia="Calibri" w:hAnsi="Calibri" w:cs="Times New Roman"/>
    </w:rPr>
  </w:style>
  <w:style w:type="table" w:customStyle="1" w:styleId="Mriekatabuky1">
    <w:name w:val="Mriežka tabuľky1"/>
    <w:basedOn w:val="Normlnatabuka"/>
    <w:next w:val="Mriekatabuky"/>
    <w:uiPriority w:val="59"/>
    <w:rsid w:val="00A94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A9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wspan">
    <w:name w:val="awspan"/>
    <w:rsid w:val="00A94FDC"/>
  </w:style>
  <w:style w:type="character" w:styleId="Odkaznapoznmkupodiarou">
    <w:name w:val="footnote reference"/>
    <w:basedOn w:val="Predvolenpsmoodseku"/>
    <w:uiPriority w:val="99"/>
    <w:semiHidden/>
    <w:unhideWhenUsed/>
    <w:rsid w:val="00A94FDC"/>
    <w:rPr>
      <w:vertAlign w:val="superscript"/>
    </w:rPr>
  </w:style>
  <w:style w:type="character" w:styleId="Jemnzvraznenie">
    <w:name w:val="Subtle Emphasis"/>
    <w:basedOn w:val="Predvolenpsmoodseku"/>
    <w:uiPriority w:val="19"/>
    <w:qFormat/>
    <w:rsid w:val="00A94FDC"/>
    <w:rPr>
      <w:rFonts w:ascii="Source Sans Pro" w:hAnsi="Source Sans Pro"/>
      <w:i/>
      <w:iCs/>
      <w:color w:val="404040" w:themeColor="text1" w:themeTint="BF"/>
      <w:sz w:val="18"/>
    </w:rPr>
  </w:style>
  <w:style w:type="character" w:customStyle="1" w:styleId="h1a">
    <w:name w:val="h1a"/>
    <w:basedOn w:val="Predvolenpsmoodseku"/>
    <w:rsid w:val="00A94FDC"/>
  </w:style>
  <w:style w:type="paragraph" w:customStyle="1" w:styleId="paragraph">
    <w:name w:val="paragraph"/>
    <w:basedOn w:val="Normlny"/>
    <w:rsid w:val="00A94F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A94FDC"/>
  </w:style>
  <w:style w:type="character" w:customStyle="1" w:styleId="eop">
    <w:name w:val="eop"/>
    <w:basedOn w:val="Predvolenpsmoodseku"/>
    <w:rsid w:val="00A94FDC"/>
  </w:style>
  <w:style w:type="paragraph" w:styleId="Revzia">
    <w:name w:val="Revision"/>
    <w:hidden/>
    <w:uiPriority w:val="99"/>
    <w:semiHidden/>
    <w:rsid w:val="00A94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5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Földesová Motajová Zuzana</cp:lastModifiedBy>
  <cp:revision>3</cp:revision>
  <dcterms:created xsi:type="dcterms:W3CDTF">2021-08-03T21:51:00Z</dcterms:created>
  <dcterms:modified xsi:type="dcterms:W3CDTF">2021-08-03T22:11:00Z</dcterms:modified>
</cp:coreProperties>
</file>