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67408" w:rsidRDefault="00A67408">
      <w:pPr>
        <w:jc w:val="center"/>
        <w:divId w:val="645472384"/>
        <w:rPr>
          <w:rFonts w:ascii="Times" w:hAnsi="Times" w:cs="Times"/>
          <w:sz w:val="25"/>
          <w:szCs w:val="25"/>
        </w:rPr>
      </w:pPr>
      <w:r>
        <w:rPr>
          <w:rFonts w:ascii="Times" w:hAnsi="Times" w:cs="Times"/>
          <w:sz w:val="25"/>
          <w:szCs w:val="25"/>
        </w:rPr>
        <w:t>Zákon, ktorým sa menia a dopĺňajú niektoré zákony v pôsobnosti Ministerstva kultúry Slovenskej republiky v súvislosti s treťou vlnou pandémie ochorenia COVID-19</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67408" w:rsidP="00A67408">
            <w:pPr>
              <w:spacing w:after="0" w:line="240" w:lineRule="auto"/>
              <w:rPr>
                <w:rFonts w:ascii="Times New Roman" w:hAnsi="Times New Roman" w:cs="Calibri"/>
                <w:sz w:val="20"/>
                <w:szCs w:val="20"/>
              </w:rPr>
            </w:pPr>
            <w:r>
              <w:rPr>
                <w:rFonts w:ascii="Times" w:hAnsi="Times" w:cs="Times"/>
                <w:sz w:val="25"/>
                <w:szCs w:val="25"/>
              </w:rPr>
              <w:t>29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67408" w:rsidP="00A67408">
            <w:pPr>
              <w:spacing w:after="0" w:line="240" w:lineRule="auto"/>
              <w:rPr>
                <w:rFonts w:ascii="Times New Roman" w:hAnsi="Times New Roman" w:cs="Calibri"/>
                <w:sz w:val="20"/>
                <w:szCs w:val="20"/>
              </w:rPr>
            </w:pPr>
            <w:r>
              <w:rPr>
                <w:rFonts w:ascii="Times" w:hAnsi="Times" w:cs="Times"/>
                <w:sz w:val="25"/>
                <w:szCs w:val="25"/>
              </w:rPr>
              <w:t>29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67408" w:rsidP="00A67408">
            <w:pPr>
              <w:spacing w:after="0" w:line="240" w:lineRule="auto"/>
              <w:rPr>
                <w:rFonts w:ascii="Times New Roman" w:hAnsi="Times New Roman" w:cs="Calibri"/>
                <w:sz w:val="20"/>
                <w:szCs w:val="20"/>
              </w:rPr>
            </w:pPr>
            <w:r>
              <w:rPr>
                <w:rFonts w:ascii="Times" w:hAnsi="Times" w:cs="Times"/>
                <w:sz w:val="25"/>
                <w:szCs w:val="25"/>
              </w:rPr>
              <w:t>19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67408" w:rsidP="00A67408">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67408" w:rsidP="00A67408">
            <w:pPr>
              <w:spacing w:after="0" w:line="240" w:lineRule="auto"/>
              <w:rPr>
                <w:rFonts w:ascii="Times New Roman" w:hAnsi="Times New Roman" w:cs="Calibri"/>
                <w:sz w:val="20"/>
                <w:szCs w:val="20"/>
              </w:rPr>
            </w:pPr>
            <w:r>
              <w:rPr>
                <w:rFonts w:ascii="Times" w:hAnsi="Times" w:cs="Times"/>
                <w:sz w:val="25"/>
                <w:szCs w:val="25"/>
              </w:rPr>
              <w:t>9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A67408" w:rsidRDefault="00A6740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A67408">
        <w:trPr>
          <w:divId w:val="130639489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Vôbec nezaslali</w:t>
            </w: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sz w:val="20"/>
                <w:szCs w:val="20"/>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sz w:val="20"/>
                <w:szCs w:val="20"/>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sz w:val="20"/>
                <w:szCs w:val="20"/>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sz w:val="20"/>
                <w:szCs w:val="20"/>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sz w:val="20"/>
                <w:szCs w:val="20"/>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sz w:val="20"/>
                <w:szCs w:val="20"/>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sz w:val="20"/>
                <w:szCs w:val="20"/>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sz w:val="20"/>
                <w:szCs w:val="20"/>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sz w:val="20"/>
                <w:szCs w:val="20"/>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sz w:val="20"/>
                <w:szCs w:val="20"/>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sz w:val="20"/>
                <w:szCs w:val="20"/>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sz w:val="20"/>
                <w:szCs w:val="20"/>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lastRenderedPageBreak/>
              <w:t>18.</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x</w:t>
            </w:r>
          </w:p>
        </w:tc>
      </w:tr>
      <w:tr w:rsidR="00A67408">
        <w:trPr>
          <w:divId w:val="1306394895"/>
          <w:jc w:val="center"/>
        </w:trPr>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29 (26o,3z)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7408" w:rsidRDefault="00A6740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67408" w:rsidRDefault="00A6740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Spôsob vyhodnotenia</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Čl. I bod 1. návrhu zákona</w:t>
            </w:r>
            <w:r>
              <w:rPr>
                <w:rFonts w:ascii="Times" w:hAnsi="Times" w:cs="Times"/>
                <w:sz w:val="25"/>
                <w:szCs w:val="25"/>
              </w:rPr>
              <w:br/>
              <w:t xml:space="preserve">Navrhujeme upraviť poznámku pod čiarou k odkazu 4 tak, aby bolo možné totožnosť osoby preukazovať aj cestovným pasom alebo iným obdobným dokladom, z ktorého je nepochybne zistiteľná totožnosť osoby. Odôvodnenie: Ustanovenie nepočíta s preukazovaním totožnosti cudzincov a ďalších osôb, ktoré nemajú občiansky preukaz.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Znenie upravené. Znenie poznámky pod čiarou k odkazu 4 upravené podľa pripomienky Ministerstva vnútra Slovenskej republiky.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br/>
              <w:t>K predloženému návrhu zákona nemáme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Vzaté na vedomie.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Doložku vybraných vplyvov je potrebné upraviť v súlade s aktualizovanou Jednotnou metodikou na posudzovanie vybraných vplyvov účinnou od 1. júna 2021 (schválenou uznesením vlády SR č. 234/2021). Upozorňujeme, že s návrhom zákona bude možné súhlasiť len za predpokladu, že z titulu oslobodenia výkonných (reprodukčných) umelcov od odvodovej povinnosti a povinnosti úhrady príspevkov podľa zákona č. 13/1993 Z. z. o umeleckých fondoch v znení neskorších predpisov, Ministerstvo kultúry SR nebude dodatočne požadovať kompenzáciu výpadku príjmov umeleckých fondov zo zdrojov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Doložka vybraných vplyvov upravená. Ministerstvo kultúry SR nebude dodatočne požadovať kompenzáciu výpadku príjmov umeleckých fondov zo zdrojov štátneho rozpočtu.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zákona prepracovať tak, aby doba platnosti </w:t>
            </w:r>
            <w:r>
              <w:rPr>
                <w:rFonts w:ascii="Times" w:hAnsi="Times" w:cs="Times"/>
                <w:sz w:val="25"/>
                <w:szCs w:val="25"/>
              </w:rPr>
              <w:lastRenderedPageBreak/>
              <w:t xml:space="preserve">úľav pre usporiadateľov kultúrnych podujatí podľa čl. I bodu 2 ustanovená od 1. januára 2022 do 30. júna 2022, nebola viazaná na konkrétne obdobie, ale na </w:t>
            </w:r>
            <w:proofErr w:type="spellStart"/>
            <w:r>
              <w:rPr>
                <w:rFonts w:ascii="Times" w:hAnsi="Times" w:cs="Times"/>
                <w:sz w:val="25"/>
                <w:szCs w:val="25"/>
              </w:rPr>
              <w:t>pandemickú</w:t>
            </w:r>
            <w:proofErr w:type="spellEnd"/>
            <w:r>
              <w:rPr>
                <w:rFonts w:ascii="Times" w:hAnsi="Times" w:cs="Times"/>
                <w:sz w:val="25"/>
                <w:szCs w:val="25"/>
              </w:rPr>
              <w:t xml:space="preserve"> situáciu podľa </w:t>
            </w:r>
            <w:proofErr w:type="spellStart"/>
            <w:r>
              <w:rPr>
                <w:rFonts w:ascii="Times" w:hAnsi="Times" w:cs="Times"/>
                <w:sz w:val="25"/>
                <w:szCs w:val="25"/>
              </w:rPr>
              <w:t>Covid</w:t>
            </w:r>
            <w:proofErr w:type="spellEnd"/>
            <w:r>
              <w:rPr>
                <w:rFonts w:ascii="Times" w:hAnsi="Times" w:cs="Times"/>
                <w:sz w:val="25"/>
                <w:szCs w:val="25"/>
              </w:rPr>
              <w:t xml:space="preserve"> automatu. Naviazaním navrhovaných opatrení na </w:t>
            </w:r>
            <w:proofErr w:type="spellStart"/>
            <w:r>
              <w:rPr>
                <w:rFonts w:ascii="Times" w:hAnsi="Times" w:cs="Times"/>
                <w:sz w:val="25"/>
                <w:szCs w:val="25"/>
              </w:rPr>
              <w:t>Covid</w:t>
            </w:r>
            <w:proofErr w:type="spellEnd"/>
            <w:r>
              <w:rPr>
                <w:rFonts w:ascii="Times" w:hAnsi="Times" w:cs="Times"/>
                <w:sz w:val="25"/>
                <w:szCs w:val="25"/>
              </w:rPr>
              <w:t xml:space="preserve"> automat je možné sa vyhnúť potrebe ďalšej novelizácie zákona č. 96/1991 Zb. o verejných kultúrnych podujatiach v znení neskorších predpisov v prípade pretrvávania nepriaznivej </w:t>
            </w:r>
            <w:proofErr w:type="spellStart"/>
            <w:r>
              <w:rPr>
                <w:rFonts w:ascii="Times" w:hAnsi="Times" w:cs="Times"/>
                <w:sz w:val="25"/>
                <w:szCs w:val="25"/>
              </w:rPr>
              <w:t>pandemickej</w:t>
            </w:r>
            <w:proofErr w:type="spellEnd"/>
            <w:r>
              <w:rPr>
                <w:rFonts w:ascii="Times" w:hAnsi="Times" w:cs="Times"/>
                <w:sz w:val="25"/>
                <w:szCs w:val="25"/>
              </w:rPr>
              <w:t xml:space="preserve"> situácie po skončení ustanoveného obdobia.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Predkladateľ považuje určenie konkrétneho obdobia za vhodnejšie. V </w:t>
            </w:r>
            <w:r>
              <w:rPr>
                <w:rFonts w:ascii="Times" w:hAnsi="Times" w:cs="Times"/>
                <w:sz w:val="25"/>
                <w:szCs w:val="25"/>
              </w:rPr>
              <w:lastRenderedPageBreak/>
              <w:t xml:space="preserve">nadväznosti na vznesenú pripomienku sa opatrenia týkajúce sa verejných kultúrnych podujatí budú uplatňovať v období od 1. januára 2022 do 31. decembra 2022.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predkladateľa o vyplnenie aktuálne platného formulára Doložky vybraných vplyvov podľa Jednotnej metodiky na posudzovanie vybraných vplyvov. Zároveň žiadame predkladateľa o vypracovanie doložky vo všetkých jej bodoch (vrátane bodu 8. Preskúmanie účelnosti a bodu 12. Zdroje). Odôvodnenie: Jednotná metodika na posudzovanie vybraných vplyvov účinná od 1. 6. 2021 používa nový formulár Doložky vybraných vplyvov. Formulár je k dispozícii na webovom sídle MH SR: https://www.mhsr.sk/podnikatelske-prostredie/jednotna-metodika.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Doložka vybraných vplyvov upravená podľa pripomienky.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Dôvodovú správu - osobitnú časť a predkladaciu správu považujeme za všeobecnú a navrhujeme ju preformulovať v zmysle odôvodnenia. ODÔVODNENIE: Nie je zrejmý účel navrhovaného ustanovenia § 5 ods. 2 zákona č. 96/1991 Zb. v znení neskorších predpisov. Z dôvodovej správy a ani z predkladacej správy nie je zrejmá súvislosť s pandémiou ochorenia COVID-19, tak ako to vyplýva zo samotného názvu </w:t>
            </w:r>
            <w:r>
              <w:rPr>
                <w:rFonts w:ascii="Times" w:hAnsi="Times" w:cs="Times"/>
                <w:sz w:val="25"/>
                <w:szCs w:val="25"/>
              </w:rPr>
              <w:lastRenderedPageBreak/>
              <w:t>navrhovaného zákona. Nie je zrejmé, či kontrola totožnosti návštevníkov má byť aj v súvislosti s predložením potvrdenia o zaočkovaní, respektíve iného dokladu ako potvrdenia o vykonaní testu alebo prekonania ochorenia.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Dôvodová správa doplnená.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V 1. bode navrhujeme za slovo "totožnosť" vložiť slová "hodnoverným spôsobom“ a nad slovom „totožnosť“ vypustiť odkaz č. 4. ODÔVODNENIE: Z odkazu na poznámku pod čiarou sa javí, že účastník podujatia sa má preukázať slovenským občianskym preukazom. Slovenský občiansky preukaz nemajú štátni príslušníci iných štátov, slovenskí občania do 15 rokov veku, ani občania, ktorí občiansky preukaz napríklad stratili alebo im vypršala platnosť a tým by mohlo dôjsť k diskriminácii týchto osôb. Ako alternatívu odporúčame v poznáme pod čiarou uviesť demonštratívny výpočet právnych predpisov, ktoré upravujú doklady totožnosti (napríklad zákon Národnej rady Slovenskej republiky č. 162/1993 Z. z. o občianskych preukazoch, zákon č. 381/1997 Z. z. o cestovných dokladoch v znení neskorších predpisov, zákon č. 48/2002 Z. z. o pobyte cudzincov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Znenie upravené. Znenie poznámky pod čiarou k odkazu 4 upravené podľa pripomienky Ministerstva vnútra Slovesnej republiky.</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 xml:space="preserve">V 2. bode, § 8da ods. 1 písm. c) navrhujeme doplniť právo na odstúpenia od zmluvy aj pre zmluvnú stranu, ktorá zabezpečuje uskutočnenie podujatia. ODÔVODNENIE: Nechávame na zvážení, aby sa osobitný </w:t>
            </w:r>
            <w:proofErr w:type="spellStart"/>
            <w:r>
              <w:rPr>
                <w:rFonts w:ascii="Times" w:hAnsi="Times" w:cs="Times"/>
                <w:sz w:val="25"/>
                <w:szCs w:val="25"/>
              </w:rPr>
              <w:t>Covid</w:t>
            </w:r>
            <w:proofErr w:type="spellEnd"/>
            <w:r>
              <w:rPr>
                <w:rFonts w:ascii="Times" w:hAnsi="Times" w:cs="Times"/>
                <w:sz w:val="25"/>
                <w:szCs w:val="25"/>
              </w:rPr>
              <w:t xml:space="preserve"> režim v § 8da ods. 1 písm. c) nevzťahovať len na usporiadateľa, ale považujeme za </w:t>
            </w:r>
            <w:r>
              <w:rPr>
                <w:rFonts w:ascii="Times" w:hAnsi="Times" w:cs="Times"/>
                <w:sz w:val="25"/>
                <w:szCs w:val="25"/>
              </w:rPr>
              <w:lastRenderedPageBreak/>
              <w:t>vhodnejšie, aby sa vzťahoval na všetky zmluvné strany predmetných záväzkov, nakoľko sa v súvislosti so zrušením podujatia môže dostať do omeškania aj zmluvná strana, ktorá zabezpečuje uskutočnenie podujatia.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Znenie vychádza z platnej úpravy. Ide o predĺženie opatrení.</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V 2. bode, § 8db ods. 1 písm. a) navrhujeme slová „predĺžiť platnosť“ nahradiť slovami „ponúknuť predĺženie platnosti“. ODÔVODNENIE: Z navrhovaného znenia nie je zrejmé, či usporiadateľ môže predĺžiť platnosť vstupenky jednostranne, bez ohľadu na vôľu účastníka podujatia, čo by bolo v rozpore so znením písmena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Znenie vychádza z platnej úpravy. Ide o predĺženie opatrení.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V 2. bode, § 8db ods. 2 navrhujeme doplniť spôsob zverejnenia náhradného termínu podujatia. ODÔVODNENIE: Z dôvodu zvýšenia právnej istoty navrhujeme doplniť spôsob zverejnenia náhradného termínu podujatia.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Znenie vychádza z platnej úpravy a považujeme ho za vyhovujúce.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Vlastný materiál je potrebné zosúladiť s prílohou č. 1 Legislatívnych pravidiel vlády SR. Napríklad v čl. I, úvodnej vete a v čl. II, úvodnej vete slová "zákona č. 300/2020 </w:t>
            </w:r>
            <w:proofErr w:type="spellStart"/>
            <w:r>
              <w:rPr>
                <w:rFonts w:ascii="Times" w:hAnsi="Times" w:cs="Times"/>
                <w:sz w:val="25"/>
                <w:szCs w:val="25"/>
              </w:rPr>
              <w:t>Z.z</w:t>
            </w:r>
            <w:proofErr w:type="spellEnd"/>
            <w:r>
              <w:rPr>
                <w:rFonts w:ascii="Times" w:hAnsi="Times" w:cs="Times"/>
                <w:sz w:val="25"/>
                <w:szCs w:val="25"/>
              </w:rPr>
              <w:t xml:space="preserve">.“ nahradiť slovami „zákona č. 300/2020 Z. z.“, v čl. I, 3. bode slová „§8a až §8db“ nahradiť slovami „§ 8a až 8db". Zároveň navrhujeme v čl. I, 2. bode, v § 8da ods. 1 písm. a), b) a c) vypustiť slovo „usporiadateľ“. ODÔVODNENIE: Legislatívno-technická pripomienka. Zároveň v časti 9. doložky vybraných vplyvov, ak materiál nemá žiadne vplyvy na podnikateľské </w:t>
            </w:r>
            <w:r>
              <w:rPr>
                <w:rFonts w:ascii="Times" w:hAnsi="Times" w:cs="Times"/>
                <w:sz w:val="25"/>
                <w:szCs w:val="25"/>
              </w:rPr>
              <w:lastRenderedPageBreak/>
              <w:t>prostredie nevypĺňa sa vplyv na MSP.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Legislatívno-technické pripomienky akceptované. Ponechanie slov "usporiadateľ" v § 8da ods. 1 písm. a) až c) považujeme za potrebné z dôvodu jednoznačnosti ustanovenia. Znenie navyše vychádza z platnej úpravy.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Predloženú doložku vybraných vplyvov je potrebné vypracovať v súlade s aktualizovanou Jednotnou metodikou na posudzovanie vybraných vplyvov účinnou od 1. júna 2021 (Uznesenie vlády Slovenskej republiky č. 234/2021 k návrhu aktualizácie Jednotnej metodiky na posudzovanie vybraných vplyvov), ktorej súčasťou je aj nová šablóna doložky vybraných vplyvov (Príloha č. 1 Jednotnej metodiky na posudzovanie vybraných vplyvov). Odôvodnenie: Potreba úpravy vyplýva z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Upravené v zmysle pripomienky.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čl. I</w:t>
            </w:r>
            <w:r>
              <w:rPr>
                <w:rFonts w:ascii="Times" w:hAnsi="Times" w:cs="Times"/>
                <w:sz w:val="25"/>
                <w:szCs w:val="25"/>
              </w:rPr>
              <w:br/>
              <w:t>Odporúčame odstrániť duplicitnú medzeru pred slovami „zákona č. 129“.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Upravené v zmysle pripomienky.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obalu vlastného materiálu</w:t>
            </w:r>
            <w:r>
              <w:rPr>
                <w:rFonts w:ascii="Times" w:hAnsi="Times" w:cs="Times"/>
                <w:sz w:val="25"/>
                <w:szCs w:val="25"/>
              </w:rPr>
              <w:br/>
              <w:t xml:space="preserve">Odporúčame priložený obal vlastného materiálu nahradiť iným, keďže tento patrí k inému vlastnému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Obal upravený.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čl. I</w:t>
            </w:r>
            <w:r>
              <w:rPr>
                <w:rFonts w:ascii="Times" w:hAnsi="Times" w:cs="Times"/>
                <w:sz w:val="25"/>
                <w:szCs w:val="25"/>
              </w:rPr>
              <w:br/>
              <w:t>Odporúčame z čl. I odstrániť výnimočný stav, keďže tento v súlade s článkom 4 ústavného zákona č. 227/2002 Z. z. o bezpečnosti štátu v čase vojny, vojnového stavu, výnimočného stavu a núdzového stavu v znení neskorších predpisov v súvislosti s ochorením COVID-19 nemôže byť vyhlásený.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Znenie vychádza z platnej úpravy (§ 8a až 8d). Ide o predĺženie opatrení.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osobitnej časti dôvodovej správy</w:t>
            </w:r>
            <w:r>
              <w:rPr>
                <w:rFonts w:ascii="Times" w:hAnsi="Times" w:cs="Times"/>
                <w:sz w:val="25"/>
                <w:szCs w:val="25"/>
              </w:rPr>
              <w:br/>
              <w:t xml:space="preserve">Osobitnú časť dôvodovej správy odporúčame zosúladiť s čl. 19 </w:t>
            </w:r>
            <w:r>
              <w:rPr>
                <w:rFonts w:ascii="Times" w:hAnsi="Times" w:cs="Times"/>
                <w:sz w:val="25"/>
                <w:szCs w:val="25"/>
              </w:rPr>
              <w:lastRenderedPageBreak/>
              <w:t>ods. 4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Dôvodová správa upravená.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Predkladaciu správu odporúčame zosúladiť s čl. 18 Legislatívnych pravidiel vlády SR, keďže táto obsahuje aj náležitosti všeobecnej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Upravené v zmysle pripomienky.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Pri úplnej citácií absentuje jedna z noviel, konkrétne zákon č. 383/1997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Zákon č. 383/1997 Z. z. nenovelizoval zákon č. 13/1993 Z. z.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Pri úplnej citácií absentuje jedna z noviel, konkrétne zákon č. 384/1997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Zákon č. 96/1991 Zb. nebol novelizovaný zákonom č. 384/1997 Z. z.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čl. I (bod 2, § 8db)</w:t>
            </w:r>
            <w:r>
              <w:rPr>
                <w:rFonts w:ascii="Times" w:hAnsi="Times" w:cs="Times"/>
                <w:sz w:val="25"/>
                <w:szCs w:val="25"/>
              </w:rPr>
              <w:br/>
              <w:t>V § 8db sa ustanovuje oprávnenie usporiadateľa (okrem iného) vrátiť cenu vstupenky do 13 mesiacov od neuskutočnenia podujatia. Nakoľko v tomto ustanovení absentuje povinnosť usporiadateľa vrátiť cenu vstupenky v prípade nesúhlasu s predĺžením platnosti vstupenky, odporúčame oprávnenie podľa prvej vety zmeniť na povinnosť alebo túto povinnosť do § 8db vhodne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Navrhnuté znenie považujeme za dostatočne jasné. Znenie vychádza z platnej úpravy, pričom ide o predĺženie opatrení.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návrhu uznesenia vlády SR</w:t>
            </w:r>
            <w:r>
              <w:rPr>
                <w:rFonts w:ascii="Times" w:hAnsi="Times" w:cs="Times"/>
                <w:sz w:val="25"/>
                <w:szCs w:val="25"/>
              </w:rPr>
              <w:br/>
              <w:t xml:space="preserve">V uznesení vlády SR odporúčame pri predkladateľovi, úlohe B.2. a pri vymedzení vykonávateľov bližšie špecifikovať, že ide o ministerku kultúry.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Upravené v zmysle pripomienky.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všeobecnej časti dôvodovej správy</w:t>
            </w:r>
            <w:r>
              <w:rPr>
                <w:rFonts w:ascii="Times" w:hAnsi="Times" w:cs="Times"/>
                <w:sz w:val="25"/>
                <w:szCs w:val="25"/>
              </w:rPr>
              <w:br/>
              <w:t xml:space="preserve">Všeobecnú časť dôvodovej správy odporúčame zosúladiť s čl. 19 Legislatívnych pravidiel vlády SR. Obsahuje informáciu o </w:t>
            </w:r>
            <w:proofErr w:type="spellStart"/>
            <w:r>
              <w:rPr>
                <w:rFonts w:ascii="Times" w:hAnsi="Times" w:cs="Times"/>
                <w:sz w:val="25"/>
                <w:szCs w:val="25"/>
              </w:rPr>
              <w:t>vnútrokomunitárnom</w:t>
            </w:r>
            <w:proofErr w:type="spellEnd"/>
            <w:r>
              <w:rPr>
                <w:rFonts w:ascii="Times" w:hAnsi="Times" w:cs="Times"/>
                <w:sz w:val="25"/>
                <w:szCs w:val="25"/>
              </w:rPr>
              <w:t xml:space="preserve"> pripomienkovom konaní, ktorá je náležitosťou predkladacej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Dôvodová správa upravená.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čl. II (§ 25f ods. 2)</w:t>
            </w:r>
            <w:r>
              <w:rPr>
                <w:rFonts w:ascii="Times" w:hAnsi="Times" w:cs="Times"/>
                <w:sz w:val="25"/>
                <w:szCs w:val="25"/>
              </w:rPr>
              <w:br/>
              <w:t>Odporúčame v § 25f ods. 2 slovo "Pokiaľ" nahradiť slovom "Ak".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Upravené v zmysle pripomienky.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K obsahu predkladacej správy</w:t>
            </w:r>
            <w:r>
              <w:rPr>
                <w:rFonts w:ascii="Times" w:hAnsi="Times" w:cs="Times"/>
                <w:sz w:val="25"/>
                <w:szCs w:val="25"/>
              </w:rPr>
              <w:br/>
              <w:t>Obsah predkladacej správy odporúčame upraviť podľa požiadaviek čl. 18 a 19 Legislatívnych pravidiel vlády SR, a to vo vzťahu k uvádzaniu súladností s Ústavou Slovenskej republiky a i. a tiež vo vzťahu k uvádzaniu zhrnutia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Upravené v zmysle pripomienky.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čl. I bodu 1</w:t>
            </w:r>
            <w:r>
              <w:rPr>
                <w:rFonts w:ascii="Times" w:hAnsi="Times" w:cs="Times"/>
                <w:sz w:val="25"/>
                <w:szCs w:val="25"/>
              </w:rPr>
              <w:br/>
              <w:t xml:space="preserve">V čl. 1 bode 1 žiadame navrhované znenie poznámky pod čiarou k odkazu 4 upraviť takto: „4) Napríklad § 2 ods. 1 zákona č. 395/2019 Z. z. o občianskych preukazoch a o zmene a doplnení niektorých zákonov, § 4 ods. 1 zákona č. 647/2007 Z. z. o cestovných dokladoch a o zmene a doplnení niektorých zákonov, zákon č. 404/2011 Z. z. o pobyte cudzincov a o zmene a doplnení niektorých zákonov v znení neskorších predpisov.“. Túto pripomienku považujeme za zásadnú. Odôvodnenie: Navrhované znenie poznámky pod čiarou k odkazu 4 žiadame </w:t>
            </w:r>
            <w:proofErr w:type="spellStart"/>
            <w:r>
              <w:rPr>
                <w:rFonts w:ascii="Times" w:hAnsi="Times" w:cs="Times"/>
                <w:sz w:val="25"/>
                <w:szCs w:val="25"/>
              </w:rPr>
              <w:t>upresniť</w:t>
            </w:r>
            <w:proofErr w:type="spellEnd"/>
            <w:r>
              <w:rPr>
                <w:rFonts w:ascii="Times" w:hAnsi="Times" w:cs="Times"/>
                <w:sz w:val="25"/>
                <w:szCs w:val="25"/>
              </w:rPr>
              <w:t xml:space="preserve"> z dôvodu, že neprimerane obmedzuje samotný text návrhu zákona. Navrhované znenie poznámky pod čiarou k odkazu 4, keďže zavádza preukazovanie totožnosti len </w:t>
            </w:r>
            <w:r>
              <w:rPr>
                <w:rFonts w:ascii="Times" w:hAnsi="Times" w:cs="Times"/>
                <w:sz w:val="25"/>
                <w:szCs w:val="25"/>
              </w:rPr>
              <w:lastRenderedPageBreak/>
              <w:t xml:space="preserve">prostredníctvom občianskeho preukazu, nepriamo umožňuje vstup na kultúrne podujatie len osobám, ktoré sú držiteľom občianskeho preukazu. Občianskym preukazom Slovenskej republiky sa nemôžu preukazovať cudzinci. V tejto súvislosti poukazujeme na skutočnosť, že dokladom preukazujúcim totožnosť držiteľa na území Slovenskej republiky je aj platný cestovný pas, pobytový preukaz občana Európskej únie, príp. iný doklad vydaný orgánom cudzieho štátu. Navrhovaný text je potrebné z uvedených dôvodov upraviť: v poznámke pod čiarou k odkazu 4 uviesť demonštratívny výpočet citácií príslušných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Upravené v zmysle pripomienky.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 xml:space="preserve">K návrhu uznesenia vlády </w:t>
            </w:r>
            <w:r>
              <w:rPr>
                <w:rFonts w:ascii="Times" w:hAnsi="Times" w:cs="Times"/>
                <w:sz w:val="25"/>
                <w:szCs w:val="25"/>
              </w:rPr>
              <w:br/>
              <w:t xml:space="preserve">V návrhu uznesenia vlády odporúčame za slovom „ministerku“ a za slovom „ministerka“ vložiť slovo „kultúry“.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Upravené v zmysle pripomienky.</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K návrhu uznesenia vlády SR</w:t>
            </w:r>
            <w:r>
              <w:rPr>
                <w:rFonts w:ascii="Times" w:hAnsi="Times" w:cs="Times"/>
                <w:sz w:val="25"/>
                <w:szCs w:val="25"/>
              </w:rPr>
              <w:br/>
              <w:t xml:space="preserve">V návrhu uznesenia vlády SR navrhujeme za slovom „ministerku“ a za slovom „ministerka“ doplniť slovo „kultúry“. Odôvodnenie: Ide o formálno-technickú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Upravené v zmysle pripomienky.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Upozorňujeme, že doložka zlučiteľnosti obsahuje 5 bodov, je preto potrebné je upraviť v súlade s prílohou č. 2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Doložka zlučiteľnosti je vygenerovaná portálom </w:t>
            </w:r>
            <w:proofErr w:type="spellStart"/>
            <w:r>
              <w:rPr>
                <w:rFonts w:ascii="Times" w:hAnsi="Times" w:cs="Times"/>
                <w:sz w:val="25"/>
                <w:szCs w:val="25"/>
              </w:rPr>
              <w:t>Slov-Lex</w:t>
            </w:r>
            <w:proofErr w:type="spellEnd"/>
            <w:r>
              <w:rPr>
                <w:rFonts w:ascii="Times" w:hAnsi="Times" w:cs="Times"/>
                <w:sz w:val="25"/>
                <w:szCs w:val="25"/>
              </w:rPr>
              <w:t xml:space="preserve">. Podľa § 8 ods. 1 zákona č. 400/2015 Z. z. o tvorbe právnych predpisov a o Zbierke zákonov Slovenskej republiky a o zmene a doplnení niektorých zákonov "Tvorba návrhu právneho predpisu a jeho náležitostí podľa § 7 sa </w:t>
            </w:r>
            <w:r>
              <w:rPr>
                <w:rFonts w:ascii="Times" w:hAnsi="Times" w:cs="Times"/>
                <w:sz w:val="25"/>
                <w:szCs w:val="25"/>
              </w:rPr>
              <w:lastRenderedPageBreak/>
              <w:t xml:space="preserve">uskutočňuje na portáli.". Podľa prílohy č. 2 k Legislatívnym pravidlám vlády SR "Ak predmet návrhu zákona nie je v práve Európskej únie upravený, body 4 a 5 sa nevypĺňajú.". </w:t>
            </w:r>
          </w:p>
        </w:tc>
      </w:tr>
      <w:tr w:rsidR="00A67408">
        <w:trPr>
          <w:divId w:val="15163826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b/>
                <w:bCs/>
                <w:sz w:val="25"/>
                <w:szCs w:val="25"/>
              </w:rPr>
            </w:pPr>
            <w:r>
              <w:rPr>
                <w:rFonts w:ascii="Times" w:hAnsi="Times" w:cs="Times"/>
                <w:b/>
                <w:bCs/>
                <w:sz w:val="25"/>
                <w:szCs w:val="25"/>
              </w:rPr>
              <w:lastRenderedPageBreak/>
              <w:t>UVSR - 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Vzhľadom na to, že návrh zákona sa do pripomienkového konania predkladá ako iniciatívny návrh, teda nebol vypracovaný na základe uznesenia vlády podľa § 10 ods. 1 zákona č. 400/2015 Z. z. o tvorbe právnych predpisov a o Zbierke zákonov Slovenskej republiky a o zmene a doplnení niektorých zákonov v znení neskorších predpisov, žiadame návrh zákona prerokovať s podpredsedom vlády, ktorý má na starosti legislatívu. Zdôvodnenie: Podľa § 10 ods. 1 zákona č. 400/2015 Z. z. o tvorbe právnych predpisov a o Zbierke zákonov Slovenskej republiky a o zmene a doplnení niektorých zákonov v znení neskorších predpisov „návrh zákona alebo návrh ústavného zákona, ktorý sa nevypracoval na základe uznesenia vlády, možno predložiť na pripomienkové konanie len po prerokovaní s podpredsedom vlády, ktorý má na starosti legislatívu“.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7408" w:rsidRDefault="00A67408">
            <w:pPr>
              <w:rPr>
                <w:rFonts w:ascii="Times" w:hAnsi="Times" w:cs="Times"/>
                <w:sz w:val="25"/>
                <w:szCs w:val="25"/>
              </w:rPr>
            </w:pPr>
            <w:r>
              <w:rPr>
                <w:rFonts w:ascii="Times" w:hAnsi="Times" w:cs="Times"/>
                <w:sz w:val="25"/>
                <w:szCs w:val="25"/>
              </w:rPr>
              <w:t xml:space="preserve">Žiadosť o prerokovanie návrhu zákona bola zaslaná podpredsedovi vlády SR a vec bola odkonzultovaná.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565" w:rsidRDefault="00C22565" w:rsidP="000A67D5">
      <w:pPr>
        <w:spacing w:after="0" w:line="240" w:lineRule="auto"/>
      </w:pPr>
      <w:r>
        <w:separator/>
      </w:r>
    </w:p>
  </w:endnote>
  <w:endnote w:type="continuationSeparator" w:id="0">
    <w:p w:rsidR="00C22565" w:rsidRDefault="00C2256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565" w:rsidRDefault="00C22565" w:rsidP="000A67D5">
      <w:pPr>
        <w:spacing w:after="0" w:line="240" w:lineRule="auto"/>
      </w:pPr>
      <w:r>
        <w:separator/>
      </w:r>
    </w:p>
  </w:footnote>
  <w:footnote w:type="continuationSeparator" w:id="0">
    <w:p w:rsidR="00C22565" w:rsidRDefault="00C2256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67408"/>
    <w:rsid w:val="00B721A5"/>
    <w:rsid w:val="00B76589"/>
    <w:rsid w:val="00B8767E"/>
    <w:rsid w:val="00BD1FAB"/>
    <w:rsid w:val="00BE7302"/>
    <w:rsid w:val="00BF7CE0"/>
    <w:rsid w:val="00C22565"/>
    <w:rsid w:val="00CA44D2"/>
    <w:rsid w:val="00CE47A6"/>
    <w:rsid w:val="00CF3D59"/>
    <w:rsid w:val="00D261C9"/>
    <w:rsid w:val="00D85172"/>
    <w:rsid w:val="00D969AC"/>
    <w:rsid w:val="00DF7085"/>
    <w:rsid w:val="00E85710"/>
    <w:rsid w:val="00EB772A"/>
    <w:rsid w:val="00EF1425"/>
    <w:rsid w:val="00F26A4A"/>
    <w:rsid w:val="00F727F0"/>
    <w:rsid w:val="00F8562E"/>
    <w:rsid w:val="00FE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72384">
      <w:bodyDiv w:val="1"/>
      <w:marLeft w:val="0"/>
      <w:marRight w:val="0"/>
      <w:marTop w:val="0"/>
      <w:marBottom w:val="0"/>
      <w:divBdr>
        <w:top w:val="none" w:sz="0" w:space="0" w:color="auto"/>
        <w:left w:val="none" w:sz="0" w:space="0" w:color="auto"/>
        <w:bottom w:val="none" w:sz="0" w:space="0" w:color="auto"/>
        <w:right w:val="none" w:sz="0" w:space="0" w:color="auto"/>
      </w:divBdr>
    </w:div>
    <w:div w:id="1243948120">
      <w:bodyDiv w:val="1"/>
      <w:marLeft w:val="0"/>
      <w:marRight w:val="0"/>
      <w:marTop w:val="0"/>
      <w:marBottom w:val="0"/>
      <w:divBdr>
        <w:top w:val="none" w:sz="0" w:space="0" w:color="auto"/>
        <w:left w:val="none" w:sz="0" w:space="0" w:color="auto"/>
        <w:bottom w:val="none" w:sz="0" w:space="0" w:color="auto"/>
        <w:right w:val="none" w:sz="0" w:space="0" w:color="auto"/>
      </w:divBdr>
    </w:div>
    <w:div w:id="1306394895">
      <w:bodyDiv w:val="1"/>
      <w:marLeft w:val="0"/>
      <w:marRight w:val="0"/>
      <w:marTop w:val="0"/>
      <w:marBottom w:val="0"/>
      <w:divBdr>
        <w:top w:val="none" w:sz="0" w:space="0" w:color="auto"/>
        <w:left w:val="none" w:sz="0" w:space="0" w:color="auto"/>
        <w:bottom w:val="none" w:sz="0" w:space="0" w:color="auto"/>
        <w:right w:val="none" w:sz="0" w:space="0" w:color="auto"/>
      </w:divBdr>
    </w:div>
    <w:div w:id="1356032092">
      <w:bodyDiv w:val="1"/>
      <w:marLeft w:val="0"/>
      <w:marRight w:val="0"/>
      <w:marTop w:val="0"/>
      <w:marBottom w:val="0"/>
      <w:divBdr>
        <w:top w:val="none" w:sz="0" w:space="0" w:color="auto"/>
        <w:left w:val="none" w:sz="0" w:space="0" w:color="auto"/>
        <w:bottom w:val="none" w:sz="0" w:space="0" w:color="auto"/>
        <w:right w:val="none" w:sz="0" w:space="0" w:color="auto"/>
      </w:divBdr>
    </w:div>
    <w:div w:id="1516382665">
      <w:bodyDiv w:val="1"/>
      <w:marLeft w:val="0"/>
      <w:marRight w:val="0"/>
      <w:marTop w:val="0"/>
      <w:marBottom w:val="0"/>
      <w:divBdr>
        <w:top w:val="none" w:sz="0" w:space="0" w:color="auto"/>
        <w:left w:val="none" w:sz="0" w:space="0" w:color="auto"/>
        <w:bottom w:val="none" w:sz="0" w:space="0" w:color="auto"/>
        <w:right w:val="none" w:sz="0" w:space="0" w:color="auto"/>
      </w:divBdr>
    </w:div>
    <w:div w:id="1686516162">
      <w:bodyDiv w:val="1"/>
      <w:marLeft w:val="0"/>
      <w:marRight w:val="0"/>
      <w:marTop w:val="0"/>
      <w:marBottom w:val="0"/>
      <w:divBdr>
        <w:top w:val="none" w:sz="0" w:space="0" w:color="auto"/>
        <w:left w:val="none" w:sz="0" w:space="0" w:color="auto"/>
        <w:bottom w:val="none" w:sz="0" w:space="0" w:color="auto"/>
        <w:right w:val="none" w:sz="0" w:space="0" w:color="auto"/>
      </w:divBdr>
    </w:div>
    <w:div w:id="1755012538">
      <w:bodyDiv w:val="1"/>
      <w:marLeft w:val="0"/>
      <w:marRight w:val="0"/>
      <w:marTop w:val="0"/>
      <w:marBottom w:val="0"/>
      <w:divBdr>
        <w:top w:val="none" w:sz="0" w:space="0" w:color="auto"/>
        <w:left w:val="none" w:sz="0" w:space="0" w:color="auto"/>
        <w:bottom w:val="none" w:sz="0" w:space="0" w:color="auto"/>
        <w:right w:val="none" w:sz="0" w:space="0" w:color="auto"/>
      </w:divBdr>
    </w:div>
    <w:div w:id="17556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9.2021 13:55:22"/>
    <f:field ref="objchangedby" par="" text="Administrator, System"/>
    <f:field ref="objmodifiedat" par="" text="6.9.2021 13:55:2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2670</Words>
  <Characters>15223</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2021-09-06T12:02:00Z</dcterms:created>
  <dcterms:modified xsi:type="dcterms:W3CDTF">2021-09-06T12:02:00Z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menia a dopĺňajú niektoré zákony v pôsobnosti Ministerstva kultúry Slovenskej republiky v súvislosti s treťou vlnou pandémie ochorenia COVID-19 informovaná prostredníctvom predbežnej informácie zv</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Kultúra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Dalibor Maťko</vt:lpwstr>
  </property>
  <property fmtid="{D5CDD505-2E9C-101B-9397-08002B2CF9AE}" pid="11" name="FSC#SKEDITIONSLOVLEX@103.510:zodppredkladatel">
    <vt:lpwstr>Mgr. Natália Milanová</vt:lpwstr>
  </property>
  <property fmtid="{D5CDD505-2E9C-101B-9397-08002B2CF9AE}" pid="12" name="FSC#SKEDITIONSLOVLEX@103.510:dalsipredkladatel">
    <vt:lpwstr/>
  </property>
  <property fmtid="{D5CDD505-2E9C-101B-9397-08002B2CF9AE}" pid="13" name="FSC#SKEDITIONSLOVLEX@103.510:nazovpredpis">
    <vt:lpwstr>, ktorým sa menia a dopĺňajú niektoré zákony v pôsobnosti Ministerstva kultúry Slovenskej republiky v súvislosti s treťou vlnou pandémie ochorenia COVID-19</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ktorým sa menia a dopĺňajú niektoré zákony v pôsobnosti Ministerstva kultúry Slovenskej republiky v súvislosti s treťou vlnou pandémie ochorenia COVID-19</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MK-6649/2021-110/19206</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LP/2021/461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&lt;p&gt;Návrh považujeme z&amp;nbsp;hľadiska vplyvu na podnikateľské prostredie za neutrálny.&lt;/p&gt;&lt;p&gt;Zdôvodnenie: Zdobrovoľnenie povinných príspevkov príjemcov autorských odmien a odmien výkonných (reprodukčných) umelcov do umeleckých fondov vo výške 2 % autorských</vt:lpwstr>
  </property>
  <property fmtid="{D5CDD505-2E9C-101B-9397-08002B2CF9AE}" pid="65" name="FSC#SKEDITIONSLOVLEX@103.510:AttrStrListDocPropAltRiesenia">
    <vt:lpwstr>Nulový variant:Bez navrhovanej úpravy pravidiel  by, v prípade obmedzení verejných kultúrnych podujatí v súvislosti s ochorením COVID-19,  boli dodávateľsko-spotrebiteľské vzťahy nejasné, pokiaľ by súčasťou zmluvy nebola „vyššia moc“.Bez prijatia navrhova</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vt:lpwstr>
  </property>
  <property fmtid="{D5CDD505-2E9C-101B-9397-08002B2CF9AE}" pid="141" name="FSC#SKEDITIONSLOVLEX@103.510:funkciaZodpPredAkuzativ">
    <vt:lpwstr>ministerku</vt:lpwstr>
  </property>
  <property fmtid="{D5CDD505-2E9C-101B-9397-08002B2CF9AE}" pid="142" name="FSC#SKEDITIONSLOVLEX@103.510:funkciaZodpPredDativ">
    <vt:lpwstr>ministerke</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Natália Milanová_x000d_
ministerka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COO.2145.1000.3.4541198</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6. 9. 2021</vt:lpwstr>
  </property>
</Properties>
</file>