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752" w:rsidRDefault="00D40752" w:rsidP="00FC165A">
      <w:pPr>
        <w:spacing w:line="240" w:lineRule="auto"/>
        <w:jc w:val="center"/>
        <w:rPr>
          <w:b/>
          <w:bCs/>
          <w:sz w:val="28"/>
          <w:szCs w:val="28"/>
          <w:lang w:eastAsia="sk-SK"/>
        </w:rPr>
      </w:pPr>
      <w:bookmarkStart w:id="0" w:name="_GoBack"/>
      <w:bookmarkEnd w:id="0"/>
    </w:p>
    <w:p w:rsidR="00FC165A" w:rsidRDefault="00FC165A" w:rsidP="00D40752">
      <w:pPr>
        <w:spacing w:line="240" w:lineRule="auto"/>
        <w:jc w:val="center"/>
        <w:rPr>
          <w:b/>
          <w:bCs/>
          <w:sz w:val="28"/>
          <w:szCs w:val="28"/>
          <w:lang w:eastAsia="sk-SK"/>
        </w:rPr>
      </w:pPr>
      <w:r w:rsidRPr="004550C4">
        <w:rPr>
          <w:b/>
          <w:bCs/>
          <w:sz w:val="28"/>
          <w:szCs w:val="28"/>
          <w:lang w:eastAsia="sk-SK"/>
        </w:rPr>
        <w:t>Analýza vplyvov na rozpočet verejnej správy,</w:t>
      </w:r>
    </w:p>
    <w:p w:rsidR="00FC165A" w:rsidRPr="004550C4" w:rsidRDefault="00FC165A" w:rsidP="00D40752">
      <w:pPr>
        <w:spacing w:line="240" w:lineRule="auto"/>
        <w:jc w:val="center"/>
        <w:rPr>
          <w:b/>
          <w:bCs/>
          <w:sz w:val="28"/>
          <w:szCs w:val="28"/>
          <w:lang w:eastAsia="sk-SK"/>
        </w:rPr>
      </w:pPr>
      <w:r w:rsidRPr="004550C4">
        <w:rPr>
          <w:b/>
          <w:bCs/>
          <w:sz w:val="28"/>
          <w:szCs w:val="28"/>
          <w:lang w:eastAsia="sk-SK"/>
        </w:rPr>
        <w:t>na zamestnanosť vo verejnej správe a financovanie návrhu</w:t>
      </w:r>
    </w:p>
    <w:p w:rsidR="00FC165A" w:rsidRPr="004550C4" w:rsidRDefault="00FC165A" w:rsidP="00FC165A">
      <w:pPr>
        <w:spacing w:line="240" w:lineRule="auto"/>
        <w:rPr>
          <w:b/>
          <w:bCs/>
          <w:szCs w:val="24"/>
          <w:lang w:eastAsia="sk-SK"/>
        </w:rPr>
      </w:pPr>
    </w:p>
    <w:p w:rsidR="00FC165A" w:rsidRPr="004550C4" w:rsidRDefault="00FC165A" w:rsidP="00FC165A">
      <w:pPr>
        <w:spacing w:line="240" w:lineRule="auto"/>
        <w:rPr>
          <w:b/>
          <w:bCs/>
          <w:szCs w:val="24"/>
          <w:lang w:eastAsia="sk-SK"/>
        </w:rPr>
      </w:pPr>
      <w:r w:rsidRPr="004550C4">
        <w:rPr>
          <w:b/>
          <w:bCs/>
          <w:szCs w:val="24"/>
          <w:lang w:eastAsia="sk-SK"/>
        </w:rPr>
        <w:t>2.1 Zhrnutie vplyvov na rozpočet verejnej správy v návrhu</w:t>
      </w:r>
    </w:p>
    <w:p w:rsidR="00FC165A" w:rsidRPr="004550C4" w:rsidRDefault="00995B01" w:rsidP="00995B01">
      <w:pPr>
        <w:spacing w:line="240" w:lineRule="auto"/>
        <w:jc w:val="center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                                                                  </w:t>
      </w:r>
      <w:r>
        <w:rPr>
          <w:sz w:val="20"/>
          <w:szCs w:val="20"/>
          <w:lang w:eastAsia="sk-SK"/>
        </w:rPr>
        <w:tab/>
      </w:r>
      <w:r>
        <w:rPr>
          <w:sz w:val="20"/>
          <w:szCs w:val="20"/>
          <w:lang w:eastAsia="sk-SK"/>
        </w:rPr>
        <w:tab/>
      </w:r>
      <w:r>
        <w:rPr>
          <w:sz w:val="20"/>
          <w:szCs w:val="20"/>
          <w:lang w:eastAsia="sk-SK"/>
        </w:rPr>
        <w:tab/>
      </w:r>
      <w:r>
        <w:rPr>
          <w:sz w:val="20"/>
          <w:szCs w:val="20"/>
          <w:lang w:eastAsia="sk-SK"/>
        </w:rPr>
        <w:tab/>
      </w:r>
      <w:r>
        <w:rPr>
          <w:sz w:val="20"/>
          <w:szCs w:val="20"/>
          <w:lang w:eastAsia="sk-SK"/>
        </w:rPr>
        <w:tab/>
        <w:t xml:space="preserve">                                 </w:t>
      </w:r>
      <w:r w:rsidR="00FC165A" w:rsidRPr="004550C4">
        <w:rPr>
          <w:sz w:val="20"/>
          <w:szCs w:val="20"/>
          <w:lang w:eastAsia="sk-SK"/>
        </w:rPr>
        <w:t xml:space="preserve">Tabuľka č. 1 </w:t>
      </w:r>
    </w:p>
    <w:tbl>
      <w:tblPr>
        <w:tblW w:w="10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4"/>
        <w:gridCol w:w="1400"/>
        <w:gridCol w:w="1560"/>
        <w:gridCol w:w="1422"/>
        <w:gridCol w:w="1603"/>
      </w:tblGrid>
      <w:tr w:rsidR="00FC165A" w:rsidRPr="004550C4" w:rsidTr="00D732AE">
        <w:trPr>
          <w:cantSplit/>
          <w:trHeight w:val="194"/>
          <w:jc w:val="center"/>
        </w:trPr>
        <w:tc>
          <w:tcPr>
            <w:tcW w:w="4444" w:type="dxa"/>
            <w:vMerge w:val="restart"/>
            <w:shd w:val="clear" w:color="auto" w:fill="BFBFBF" w:themeFill="background1" w:themeFillShade="BF"/>
            <w:vAlign w:val="center"/>
          </w:tcPr>
          <w:p w:rsidR="00FC165A" w:rsidRPr="004550C4" w:rsidRDefault="00FC165A" w:rsidP="002B77CE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bookmarkStart w:id="1" w:name="OLE_LINK1"/>
            <w:r w:rsidRPr="004550C4">
              <w:rPr>
                <w:b/>
                <w:bCs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985" w:type="dxa"/>
            <w:gridSpan w:val="4"/>
            <w:shd w:val="clear" w:color="auto" w:fill="BFBFBF" w:themeFill="background1" w:themeFillShade="BF"/>
            <w:vAlign w:val="center"/>
          </w:tcPr>
          <w:p w:rsidR="00FC165A" w:rsidRPr="004550C4" w:rsidRDefault="00FC165A" w:rsidP="00EB0A5C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 xml:space="preserve">Vplyv na rozpočet verejnej správy </w:t>
            </w:r>
          </w:p>
        </w:tc>
      </w:tr>
      <w:tr w:rsidR="00FC165A" w:rsidRPr="004550C4" w:rsidTr="00D732AE">
        <w:trPr>
          <w:cantSplit/>
          <w:trHeight w:val="70"/>
          <w:jc w:val="center"/>
        </w:trPr>
        <w:tc>
          <w:tcPr>
            <w:tcW w:w="4444" w:type="dxa"/>
            <w:vMerge/>
            <w:shd w:val="clear" w:color="auto" w:fill="BFBFBF" w:themeFill="background1" w:themeFillShade="BF"/>
            <w:vAlign w:val="center"/>
          </w:tcPr>
          <w:p w:rsidR="00FC165A" w:rsidRPr="004550C4" w:rsidRDefault="00FC165A" w:rsidP="002B77CE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</w:p>
        </w:tc>
        <w:tc>
          <w:tcPr>
            <w:tcW w:w="1400" w:type="dxa"/>
            <w:shd w:val="clear" w:color="auto" w:fill="BFBFBF" w:themeFill="background1" w:themeFillShade="BF"/>
            <w:vAlign w:val="center"/>
          </w:tcPr>
          <w:p w:rsidR="00FC165A" w:rsidRPr="004550C4" w:rsidRDefault="003622EE" w:rsidP="009D1E26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>
              <w:rPr>
                <w:b/>
                <w:bCs/>
                <w:szCs w:val="24"/>
                <w:lang w:eastAsia="sk-SK"/>
              </w:rPr>
              <w:t>20</w:t>
            </w:r>
            <w:r w:rsidR="0055779D">
              <w:rPr>
                <w:b/>
                <w:bCs/>
                <w:szCs w:val="24"/>
                <w:lang w:eastAsia="sk-SK"/>
              </w:rPr>
              <w:t>2</w:t>
            </w:r>
            <w:r w:rsidR="009D1E26">
              <w:rPr>
                <w:b/>
                <w:bCs/>
                <w:szCs w:val="24"/>
                <w:lang w:eastAsia="sk-SK"/>
              </w:rPr>
              <w:t>1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FC165A" w:rsidRPr="004550C4" w:rsidRDefault="00FC165A" w:rsidP="009D1E26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20</w:t>
            </w:r>
            <w:r w:rsidR="003622EE">
              <w:rPr>
                <w:b/>
                <w:bCs/>
                <w:szCs w:val="24"/>
                <w:lang w:eastAsia="sk-SK"/>
              </w:rPr>
              <w:t>2</w:t>
            </w:r>
            <w:r w:rsidR="009D1E26">
              <w:rPr>
                <w:b/>
                <w:bCs/>
                <w:szCs w:val="24"/>
                <w:lang w:eastAsia="sk-SK"/>
              </w:rPr>
              <w:t>2</w:t>
            </w: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FC165A" w:rsidRPr="004550C4" w:rsidRDefault="00FC165A" w:rsidP="009D1E26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20</w:t>
            </w:r>
            <w:r>
              <w:rPr>
                <w:b/>
                <w:bCs/>
                <w:szCs w:val="24"/>
                <w:lang w:eastAsia="sk-SK"/>
              </w:rPr>
              <w:t>2</w:t>
            </w:r>
            <w:r w:rsidR="009D1E26">
              <w:rPr>
                <w:b/>
                <w:bCs/>
                <w:szCs w:val="24"/>
                <w:lang w:eastAsia="sk-SK"/>
              </w:rPr>
              <w:t>3</w:t>
            </w:r>
          </w:p>
        </w:tc>
        <w:tc>
          <w:tcPr>
            <w:tcW w:w="1603" w:type="dxa"/>
            <w:shd w:val="clear" w:color="auto" w:fill="BFBFBF" w:themeFill="background1" w:themeFillShade="BF"/>
            <w:vAlign w:val="center"/>
          </w:tcPr>
          <w:p w:rsidR="00FC165A" w:rsidRPr="004550C4" w:rsidRDefault="00FC165A" w:rsidP="009D1E26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202</w:t>
            </w:r>
            <w:r w:rsidR="009D1E26">
              <w:rPr>
                <w:b/>
                <w:bCs/>
                <w:szCs w:val="24"/>
                <w:lang w:eastAsia="sk-SK"/>
              </w:rPr>
              <w:t>4</w:t>
            </w:r>
          </w:p>
        </w:tc>
      </w:tr>
      <w:tr w:rsidR="006A4080" w:rsidRPr="004550C4" w:rsidTr="00401531">
        <w:trPr>
          <w:trHeight w:val="70"/>
          <w:jc w:val="center"/>
        </w:trPr>
        <w:tc>
          <w:tcPr>
            <w:tcW w:w="4444" w:type="dxa"/>
            <w:shd w:val="clear" w:color="auto" w:fill="C0C0C0"/>
            <w:noWrap/>
            <w:vAlign w:val="center"/>
          </w:tcPr>
          <w:p w:rsidR="006A4080" w:rsidRPr="004550C4" w:rsidRDefault="006A4080" w:rsidP="006A4080">
            <w:pPr>
              <w:spacing w:line="240" w:lineRule="auto"/>
              <w:rPr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Príjmy verejnej správy celkom</w:t>
            </w:r>
          </w:p>
        </w:tc>
        <w:tc>
          <w:tcPr>
            <w:tcW w:w="1400" w:type="dxa"/>
            <w:shd w:val="clear" w:color="auto" w:fill="C0C0C0"/>
          </w:tcPr>
          <w:p w:rsidR="006A4080" w:rsidRPr="00514598" w:rsidRDefault="007E10F1" w:rsidP="006A4080">
            <w:pPr>
              <w:jc w:val="right"/>
              <w:rPr>
                <w:sz w:val="20"/>
                <w:szCs w:val="20"/>
              </w:rPr>
            </w:pPr>
            <w:r w:rsidRPr="00514598">
              <w:rPr>
                <w:sz w:val="20"/>
                <w:szCs w:val="20"/>
              </w:rPr>
              <w:t> -145 000</w:t>
            </w:r>
          </w:p>
        </w:tc>
        <w:tc>
          <w:tcPr>
            <w:tcW w:w="1560" w:type="dxa"/>
            <w:shd w:val="clear" w:color="auto" w:fill="C0C0C0"/>
          </w:tcPr>
          <w:p w:rsidR="006A4080" w:rsidRPr="00514598" w:rsidRDefault="007E10F1" w:rsidP="006A4080">
            <w:pPr>
              <w:jc w:val="right"/>
              <w:rPr>
                <w:sz w:val="20"/>
                <w:szCs w:val="20"/>
              </w:rPr>
            </w:pPr>
            <w:r w:rsidRPr="00514598">
              <w:rPr>
                <w:sz w:val="20"/>
                <w:szCs w:val="20"/>
              </w:rPr>
              <w:t> -725 000</w:t>
            </w:r>
          </w:p>
        </w:tc>
        <w:tc>
          <w:tcPr>
            <w:tcW w:w="1422" w:type="dxa"/>
            <w:shd w:val="clear" w:color="auto" w:fill="C0C0C0"/>
          </w:tcPr>
          <w:p w:rsidR="006A4080" w:rsidRPr="00514598" w:rsidRDefault="007E10F1" w:rsidP="006A4080">
            <w:pPr>
              <w:jc w:val="right"/>
              <w:rPr>
                <w:sz w:val="20"/>
                <w:szCs w:val="20"/>
              </w:rPr>
            </w:pPr>
            <w:r w:rsidRPr="00514598">
              <w:rPr>
                <w:sz w:val="20"/>
                <w:szCs w:val="20"/>
              </w:rPr>
              <w:t> -580 000</w:t>
            </w:r>
          </w:p>
        </w:tc>
        <w:tc>
          <w:tcPr>
            <w:tcW w:w="1603" w:type="dxa"/>
            <w:shd w:val="clear" w:color="auto" w:fill="C0C0C0"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FC165A" w:rsidRPr="004550C4" w:rsidTr="00D732AE">
        <w:trPr>
          <w:trHeight w:val="132"/>
          <w:jc w:val="center"/>
        </w:trPr>
        <w:tc>
          <w:tcPr>
            <w:tcW w:w="4444" w:type="dxa"/>
            <w:noWrap/>
            <w:vAlign w:val="center"/>
          </w:tcPr>
          <w:p w:rsidR="00FC165A" w:rsidRPr="004550C4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  <w:r w:rsidRPr="004550C4">
              <w:rPr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400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2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3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</w:tr>
      <w:tr w:rsidR="00FC165A" w:rsidRPr="004550C4" w:rsidTr="00D732AE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FC165A" w:rsidRPr="004550C4" w:rsidRDefault="00FC165A" w:rsidP="002B77CE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4550C4">
              <w:rPr>
                <w:b/>
                <w:bCs/>
                <w:i/>
                <w:iCs/>
                <w:szCs w:val="24"/>
                <w:lang w:eastAsia="sk-SK"/>
              </w:rPr>
              <w:t xml:space="preserve">z toho:  </w:t>
            </w:r>
          </w:p>
        </w:tc>
        <w:tc>
          <w:tcPr>
            <w:tcW w:w="1400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2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6A4080" w:rsidRPr="004550C4" w:rsidTr="00DF6F74">
        <w:trPr>
          <w:trHeight w:val="125"/>
          <w:jc w:val="center"/>
        </w:trPr>
        <w:tc>
          <w:tcPr>
            <w:tcW w:w="4444" w:type="dxa"/>
            <w:noWrap/>
            <w:vAlign w:val="center"/>
          </w:tcPr>
          <w:p w:rsidR="006A4080" w:rsidRPr="004550C4" w:rsidRDefault="006A4080" w:rsidP="006A4080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4550C4">
              <w:rPr>
                <w:b/>
                <w:bCs/>
                <w:i/>
                <w:iCs/>
                <w:szCs w:val="24"/>
                <w:lang w:eastAsia="sk-SK"/>
              </w:rPr>
              <w:t>- vplyv na ŠR</w:t>
            </w:r>
          </w:p>
        </w:tc>
        <w:tc>
          <w:tcPr>
            <w:tcW w:w="1400" w:type="dxa"/>
            <w:noWrap/>
          </w:tcPr>
          <w:p w:rsidR="006A4080" w:rsidRPr="00514598" w:rsidRDefault="007E10F1" w:rsidP="006A4080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 -145 000</w:t>
            </w:r>
          </w:p>
        </w:tc>
        <w:tc>
          <w:tcPr>
            <w:tcW w:w="1560" w:type="dxa"/>
            <w:noWrap/>
          </w:tcPr>
          <w:p w:rsidR="006A4080" w:rsidRPr="00514598" w:rsidRDefault="007E10F1" w:rsidP="006A4080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 -725 000</w:t>
            </w:r>
          </w:p>
        </w:tc>
        <w:tc>
          <w:tcPr>
            <w:tcW w:w="1422" w:type="dxa"/>
            <w:noWrap/>
          </w:tcPr>
          <w:p w:rsidR="006A4080" w:rsidRPr="00514598" w:rsidRDefault="007E10F1" w:rsidP="006A4080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 -580 000</w:t>
            </w:r>
          </w:p>
        </w:tc>
        <w:tc>
          <w:tcPr>
            <w:tcW w:w="1603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FC165A" w:rsidRPr="004550C4" w:rsidTr="00D732AE">
        <w:trPr>
          <w:trHeight w:val="125"/>
          <w:jc w:val="center"/>
        </w:trPr>
        <w:tc>
          <w:tcPr>
            <w:tcW w:w="4444" w:type="dxa"/>
            <w:noWrap/>
            <w:vAlign w:val="center"/>
          </w:tcPr>
          <w:p w:rsidR="00FC165A" w:rsidRPr="004550C4" w:rsidRDefault="00FC165A" w:rsidP="002B77CE">
            <w:pPr>
              <w:spacing w:line="240" w:lineRule="auto"/>
              <w:ind w:left="259"/>
              <w:rPr>
                <w:b/>
                <w:bCs/>
                <w:i/>
                <w:iCs/>
                <w:szCs w:val="24"/>
                <w:lang w:eastAsia="sk-SK"/>
              </w:rPr>
            </w:pPr>
            <w:r w:rsidRPr="004550C4">
              <w:rPr>
                <w:bCs/>
                <w:i/>
                <w:iCs/>
                <w:szCs w:val="24"/>
                <w:lang w:eastAsia="sk-SK"/>
              </w:rPr>
              <w:t>Rozpočtové prostriedky</w:t>
            </w:r>
          </w:p>
        </w:tc>
        <w:tc>
          <w:tcPr>
            <w:tcW w:w="1400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2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3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FC165A" w:rsidRPr="004550C4" w:rsidTr="00D732AE">
        <w:trPr>
          <w:trHeight w:val="125"/>
          <w:jc w:val="center"/>
        </w:trPr>
        <w:tc>
          <w:tcPr>
            <w:tcW w:w="4444" w:type="dxa"/>
            <w:noWrap/>
            <w:vAlign w:val="center"/>
          </w:tcPr>
          <w:p w:rsidR="00FC165A" w:rsidRPr="004550C4" w:rsidRDefault="00FC165A" w:rsidP="002B77CE">
            <w:pPr>
              <w:spacing w:line="240" w:lineRule="auto"/>
              <w:ind w:left="259"/>
              <w:rPr>
                <w:bCs/>
                <w:i/>
                <w:iCs/>
                <w:szCs w:val="24"/>
                <w:lang w:eastAsia="sk-SK"/>
              </w:rPr>
            </w:pPr>
            <w:r w:rsidRPr="004550C4">
              <w:rPr>
                <w:bCs/>
                <w:i/>
                <w:iCs/>
                <w:szCs w:val="24"/>
                <w:lang w:eastAsia="sk-SK"/>
              </w:rPr>
              <w:t>EÚ zdroje</w:t>
            </w:r>
          </w:p>
        </w:tc>
        <w:tc>
          <w:tcPr>
            <w:tcW w:w="1400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2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3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</w:tr>
      <w:tr w:rsidR="00FC165A" w:rsidRPr="004550C4" w:rsidTr="00D732AE">
        <w:trPr>
          <w:trHeight w:val="125"/>
          <w:jc w:val="center"/>
        </w:trPr>
        <w:tc>
          <w:tcPr>
            <w:tcW w:w="4444" w:type="dxa"/>
            <w:noWrap/>
            <w:vAlign w:val="center"/>
          </w:tcPr>
          <w:p w:rsidR="00FC165A" w:rsidRPr="004550C4" w:rsidRDefault="00FC165A" w:rsidP="002B77CE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4550C4">
              <w:rPr>
                <w:b/>
                <w:bCs/>
                <w:i/>
                <w:iCs/>
                <w:szCs w:val="24"/>
                <w:lang w:eastAsia="sk-SK"/>
              </w:rPr>
              <w:t>- vplyv na obce</w:t>
            </w:r>
          </w:p>
        </w:tc>
        <w:tc>
          <w:tcPr>
            <w:tcW w:w="1400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2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FC165A" w:rsidRPr="004550C4" w:rsidTr="00D732AE">
        <w:trPr>
          <w:trHeight w:val="125"/>
          <w:jc w:val="center"/>
        </w:trPr>
        <w:tc>
          <w:tcPr>
            <w:tcW w:w="4444" w:type="dxa"/>
            <w:noWrap/>
            <w:vAlign w:val="center"/>
          </w:tcPr>
          <w:p w:rsidR="00FC165A" w:rsidRPr="004550C4" w:rsidRDefault="00FC165A" w:rsidP="002B77CE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4550C4">
              <w:rPr>
                <w:b/>
                <w:bCs/>
                <w:i/>
                <w:iCs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00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2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3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FC165A" w:rsidRPr="004550C4" w:rsidTr="00D732AE">
        <w:trPr>
          <w:trHeight w:val="125"/>
          <w:jc w:val="center"/>
        </w:trPr>
        <w:tc>
          <w:tcPr>
            <w:tcW w:w="4444" w:type="dxa"/>
            <w:noWrap/>
            <w:vAlign w:val="center"/>
          </w:tcPr>
          <w:p w:rsidR="00FC165A" w:rsidRPr="004550C4" w:rsidRDefault="00FC165A" w:rsidP="002B77CE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4550C4">
              <w:rPr>
                <w:b/>
                <w:bCs/>
                <w:i/>
                <w:iCs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00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2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3" w:type="dxa"/>
            <w:noWrap/>
            <w:vAlign w:val="center"/>
          </w:tcPr>
          <w:p w:rsidR="00FC165A" w:rsidRPr="00514598" w:rsidRDefault="00FC165A" w:rsidP="002B77CE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6A4080" w:rsidRPr="004550C4" w:rsidTr="00E53B2E">
        <w:trPr>
          <w:trHeight w:val="338"/>
          <w:jc w:val="center"/>
        </w:trPr>
        <w:tc>
          <w:tcPr>
            <w:tcW w:w="4444" w:type="dxa"/>
            <w:shd w:val="clear" w:color="auto" w:fill="C0C0C0"/>
            <w:noWrap/>
            <w:vAlign w:val="center"/>
          </w:tcPr>
          <w:p w:rsidR="006A4080" w:rsidRPr="004550C4" w:rsidRDefault="006A4080" w:rsidP="006A4080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Výdavky verejnej správy celkom</w:t>
            </w:r>
            <w:r>
              <w:rPr>
                <w:b/>
                <w:bCs/>
                <w:szCs w:val="24"/>
                <w:lang w:eastAsia="sk-SK"/>
              </w:rPr>
              <w:t xml:space="preserve"> </w:t>
            </w:r>
          </w:p>
        </w:tc>
        <w:tc>
          <w:tcPr>
            <w:tcW w:w="1400" w:type="dxa"/>
            <w:shd w:val="clear" w:color="auto" w:fill="C0C0C0"/>
            <w:noWrap/>
          </w:tcPr>
          <w:p w:rsidR="006A4080" w:rsidRPr="00514598" w:rsidRDefault="00770462" w:rsidP="00770462">
            <w:pPr>
              <w:jc w:val="right"/>
              <w:rPr>
                <w:sz w:val="20"/>
                <w:szCs w:val="20"/>
              </w:rPr>
            </w:pPr>
            <w:r w:rsidRPr="00514598">
              <w:rPr>
                <w:sz w:val="20"/>
                <w:szCs w:val="20"/>
              </w:rPr>
              <w:t>54 824,25</w:t>
            </w:r>
          </w:p>
        </w:tc>
        <w:tc>
          <w:tcPr>
            <w:tcW w:w="1560" w:type="dxa"/>
            <w:shd w:val="clear" w:color="auto" w:fill="C0C0C0"/>
            <w:noWrap/>
          </w:tcPr>
          <w:p w:rsidR="006A4080" w:rsidRPr="00514598" w:rsidRDefault="00770462" w:rsidP="006A4080">
            <w:pPr>
              <w:jc w:val="right"/>
              <w:rPr>
                <w:sz w:val="20"/>
                <w:szCs w:val="20"/>
              </w:rPr>
            </w:pPr>
            <w:r w:rsidRPr="00514598">
              <w:rPr>
                <w:sz w:val="20"/>
                <w:szCs w:val="20"/>
              </w:rPr>
              <w:t>1 353 453, 11</w:t>
            </w:r>
          </w:p>
        </w:tc>
        <w:tc>
          <w:tcPr>
            <w:tcW w:w="1422" w:type="dxa"/>
            <w:shd w:val="clear" w:color="auto" w:fill="C0C0C0"/>
            <w:noWrap/>
          </w:tcPr>
          <w:p w:rsidR="006A4080" w:rsidRPr="00514598" w:rsidRDefault="00770462" w:rsidP="006A4080">
            <w:pPr>
              <w:jc w:val="right"/>
              <w:rPr>
                <w:sz w:val="20"/>
                <w:szCs w:val="20"/>
              </w:rPr>
            </w:pPr>
            <w:r w:rsidRPr="00514598">
              <w:rPr>
                <w:sz w:val="20"/>
                <w:szCs w:val="20"/>
              </w:rPr>
              <w:t>1 338 730, 07</w:t>
            </w:r>
          </w:p>
        </w:tc>
        <w:tc>
          <w:tcPr>
            <w:tcW w:w="1603" w:type="dxa"/>
            <w:shd w:val="clear" w:color="auto" w:fill="C0C0C0"/>
            <w:noWrap/>
          </w:tcPr>
          <w:p w:rsidR="006A4080" w:rsidRPr="00514598" w:rsidRDefault="00770462" w:rsidP="006A4080">
            <w:pPr>
              <w:jc w:val="right"/>
              <w:rPr>
                <w:sz w:val="20"/>
                <w:szCs w:val="20"/>
              </w:rPr>
            </w:pPr>
            <w:r w:rsidRPr="00514598">
              <w:rPr>
                <w:sz w:val="20"/>
                <w:szCs w:val="20"/>
              </w:rPr>
              <w:t>1 359 587, 50</w:t>
            </w:r>
          </w:p>
        </w:tc>
      </w:tr>
      <w:tr w:rsidR="004F3D65" w:rsidRPr="004550C4" w:rsidTr="00D732AE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4F3D65" w:rsidRPr="004F3D65" w:rsidRDefault="004F3D65" w:rsidP="00BC4A81">
            <w:pPr>
              <w:spacing w:line="240" w:lineRule="auto"/>
              <w:rPr>
                <w:szCs w:val="24"/>
                <w:lang w:eastAsia="sk-SK"/>
              </w:rPr>
            </w:pPr>
            <w:r w:rsidRPr="004F3D65">
              <w:rPr>
                <w:szCs w:val="24"/>
                <w:lang w:eastAsia="sk-SK"/>
              </w:rPr>
              <w:t xml:space="preserve">v tom: </w:t>
            </w:r>
            <w:r w:rsidR="00BC4A81">
              <w:rPr>
                <w:szCs w:val="24"/>
                <w:lang w:eastAsia="sk-SK"/>
              </w:rPr>
              <w:t>MH Invest, s.r.o.</w:t>
            </w:r>
          </w:p>
        </w:tc>
        <w:tc>
          <w:tcPr>
            <w:tcW w:w="1400" w:type="dxa"/>
            <w:noWrap/>
            <w:vAlign w:val="center"/>
          </w:tcPr>
          <w:p w:rsidR="004F3D65" w:rsidRPr="00514598" w:rsidRDefault="004F3D65" w:rsidP="004F3D65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:rsidR="004F3D65" w:rsidRPr="00514598" w:rsidRDefault="004F3D65" w:rsidP="004F3D65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1 283 060, 11</w:t>
            </w:r>
          </w:p>
        </w:tc>
        <w:tc>
          <w:tcPr>
            <w:tcW w:w="1422" w:type="dxa"/>
            <w:noWrap/>
            <w:vAlign w:val="center"/>
          </w:tcPr>
          <w:p w:rsidR="004F3D65" w:rsidRPr="00514598" w:rsidRDefault="004F3D65" w:rsidP="004F3D65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1 303 589, 07</w:t>
            </w:r>
          </w:p>
        </w:tc>
        <w:tc>
          <w:tcPr>
            <w:tcW w:w="1603" w:type="dxa"/>
            <w:noWrap/>
            <w:vAlign w:val="center"/>
          </w:tcPr>
          <w:p w:rsidR="004F3D65" w:rsidRPr="00514598" w:rsidRDefault="004F3D65" w:rsidP="004F3D65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1 324 446, 50</w:t>
            </w:r>
          </w:p>
        </w:tc>
      </w:tr>
      <w:tr w:rsidR="006A4080" w:rsidRPr="004550C4" w:rsidTr="00D732AE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6A4080" w:rsidRPr="004550C4" w:rsidRDefault="006A4080" w:rsidP="006A4080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4F3D65">
              <w:rPr>
                <w:szCs w:val="24"/>
                <w:lang w:eastAsia="sk-SK"/>
              </w:rPr>
              <w:t xml:space="preserve">v tom: </w:t>
            </w:r>
            <w:r>
              <w:rPr>
                <w:szCs w:val="24"/>
                <w:lang w:eastAsia="sk-SK"/>
              </w:rPr>
              <w:t>MPSVR</w:t>
            </w:r>
            <w:r w:rsidRPr="004F3D65">
              <w:rPr>
                <w:szCs w:val="24"/>
                <w:lang w:eastAsia="sk-SK"/>
              </w:rPr>
              <w:t xml:space="preserve"> SR</w:t>
            </w:r>
          </w:p>
        </w:tc>
        <w:tc>
          <w:tcPr>
            <w:tcW w:w="140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46 039</w:t>
            </w:r>
          </w:p>
        </w:tc>
        <w:tc>
          <w:tcPr>
            <w:tcW w:w="156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35 252</w:t>
            </w:r>
          </w:p>
        </w:tc>
        <w:tc>
          <w:tcPr>
            <w:tcW w:w="1422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5A57F0" w:rsidRPr="004550C4" w:rsidTr="00D732AE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5A57F0" w:rsidRPr="004F3D65" w:rsidRDefault="005A57F0" w:rsidP="006A4080">
            <w:pPr>
              <w:spacing w:line="240" w:lineRule="auto"/>
              <w:rPr>
                <w:szCs w:val="24"/>
                <w:lang w:eastAsia="sk-SK"/>
              </w:rPr>
            </w:pPr>
            <w:r>
              <w:rPr>
                <w:szCs w:val="24"/>
                <w:lang w:eastAsia="sk-SK"/>
              </w:rPr>
              <w:t>v tom: MZVaEZ SR</w:t>
            </w:r>
          </w:p>
        </w:tc>
        <w:tc>
          <w:tcPr>
            <w:tcW w:w="1400" w:type="dxa"/>
            <w:noWrap/>
            <w:vAlign w:val="center"/>
          </w:tcPr>
          <w:p w:rsidR="005A57F0" w:rsidRPr="00514598" w:rsidRDefault="00770462" w:rsidP="006A4080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8 785,25</w:t>
            </w:r>
          </w:p>
        </w:tc>
        <w:tc>
          <w:tcPr>
            <w:tcW w:w="1560" w:type="dxa"/>
            <w:noWrap/>
            <w:vAlign w:val="center"/>
          </w:tcPr>
          <w:p w:rsidR="005A57F0" w:rsidRPr="00514598" w:rsidRDefault="00770462" w:rsidP="006A4080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35 141</w:t>
            </w:r>
          </w:p>
        </w:tc>
        <w:tc>
          <w:tcPr>
            <w:tcW w:w="1422" w:type="dxa"/>
            <w:noWrap/>
            <w:vAlign w:val="center"/>
          </w:tcPr>
          <w:p w:rsidR="005A57F0" w:rsidRPr="00514598" w:rsidRDefault="00770462" w:rsidP="006A4080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35 141</w:t>
            </w:r>
          </w:p>
        </w:tc>
        <w:tc>
          <w:tcPr>
            <w:tcW w:w="1603" w:type="dxa"/>
            <w:noWrap/>
            <w:vAlign w:val="center"/>
          </w:tcPr>
          <w:p w:rsidR="005A57F0" w:rsidRPr="00514598" w:rsidRDefault="00770462" w:rsidP="006A4080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35 141</w:t>
            </w:r>
          </w:p>
        </w:tc>
      </w:tr>
      <w:tr w:rsidR="006A4080" w:rsidRPr="004550C4" w:rsidTr="00D732AE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6A4080" w:rsidRPr="004550C4" w:rsidRDefault="006A4080" w:rsidP="006A4080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4550C4">
              <w:rPr>
                <w:b/>
                <w:bCs/>
                <w:i/>
                <w:iCs/>
                <w:szCs w:val="24"/>
                <w:lang w:eastAsia="sk-SK"/>
              </w:rPr>
              <w:t xml:space="preserve">z toho: </w:t>
            </w:r>
          </w:p>
        </w:tc>
        <w:tc>
          <w:tcPr>
            <w:tcW w:w="140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2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6A4080" w:rsidRPr="004550C4" w:rsidTr="00816FDB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6A4080" w:rsidRPr="004550C4" w:rsidRDefault="006A4080" w:rsidP="006A4080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4550C4">
              <w:rPr>
                <w:b/>
                <w:bCs/>
                <w:i/>
                <w:iCs/>
                <w:szCs w:val="24"/>
                <w:lang w:eastAsia="sk-SK"/>
              </w:rPr>
              <w:t>- vplyv na ŠR</w:t>
            </w:r>
          </w:p>
        </w:tc>
        <w:tc>
          <w:tcPr>
            <w:tcW w:w="1400" w:type="dxa"/>
            <w:noWrap/>
          </w:tcPr>
          <w:p w:rsidR="006A4080" w:rsidRPr="00514598" w:rsidRDefault="00770462" w:rsidP="006A4080">
            <w:pPr>
              <w:jc w:val="right"/>
              <w:rPr>
                <w:sz w:val="20"/>
                <w:szCs w:val="20"/>
              </w:rPr>
            </w:pPr>
            <w:r w:rsidRPr="00514598">
              <w:rPr>
                <w:sz w:val="20"/>
                <w:szCs w:val="20"/>
              </w:rPr>
              <w:t>54 824,25</w:t>
            </w:r>
          </w:p>
        </w:tc>
        <w:tc>
          <w:tcPr>
            <w:tcW w:w="1560" w:type="dxa"/>
            <w:noWrap/>
          </w:tcPr>
          <w:p w:rsidR="006A4080" w:rsidRPr="00514598" w:rsidRDefault="00770462" w:rsidP="006A4080">
            <w:pPr>
              <w:jc w:val="right"/>
              <w:rPr>
                <w:sz w:val="20"/>
                <w:szCs w:val="20"/>
              </w:rPr>
            </w:pPr>
            <w:r w:rsidRPr="00514598">
              <w:rPr>
                <w:sz w:val="20"/>
                <w:szCs w:val="20"/>
              </w:rPr>
              <w:t>70 393</w:t>
            </w:r>
          </w:p>
        </w:tc>
        <w:tc>
          <w:tcPr>
            <w:tcW w:w="1422" w:type="dxa"/>
            <w:noWrap/>
          </w:tcPr>
          <w:p w:rsidR="006A4080" w:rsidRPr="00514598" w:rsidRDefault="00770462" w:rsidP="006A4080">
            <w:pPr>
              <w:jc w:val="right"/>
              <w:rPr>
                <w:sz w:val="20"/>
                <w:szCs w:val="20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35 141</w:t>
            </w:r>
          </w:p>
        </w:tc>
        <w:tc>
          <w:tcPr>
            <w:tcW w:w="1603" w:type="dxa"/>
            <w:noWrap/>
          </w:tcPr>
          <w:p w:rsidR="006A4080" w:rsidRPr="00514598" w:rsidRDefault="00770462" w:rsidP="006A4080">
            <w:pPr>
              <w:jc w:val="right"/>
              <w:rPr>
                <w:sz w:val="20"/>
                <w:szCs w:val="20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35 141</w:t>
            </w:r>
          </w:p>
        </w:tc>
      </w:tr>
      <w:tr w:rsidR="006A4080" w:rsidRPr="004550C4" w:rsidTr="00D732AE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6A4080" w:rsidRPr="004550C4" w:rsidRDefault="006A4080" w:rsidP="006A4080">
            <w:pPr>
              <w:spacing w:line="240" w:lineRule="auto"/>
              <w:ind w:left="259"/>
              <w:rPr>
                <w:b/>
                <w:bCs/>
                <w:i/>
                <w:iCs/>
                <w:szCs w:val="24"/>
                <w:lang w:eastAsia="sk-SK"/>
              </w:rPr>
            </w:pPr>
            <w:r w:rsidRPr="004550C4">
              <w:rPr>
                <w:bCs/>
                <w:i/>
                <w:iCs/>
                <w:szCs w:val="24"/>
                <w:lang w:eastAsia="sk-SK"/>
              </w:rPr>
              <w:t>Rozpočtové prostriedky</w:t>
            </w:r>
          </w:p>
        </w:tc>
        <w:tc>
          <w:tcPr>
            <w:tcW w:w="140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Cs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2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6A4080" w:rsidRPr="004550C4" w:rsidTr="00D732AE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6A4080" w:rsidRPr="004550C4" w:rsidRDefault="006A4080" w:rsidP="006A4080">
            <w:pPr>
              <w:spacing w:line="240" w:lineRule="auto"/>
              <w:rPr>
                <w:bCs/>
                <w:i/>
                <w:iCs/>
                <w:szCs w:val="24"/>
                <w:lang w:eastAsia="sk-SK"/>
              </w:rPr>
            </w:pPr>
            <w:r w:rsidRPr="004550C4">
              <w:rPr>
                <w:bCs/>
                <w:i/>
                <w:iCs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40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2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3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</w:tr>
      <w:tr w:rsidR="006A4080" w:rsidRPr="004550C4" w:rsidTr="00D732AE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6A4080" w:rsidRPr="004550C4" w:rsidRDefault="006A4080" w:rsidP="006A4080">
            <w:pPr>
              <w:spacing w:line="240" w:lineRule="auto"/>
              <w:rPr>
                <w:bCs/>
                <w:i/>
                <w:iCs/>
                <w:szCs w:val="24"/>
                <w:lang w:eastAsia="sk-SK"/>
              </w:rPr>
            </w:pPr>
            <w:r w:rsidRPr="004550C4">
              <w:rPr>
                <w:bCs/>
                <w:i/>
                <w:iCs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40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2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3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</w:tr>
      <w:tr w:rsidR="006A4080" w:rsidRPr="004550C4" w:rsidTr="00D732AE">
        <w:trPr>
          <w:trHeight w:val="125"/>
          <w:jc w:val="center"/>
        </w:trPr>
        <w:tc>
          <w:tcPr>
            <w:tcW w:w="4444" w:type="dxa"/>
            <w:noWrap/>
            <w:vAlign w:val="center"/>
          </w:tcPr>
          <w:p w:rsidR="006A4080" w:rsidRPr="004550C4" w:rsidRDefault="006A4080" w:rsidP="006A4080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4550C4">
              <w:rPr>
                <w:b/>
                <w:bCs/>
                <w:i/>
                <w:iCs/>
                <w:szCs w:val="24"/>
                <w:lang w:eastAsia="sk-SK"/>
              </w:rPr>
              <w:t>- vplyv na obce</w:t>
            </w:r>
          </w:p>
        </w:tc>
        <w:tc>
          <w:tcPr>
            <w:tcW w:w="140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2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3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6A4080" w:rsidRPr="004550C4" w:rsidTr="00D732AE">
        <w:trPr>
          <w:trHeight w:val="125"/>
          <w:jc w:val="center"/>
        </w:trPr>
        <w:tc>
          <w:tcPr>
            <w:tcW w:w="4444" w:type="dxa"/>
            <w:noWrap/>
            <w:vAlign w:val="center"/>
          </w:tcPr>
          <w:p w:rsidR="006A4080" w:rsidRPr="004550C4" w:rsidRDefault="006A4080" w:rsidP="006A4080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4550C4">
              <w:rPr>
                <w:b/>
                <w:bCs/>
                <w:i/>
                <w:iCs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0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2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3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6A4080" w:rsidRPr="004550C4" w:rsidTr="00D732AE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6A4080" w:rsidRPr="009A0FEC" w:rsidRDefault="006A4080" w:rsidP="006A4080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9A0FEC">
              <w:rPr>
                <w:b/>
                <w:bCs/>
                <w:i/>
                <w:iCs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0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2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3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6A4080" w:rsidRPr="004550C4" w:rsidTr="009A0FEC">
        <w:trPr>
          <w:trHeight w:val="70"/>
          <w:jc w:val="center"/>
        </w:trPr>
        <w:tc>
          <w:tcPr>
            <w:tcW w:w="4444" w:type="dxa"/>
            <w:shd w:val="clear" w:color="auto" w:fill="BFBFBF" w:themeFill="background1" w:themeFillShade="BF"/>
            <w:noWrap/>
            <w:vAlign w:val="center"/>
          </w:tcPr>
          <w:p w:rsidR="006A4080" w:rsidRPr="009A0FEC" w:rsidRDefault="006A4080" w:rsidP="006A4080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9A0FEC">
              <w:rPr>
                <w:b/>
                <w:bCs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400" w:type="dxa"/>
            <w:shd w:val="clear" w:color="auto" w:fill="BFBFBF" w:themeFill="background1" w:themeFillShade="BF"/>
            <w:noWrap/>
            <w:vAlign w:val="center"/>
          </w:tcPr>
          <w:p w:rsidR="006A4080" w:rsidRPr="00514598" w:rsidRDefault="0020493C" w:rsidP="006A4080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60" w:type="dxa"/>
            <w:shd w:val="clear" w:color="auto" w:fill="BFBFBF" w:themeFill="background1" w:themeFillShade="BF"/>
            <w:noWrap/>
            <w:vAlign w:val="center"/>
          </w:tcPr>
          <w:p w:rsidR="006A4080" w:rsidRPr="00514598" w:rsidRDefault="0020493C" w:rsidP="006A4080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422" w:type="dxa"/>
            <w:shd w:val="clear" w:color="auto" w:fill="BFBFBF" w:themeFill="background1" w:themeFillShade="BF"/>
            <w:noWrap/>
            <w:vAlign w:val="center"/>
          </w:tcPr>
          <w:p w:rsidR="006A4080" w:rsidRPr="00514598" w:rsidRDefault="0020493C" w:rsidP="006A4080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603" w:type="dxa"/>
            <w:shd w:val="clear" w:color="auto" w:fill="BFBFBF" w:themeFill="background1" w:themeFillShade="BF"/>
            <w:noWrap/>
            <w:vAlign w:val="center"/>
          </w:tcPr>
          <w:p w:rsidR="006A4080" w:rsidRPr="00514598" w:rsidRDefault="0020493C" w:rsidP="006A4080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sz w:val="20"/>
                <w:szCs w:val="20"/>
                <w:lang w:eastAsia="sk-SK"/>
              </w:rPr>
              <w:t>1</w:t>
            </w:r>
          </w:p>
        </w:tc>
      </w:tr>
      <w:tr w:rsidR="00A07D5C" w:rsidRPr="004550C4" w:rsidTr="009A0FEC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A07D5C" w:rsidRPr="009A0FEC" w:rsidRDefault="00A07D5C" w:rsidP="00A07D5C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9A0FEC">
              <w:rPr>
                <w:b/>
                <w:bCs/>
                <w:i/>
                <w:iCs/>
                <w:szCs w:val="24"/>
                <w:lang w:eastAsia="sk-SK"/>
              </w:rPr>
              <w:t>- vplyv na ŠR</w:t>
            </w:r>
          </w:p>
        </w:tc>
        <w:tc>
          <w:tcPr>
            <w:tcW w:w="1400" w:type="dxa"/>
            <w:noWrap/>
            <w:vAlign w:val="center"/>
          </w:tcPr>
          <w:p w:rsidR="00A07D5C" w:rsidRPr="00514598" w:rsidRDefault="00A07D5C" w:rsidP="00A07D5C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60" w:type="dxa"/>
            <w:noWrap/>
            <w:vAlign w:val="center"/>
          </w:tcPr>
          <w:p w:rsidR="00A07D5C" w:rsidRPr="00514598" w:rsidRDefault="00A07D5C" w:rsidP="00A07D5C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422" w:type="dxa"/>
            <w:noWrap/>
            <w:vAlign w:val="center"/>
          </w:tcPr>
          <w:p w:rsidR="00A07D5C" w:rsidRPr="00514598" w:rsidRDefault="00A07D5C" w:rsidP="00A07D5C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603" w:type="dxa"/>
            <w:noWrap/>
            <w:vAlign w:val="center"/>
          </w:tcPr>
          <w:p w:rsidR="00A07D5C" w:rsidRPr="00514598" w:rsidRDefault="00A07D5C" w:rsidP="00A07D5C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sz w:val="20"/>
                <w:szCs w:val="20"/>
                <w:lang w:eastAsia="sk-SK"/>
              </w:rPr>
              <w:t>1</w:t>
            </w:r>
          </w:p>
        </w:tc>
      </w:tr>
      <w:tr w:rsidR="006A4080" w:rsidRPr="004550C4" w:rsidTr="009A0FEC">
        <w:trPr>
          <w:trHeight w:val="45"/>
          <w:jc w:val="center"/>
        </w:trPr>
        <w:tc>
          <w:tcPr>
            <w:tcW w:w="4444" w:type="dxa"/>
            <w:noWrap/>
            <w:vAlign w:val="center"/>
          </w:tcPr>
          <w:p w:rsidR="006A4080" w:rsidRPr="009A0FEC" w:rsidRDefault="006A4080" w:rsidP="006A4080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9A0FEC">
              <w:rPr>
                <w:b/>
                <w:bCs/>
                <w:i/>
                <w:iCs/>
                <w:szCs w:val="24"/>
                <w:lang w:eastAsia="sk-SK"/>
              </w:rPr>
              <w:t>- vplyv na obce</w:t>
            </w:r>
          </w:p>
        </w:tc>
        <w:tc>
          <w:tcPr>
            <w:tcW w:w="140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56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422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6A4080" w:rsidRPr="004550C4" w:rsidTr="00D732AE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6A4080" w:rsidRPr="009A0FEC" w:rsidRDefault="006A4080" w:rsidP="006A4080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9A0FEC">
              <w:rPr>
                <w:b/>
                <w:bCs/>
                <w:i/>
                <w:iCs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0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56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422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6A4080" w:rsidRPr="004550C4" w:rsidTr="00D732AE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6A4080" w:rsidRPr="009A0FEC" w:rsidRDefault="006A4080" w:rsidP="006A4080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9A0FEC">
              <w:rPr>
                <w:b/>
                <w:bCs/>
                <w:i/>
                <w:iCs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0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56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422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A07D5C" w:rsidRPr="004550C4" w:rsidTr="009A0FEC">
        <w:trPr>
          <w:trHeight w:val="70"/>
          <w:jc w:val="center"/>
        </w:trPr>
        <w:tc>
          <w:tcPr>
            <w:tcW w:w="4444" w:type="dxa"/>
            <w:shd w:val="clear" w:color="auto" w:fill="BFBFBF" w:themeFill="background1" w:themeFillShade="BF"/>
            <w:noWrap/>
            <w:vAlign w:val="center"/>
          </w:tcPr>
          <w:p w:rsidR="00A07D5C" w:rsidRPr="009A0FEC" w:rsidRDefault="00A07D5C" w:rsidP="00A07D5C">
            <w:pPr>
              <w:spacing w:line="240" w:lineRule="auto"/>
              <w:rPr>
                <w:b/>
                <w:szCs w:val="24"/>
                <w:lang w:eastAsia="sk-SK"/>
              </w:rPr>
            </w:pPr>
            <w:r w:rsidRPr="009A0FEC">
              <w:rPr>
                <w:b/>
                <w:szCs w:val="24"/>
                <w:lang w:eastAsia="sk-SK"/>
              </w:rPr>
              <w:t>Vplyv na mzdové výdavky</w:t>
            </w:r>
          </w:p>
        </w:tc>
        <w:tc>
          <w:tcPr>
            <w:tcW w:w="1400" w:type="dxa"/>
            <w:shd w:val="clear" w:color="auto" w:fill="BFBFBF" w:themeFill="background1" w:themeFillShade="BF"/>
            <w:noWrap/>
            <w:vAlign w:val="center"/>
          </w:tcPr>
          <w:p w:rsidR="00A07D5C" w:rsidRPr="00514598" w:rsidRDefault="00A07D5C" w:rsidP="00514598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6 510</w:t>
            </w:r>
          </w:p>
        </w:tc>
        <w:tc>
          <w:tcPr>
            <w:tcW w:w="1560" w:type="dxa"/>
            <w:shd w:val="clear" w:color="auto" w:fill="BFBFBF" w:themeFill="background1" w:themeFillShade="BF"/>
            <w:noWrap/>
            <w:vAlign w:val="center"/>
          </w:tcPr>
          <w:p w:rsidR="00A07D5C" w:rsidRPr="00514598" w:rsidRDefault="00A07D5C" w:rsidP="00514598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26 040</w:t>
            </w:r>
          </w:p>
        </w:tc>
        <w:tc>
          <w:tcPr>
            <w:tcW w:w="1422" w:type="dxa"/>
            <w:shd w:val="clear" w:color="auto" w:fill="BFBFBF" w:themeFill="background1" w:themeFillShade="BF"/>
            <w:noWrap/>
            <w:vAlign w:val="center"/>
          </w:tcPr>
          <w:p w:rsidR="00A07D5C" w:rsidRPr="00514598" w:rsidRDefault="00A07D5C" w:rsidP="00514598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26 040</w:t>
            </w:r>
          </w:p>
        </w:tc>
        <w:tc>
          <w:tcPr>
            <w:tcW w:w="1603" w:type="dxa"/>
            <w:shd w:val="clear" w:color="auto" w:fill="BFBFBF" w:themeFill="background1" w:themeFillShade="BF"/>
            <w:noWrap/>
            <w:vAlign w:val="center"/>
          </w:tcPr>
          <w:p w:rsidR="00A07D5C" w:rsidRPr="00514598" w:rsidRDefault="00A07D5C" w:rsidP="00514598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26 040</w:t>
            </w:r>
          </w:p>
        </w:tc>
      </w:tr>
      <w:tr w:rsidR="00A07D5C" w:rsidRPr="004550C4" w:rsidTr="00143362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A07D5C" w:rsidRPr="009A0FEC" w:rsidRDefault="00A07D5C" w:rsidP="00A07D5C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9A0FEC">
              <w:rPr>
                <w:b/>
                <w:bCs/>
                <w:i/>
                <w:iCs/>
                <w:szCs w:val="24"/>
                <w:lang w:eastAsia="sk-SK"/>
              </w:rPr>
              <w:t>- vplyv na ŠR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</w:tcPr>
          <w:p w:rsidR="00A07D5C" w:rsidRPr="00514598" w:rsidRDefault="00A07D5C" w:rsidP="00514598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6 510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07D5C" w:rsidRPr="00514598" w:rsidRDefault="00A07D5C" w:rsidP="00514598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26 040</w:t>
            </w:r>
          </w:p>
        </w:tc>
        <w:tc>
          <w:tcPr>
            <w:tcW w:w="1422" w:type="dxa"/>
            <w:shd w:val="clear" w:color="auto" w:fill="FFFFFF" w:themeFill="background1"/>
            <w:noWrap/>
            <w:vAlign w:val="center"/>
          </w:tcPr>
          <w:p w:rsidR="00A07D5C" w:rsidRPr="00514598" w:rsidRDefault="00A07D5C" w:rsidP="00514598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26 040</w:t>
            </w:r>
          </w:p>
        </w:tc>
        <w:tc>
          <w:tcPr>
            <w:tcW w:w="1603" w:type="dxa"/>
            <w:noWrap/>
            <w:vAlign w:val="center"/>
          </w:tcPr>
          <w:p w:rsidR="00A07D5C" w:rsidRPr="00514598" w:rsidRDefault="00A07D5C" w:rsidP="00514598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iCs/>
                <w:sz w:val="20"/>
                <w:szCs w:val="20"/>
                <w:lang w:eastAsia="sk-SK"/>
              </w:rPr>
              <w:t>26 040</w:t>
            </w:r>
          </w:p>
        </w:tc>
      </w:tr>
      <w:tr w:rsidR="006A4080" w:rsidRPr="004550C4" w:rsidTr="00D732AE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6A4080" w:rsidRPr="009A0FEC" w:rsidRDefault="006A4080" w:rsidP="006A4080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9A0FEC">
              <w:rPr>
                <w:b/>
                <w:bCs/>
                <w:i/>
                <w:iCs/>
                <w:szCs w:val="24"/>
                <w:lang w:eastAsia="sk-SK"/>
              </w:rPr>
              <w:t>- vplyv na obce</w:t>
            </w:r>
          </w:p>
        </w:tc>
        <w:tc>
          <w:tcPr>
            <w:tcW w:w="140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2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6A4080" w:rsidRPr="004550C4" w:rsidTr="00D732AE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6A4080" w:rsidRPr="004550C4" w:rsidRDefault="006A4080" w:rsidP="006A4080">
            <w:pPr>
              <w:spacing w:line="240" w:lineRule="auto"/>
              <w:rPr>
                <w:b/>
                <w:bCs/>
                <w:i/>
                <w:iCs/>
                <w:szCs w:val="24"/>
                <w:lang w:eastAsia="sk-SK"/>
              </w:rPr>
            </w:pPr>
            <w:r w:rsidRPr="004550C4">
              <w:rPr>
                <w:b/>
                <w:bCs/>
                <w:i/>
                <w:iCs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0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2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6A4080" w:rsidRPr="004550C4" w:rsidTr="00D732AE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6A4080" w:rsidRPr="004550C4" w:rsidRDefault="006A4080" w:rsidP="006A4080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i/>
                <w:iCs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0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22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054F62" w:rsidRPr="004550C4" w:rsidTr="00054F62">
        <w:trPr>
          <w:trHeight w:val="70"/>
          <w:jc w:val="center"/>
        </w:trPr>
        <w:tc>
          <w:tcPr>
            <w:tcW w:w="4444" w:type="dxa"/>
            <w:shd w:val="clear" w:color="auto" w:fill="C0C0C0"/>
            <w:noWrap/>
            <w:vAlign w:val="center"/>
          </w:tcPr>
          <w:p w:rsidR="00054F62" w:rsidRPr="004F3D65" w:rsidRDefault="00054F62" w:rsidP="00054F62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4F3D65">
              <w:rPr>
                <w:b/>
                <w:bCs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400" w:type="dxa"/>
            <w:shd w:val="clear" w:color="auto" w:fill="C0C0C0"/>
            <w:noWrap/>
          </w:tcPr>
          <w:p w:rsidR="00054F62" w:rsidRPr="00514598" w:rsidRDefault="00054F62" w:rsidP="00054F62">
            <w:pPr>
              <w:spacing w:line="240" w:lineRule="auto"/>
              <w:jc w:val="right"/>
              <w:rPr>
                <w:b/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</w:rPr>
              <w:t>46 039</w:t>
            </w:r>
          </w:p>
        </w:tc>
        <w:tc>
          <w:tcPr>
            <w:tcW w:w="1560" w:type="dxa"/>
            <w:shd w:val="clear" w:color="auto" w:fill="C0C0C0"/>
            <w:noWrap/>
          </w:tcPr>
          <w:p w:rsidR="00054F62" w:rsidRPr="00514598" w:rsidRDefault="00054F62" w:rsidP="00054F62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</w:rPr>
              <w:t>1 318 312, 11</w:t>
            </w:r>
          </w:p>
        </w:tc>
        <w:tc>
          <w:tcPr>
            <w:tcW w:w="1422" w:type="dxa"/>
            <w:shd w:val="clear" w:color="auto" w:fill="C0C0C0"/>
            <w:noWrap/>
          </w:tcPr>
          <w:p w:rsidR="00054F62" w:rsidRPr="00514598" w:rsidRDefault="00054F62" w:rsidP="00054F62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</w:rPr>
              <w:t>1 303 589, 07</w:t>
            </w:r>
          </w:p>
        </w:tc>
        <w:tc>
          <w:tcPr>
            <w:tcW w:w="1603" w:type="dxa"/>
            <w:shd w:val="clear" w:color="auto" w:fill="C0C0C0"/>
            <w:noWrap/>
          </w:tcPr>
          <w:p w:rsidR="00054F62" w:rsidRPr="00514598" w:rsidRDefault="00054F62" w:rsidP="00054F62">
            <w:pPr>
              <w:spacing w:line="240" w:lineRule="auto"/>
              <w:jc w:val="right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</w:rPr>
              <w:t>1 324 446, 50</w:t>
            </w:r>
          </w:p>
        </w:tc>
      </w:tr>
      <w:tr w:rsidR="006A4080" w:rsidRPr="004550C4" w:rsidTr="00E30A89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6A4080" w:rsidRPr="004F3D65" w:rsidRDefault="006A4080" w:rsidP="006A4080">
            <w:pPr>
              <w:spacing w:line="240" w:lineRule="auto"/>
              <w:rPr>
                <w:szCs w:val="24"/>
                <w:lang w:eastAsia="sk-SK"/>
              </w:rPr>
            </w:pPr>
            <w:r w:rsidRPr="004F3D65">
              <w:rPr>
                <w:szCs w:val="24"/>
                <w:lang w:eastAsia="sk-SK"/>
              </w:rPr>
              <w:t>v tom: MPSVR SR</w:t>
            </w:r>
          </w:p>
        </w:tc>
        <w:tc>
          <w:tcPr>
            <w:tcW w:w="1400" w:type="dxa"/>
            <w:noWrap/>
          </w:tcPr>
          <w:p w:rsidR="006A4080" w:rsidRPr="00514598" w:rsidRDefault="006A4080" w:rsidP="006A4080">
            <w:pPr>
              <w:jc w:val="right"/>
              <w:rPr>
                <w:sz w:val="20"/>
                <w:szCs w:val="20"/>
              </w:rPr>
            </w:pPr>
            <w:r w:rsidRPr="00514598">
              <w:rPr>
                <w:sz w:val="20"/>
                <w:szCs w:val="20"/>
              </w:rPr>
              <w:t>46 039</w:t>
            </w:r>
          </w:p>
        </w:tc>
        <w:tc>
          <w:tcPr>
            <w:tcW w:w="1560" w:type="dxa"/>
            <w:noWrap/>
          </w:tcPr>
          <w:p w:rsidR="006A4080" w:rsidRPr="00514598" w:rsidRDefault="006A4080" w:rsidP="006A4080">
            <w:pPr>
              <w:jc w:val="right"/>
              <w:rPr>
                <w:sz w:val="20"/>
                <w:szCs w:val="20"/>
              </w:rPr>
            </w:pPr>
            <w:r w:rsidRPr="00514598">
              <w:rPr>
                <w:sz w:val="20"/>
                <w:szCs w:val="20"/>
              </w:rPr>
              <w:t>35 252</w:t>
            </w:r>
          </w:p>
        </w:tc>
        <w:tc>
          <w:tcPr>
            <w:tcW w:w="1422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3" w:type="dxa"/>
            <w:noWrap/>
            <w:vAlign w:val="center"/>
          </w:tcPr>
          <w:p w:rsidR="006A4080" w:rsidRPr="00514598" w:rsidRDefault="006A4080" w:rsidP="006A4080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sz w:val="20"/>
                <w:szCs w:val="20"/>
                <w:lang w:eastAsia="sk-SK"/>
              </w:rPr>
              <w:t>0</w:t>
            </w:r>
          </w:p>
        </w:tc>
      </w:tr>
      <w:tr w:rsidR="00BC4A81" w:rsidRPr="004550C4" w:rsidTr="00BC4A81">
        <w:trPr>
          <w:trHeight w:val="70"/>
          <w:jc w:val="center"/>
        </w:trPr>
        <w:tc>
          <w:tcPr>
            <w:tcW w:w="4444" w:type="dxa"/>
            <w:noWrap/>
            <w:vAlign w:val="center"/>
          </w:tcPr>
          <w:p w:rsidR="00BC4A81" w:rsidRPr="004F3D65" w:rsidRDefault="00BC4A81" w:rsidP="00BC4A81">
            <w:pPr>
              <w:spacing w:line="240" w:lineRule="auto"/>
              <w:rPr>
                <w:szCs w:val="24"/>
                <w:lang w:eastAsia="sk-SK"/>
              </w:rPr>
            </w:pPr>
            <w:r>
              <w:rPr>
                <w:szCs w:val="24"/>
                <w:lang w:eastAsia="sk-SK"/>
              </w:rPr>
              <w:t>v tom: MH Invest, s.r.o.</w:t>
            </w:r>
          </w:p>
        </w:tc>
        <w:tc>
          <w:tcPr>
            <w:tcW w:w="1400" w:type="dxa"/>
            <w:noWrap/>
          </w:tcPr>
          <w:p w:rsidR="00BC4A81" w:rsidRPr="00514598" w:rsidRDefault="00BC4A81" w:rsidP="00BC4A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BC4A81" w:rsidRPr="00514598" w:rsidRDefault="00BC4A81" w:rsidP="00BC4A81">
            <w:pPr>
              <w:jc w:val="right"/>
              <w:rPr>
                <w:sz w:val="20"/>
                <w:szCs w:val="20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1 283 060, 11</w:t>
            </w:r>
          </w:p>
        </w:tc>
        <w:tc>
          <w:tcPr>
            <w:tcW w:w="1422" w:type="dxa"/>
            <w:noWrap/>
            <w:vAlign w:val="center"/>
          </w:tcPr>
          <w:p w:rsidR="00BC4A81" w:rsidRPr="00514598" w:rsidRDefault="00BC4A81" w:rsidP="00BC4A81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1 303 589, 07</w:t>
            </w:r>
          </w:p>
        </w:tc>
        <w:tc>
          <w:tcPr>
            <w:tcW w:w="1603" w:type="dxa"/>
            <w:noWrap/>
            <w:vAlign w:val="center"/>
          </w:tcPr>
          <w:p w:rsidR="00BC4A81" w:rsidRPr="00514598" w:rsidRDefault="00BC4A81" w:rsidP="00BC4A81">
            <w:pPr>
              <w:spacing w:line="240" w:lineRule="auto"/>
              <w:jc w:val="right"/>
              <w:rPr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1 324 446, 50</w:t>
            </w:r>
          </w:p>
        </w:tc>
      </w:tr>
      <w:tr w:rsidR="00BC4A81" w:rsidRPr="004550C4" w:rsidTr="00D732AE">
        <w:trPr>
          <w:trHeight w:val="70"/>
          <w:jc w:val="center"/>
        </w:trPr>
        <w:tc>
          <w:tcPr>
            <w:tcW w:w="4444" w:type="dxa"/>
            <w:shd w:val="clear" w:color="auto" w:fill="BFBFBF" w:themeFill="background1" w:themeFillShade="BF"/>
            <w:noWrap/>
            <w:vAlign w:val="center"/>
          </w:tcPr>
          <w:p w:rsidR="00BC4A81" w:rsidRPr="004550C4" w:rsidRDefault="00BC4A81" w:rsidP="00BC4A81">
            <w:pPr>
              <w:spacing w:line="240" w:lineRule="auto"/>
              <w:rPr>
                <w:b/>
                <w:szCs w:val="24"/>
                <w:lang w:eastAsia="sk-SK"/>
              </w:rPr>
            </w:pPr>
            <w:r w:rsidRPr="004550C4">
              <w:rPr>
                <w:b/>
                <w:szCs w:val="24"/>
                <w:lang w:eastAsia="sk-SK"/>
              </w:rPr>
              <w:t>Iné ako rozpočtové zdroje</w:t>
            </w:r>
            <w:r w:rsidRPr="004550C4">
              <w:rPr>
                <w:szCs w:val="24"/>
                <w:lang w:eastAsia="sk-SK"/>
              </w:rPr>
              <w:t xml:space="preserve">      </w:t>
            </w:r>
          </w:p>
        </w:tc>
        <w:tc>
          <w:tcPr>
            <w:tcW w:w="1400" w:type="dxa"/>
            <w:shd w:val="clear" w:color="auto" w:fill="BFBFBF" w:themeFill="background1" w:themeFillShade="BF"/>
            <w:noWrap/>
            <w:vAlign w:val="center"/>
          </w:tcPr>
          <w:p w:rsidR="00BC4A81" w:rsidRPr="00514598" w:rsidRDefault="00BC4A81" w:rsidP="00BC4A81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  <w:r w:rsidRPr="00514598">
              <w:rPr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0" w:type="dxa"/>
            <w:shd w:val="clear" w:color="auto" w:fill="BFBFBF" w:themeFill="background1" w:themeFillShade="BF"/>
            <w:noWrap/>
            <w:vAlign w:val="center"/>
          </w:tcPr>
          <w:p w:rsidR="00BC4A81" w:rsidRPr="00514598" w:rsidRDefault="00BC4A81" w:rsidP="00BC4A81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2" w:type="dxa"/>
            <w:shd w:val="clear" w:color="auto" w:fill="BFBFBF" w:themeFill="background1" w:themeFillShade="BF"/>
            <w:noWrap/>
            <w:vAlign w:val="center"/>
          </w:tcPr>
          <w:p w:rsidR="00BC4A81" w:rsidRPr="00514598" w:rsidRDefault="00BC4A81" w:rsidP="00BC4A81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03" w:type="dxa"/>
            <w:shd w:val="clear" w:color="auto" w:fill="BFBFBF" w:themeFill="background1" w:themeFillShade="BF"/>
            <w:noWrap/>
            <w:vAlign w:val="center"/>
          </w:tcPr>
          <w:p w:rsidR="00BC4A81" w:rsidRPr="00514598" w:rsidRDefault="00BC4A81" w:rsidP="00BC4A81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BC4A81" w:rsidRPr="004550C4" w:rsidTr="00D732AE">
        <w:trPr>
          <w:trHeight w:val="360"/>
          <w:jc w:val="center"/>
        </w:trPr>
        <w:tc>
          <w:tcPr>
            <w:tcW w:w="4444" w:type="dxa"/>
            <w:shd w:val="clear" w:color="auto" w:fill="A6A6A6" w:themeFill="background1" w:themeFillShade="A6"/>
            <w:noWrap/>
            <w:vAlign w:val="center"/>
          </w:tcPr>
          <w:p w:rsidR="00BC4A81" w:rsidRPr="004550C4" w:rsidRDefault="00BC4A81" w:rsidP="00BC4A81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Rozpočtovo nekrytý vplyv / úspora</w:t>
            </w:r>
            <w:r>
              <w:rPr>
                <w:b/>
                <w:bCs/>
                <w:szCs w:val="24"/>
                <w:lang w:eastAsia="sk-SK"/>
              </w:rPr>
              <w:t xml:space="preserve"> –</w:t>
            </w:r>
          </w:p>
        </w:tc>
        <w:tc>
          <w:tcPr>
            <w:tcW w:w="1400" w:type="dxa"/>
            <w:shd w:val="clear" w:color="auto" w:fill="A6A6A6" w:themeFill="background1" w:themeFillShade="A6"/>
            <w:noWrap/>
            <w:vAlign w:val="center"/>
          </w:tcPr>
          <w:p w:rsidR="00BC4A81" w:rsidRPr="00514598" w:rsidRDefault="001E56BF" w:rsidP="00BC4A81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8 785,25</w:t>
            </w:r>
          </w:p>
        </w:tc>
        <w:tc>
          <w:tcPr>
            <w:tcW w:w="1560" w:type="dxa"/>
            <w:shd w:val="clear" w:color="auto" w:fill="A6A6A6" w:themeFill="background1" w:themeFillShade="A6"/>
            <w:noWrap/>
            <w:vAlign w:val="center"/>
          </w:tcPr>
          <w:p w:rsidR="00BC4A81" w:rsidRPr="00514598" w:rsidRDefault="001E56BF" w:rsidP="00BC4A81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35 141</w:t>
            </w:r>
          </w:p>
        </w:tc>
        <w:tc>
          <w:tcPr>
            <w:tcW w:w="1422" w:type="dxa"/>
            <w:shd w:val="clear" w:color="auto" w:fill="A6A6A6" w:themeFill="background1" w:themeFillShade="A6"/>
            <w:noWrap/>
            <w:vAlign w:val="center"/>
          </w:tcPr>
          <w:p w:rsidR="00BC4A81" w:rsidRPr="00514598" w:rsidRDefault="001E56BF" w:rsidP="00BC4A81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35 141</w:t>
            </w:r>
          </w:p>
        </w:tc>
        <w:tc>
          <w:tcPr>
            <w:tcW w:w="1603" w:type="dxa"/>
            <w:shd w:val="clear" w:color="auto" w:fill="A6A6A6" w:themeFill="background1" w:themeFillShade="A6"/>
            <w:noWrap/>
            <w:vAlign w:val="center"/>
          </w:tcPr>
          <w:p w:rsidR="00BC4A81" w:rsidRPr="00514598" w:rsidRDefault="001E56BF" w:rsidP="00BC4A81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35 141</w:t>
            </w:r>
          </w:p>
        </w:tc>
      </w:tr>
      <w:tr w:rsidR="001E56BF" w:rsidRPr="004550C4" w:rsidTr="00D732AE">
        <w:trPr>
          <w:trHeight w:val="360"/>
          <w:jc w:val="center"/>
        </w:trPr>
        <w:tc>
          <w:tcPr>
            <w:tcW w:w="4444" w:type="dxa"/>
            <w:shd w:val="clear" w:color="auto" w:fill="A6A6A6" w:themeFill="background1" w:themeFillShade="A6"/>
            <w:noWrap/>
            <w:vAlign w:val="center"/>
          </w:tcPr>
          <w:p w:rsidR="001E56BF" w:rsidRPr="004550C4" w:rsidRDefault="001E56BF" w:rsidP="001E56BF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>
              <w:rPr>
                <w:b/>
                <w:bCs/>
                <w:szCs w:val="24"/>
                <w:lang w:eastAsia="sk-SK"/>
              </w:rPr>
              <w:t>v tom MZVaEZ SR</w:t>
            </w:r>
          </w:p>
        </w:tc>
        <w:tc>
          <w:tcPr>
            <w:tcW w:w="1400" w:type="dxa"/>
            <w:shd w:val="clear" w:color="auto" w:fill="A6A6A6" w:themeFill="background1" w:themeFillShade="A6"/>
            <w:noWrap/>
            <w:vAlign w:val="center"/>
          </w:tcPr>
          <w:p w:rsidR="001E56BF" w:rsidRPr="00514598" w:rsidRDefault="001E56BF" w:rsidP="001E56BF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8 785,25</w:t>
            </w:r>
          </w:p>
        </w:tc>
        <w:tc>
          <w:tcPr>
            <w:tcW w:w="1560" w:type="dxa"/>
            <w:shd w:val="clear" w:color="auto" w:fill="A6A6A6" w:themeFill="background1" w:themeFillShade="A6"/>
            <w:noWrap/>
            <w:vAlign w:val="center"/>
          </w:tcPr>
          <w:p w:rsidR="001E56BF" w:rsidRPr="00514598" w:rsidRDefault="001E56BF" w:rsidP="001E56BF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35 141</w:t>
            </w:r>
          </w:p>
        </w:tc>
        <w:tc>
          <w:tcPr>
            <w:tcW w:w="1422" w:type="dxa"/>
            <w:shd w:val="clear" w:color="auto" w:fill="A6A6A6" w:themeFill="background1" w:themeFillShade="A6"/>
            <w:noWrap/>
            <w:vAlign w:val="center"/>
          </w:tcPr>
          <w:p w:rsidR="001E56BF" w:rsidRPr="00514598" w:rsidRDefault="001E56BF" w:rsidP="001E56BF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35 141</w:t>
            </w:r>
          </w:p>
        </w:tc>
        <w:tc>
          <w:tcPr>
            <w:tcW w:w="1603" w:type="dxa"/>
            <w:shd w:val="clear" w:color="auto" w:fill="A6A6A6" w:themeFill="background1" w:themeFillShade="A6"/>
            <w:noWrap/>
            <w:vAlign w:val="center"/>
          </w:tcPr>
          <w:p w:rsidR="001E56BF" w:rsidRPr="00514598" w:rsidRDefault="001E56BF" w:rsidP="001E56BF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eastAsia="sk-SK"/>
              </w:rPr>
            </w:pPr>
            <w:r w:rsidRPr="00514598">
              <w:rPr>
                <w:bCs/>
                <w:iCs/>
                <w:sz w:val="20"/>
                <w:szCs w:val="20"/>
                <w:lang w:eastAsia="sk-SK"/>
              </w:rPr>
              <w:t>35 141</w:t>
            </w:r>
          </w:p>
        </w:tc>
      </w:tr>
      <w:bookmarkEnd w:id="1"/>
    </w:tbl>
    <w:p w:rsidR="00FC165A" w:rsidRPr="004550C4" w:rsidRDefault="00FC165A" w:rsidP="00FC165A">
      <w:pPr>
        <w:spacing w:line="240" w:lineRule="auto"/>
        <w:jc w:val="both"/>
        <w:rPr>
          <w:b/>
          <w:bCs/>
          <w:szCs w:val="24"/>
          <w:lang w:eastAsia="sk-SK"/>
        </w:rPr>
      </w:pPr>
    </w:p>
    <w:p w:rsidR="00FC165A" w:rsidRDefault="00FC165A" w:rsidP="00FC165A">
      <w:pPr>
        <w:spacing w:line="240" w:lineRule="auto"/>
        <w:jc w:val="both"/>
        <w:rPr>
          <w:b/>
          <w:bCs/>
          <w:szCs w:val="24"/>
          <w:lang w:eastAsia="sk-SK"/>
        </w:rPr>
      </w:pPr>
      <w:r w:rsidRPr="004550C4">
        <w:rPr>
          <w:b/>
          <w:bCs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FC165A" w:rsidRDefault="00FC165A" w:rsidP="00FC165A">
      <w:pPr>
        <w:spacing w:line="240" w:lineRule="auto"/>
        <w:jc w:val="both"/>
        <w:rPr>
          <w:b/>
          <w:bCs/>
          <w:szCs w:val="24"/>
          <w:lang w:eastAsia="sk-SK"/>
        </w:rPr>
      </w:pPr>
    </w:p>
    <w:p w:rsidR="00296D03" w:rsidRDefault="004A2C7D" w:rsidP="00C71670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>
        <w:rPr>
          <w:bCs/>
        </w:rPr>
        <w:t>Predmetným návrhom sa nezvyšuje celková suma výdavkov na podporu ELA počas prvých 10 rokov jej fungovania na Slovensku, ktorá bola schválená v sume 18,4 mil. eur</w:t>
      </w:r>
      <w:r w:rsidR="00296D03">
        <w:rPr>
          <w:color w:val="000000"/>
        </w:rPr>
        <w:t xml:space="preserve"> </w:t>
      </w:r>
      <w:r>
        <w:rPr>
          <w:color w:val="000000"/>
        </w:rPr>
        <w:t xml:space="preserve">(záväzok vlády SR). </w:t>
      </w:r>
    </w:p>
    <w:p w:rsidR="00457D53" w:rsidRDefault="00457D53" w:rsidP="00C71670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</w:p>
    <w:p w:rsidR="00457D53" w:rsidRDefault="00457D53" w:rsidP="00C71670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>
        <w:rPr>
          <w:color w:val="000000"/>
        </w:rPr>
        <w:t>Pokiaľ ide o finančné prostriedky potrebné na zastabilizovanie sídla ELA v SR v rozsahu vyplývajúcom z nájomnej zmluvy</w:t>
      </w:r>
      <w:r w:rsidR="00C4013B">
        <w:rPr>
          <w:color w:val="000000"/>
        </w:rPr>
        <w:t>, v roku 2021 budú tieto zabezpečené zo zdrojov nájomcu</w:t>
      </w:r>
      <w:r w:rsidR="00BC4A81">
        <w:rPr>
          <w:color w:val="000000"/>
        </w:rPr>
        <w:t xml:space="preserve">. </w:t>
      </w:r>
      <w:r w:rsidR="00C4013B">
        <w:rPr>
          <w:color w:val="000000"/>
        </w:rPr>
        <w:t xml:space="preserve"> </w:t>
      </w:r>
      <w:r w:rsidR="00BC4A81">
        <w:rPr>
          <w:color w:val="000000"/>
        </w:rPr>
        <w:t xml:space="preserve">Výdavky na nájomné na roky 2022 – 2024 </w:t>
      </w:r>
      <w:r w:rsidR="00A52AAC">
        <w:rPr>
          <w:color w:val="000000"/>
        </w:rPr>
        <w:t>sú zahrnuté v návrhu rozpočtu verejnej správy na roky 2022 – 2024 v rámci výdavkov nájomcu, spoločnosti MH Invest, s.r.o.</w:t>
      </w:r>
    </w:p>
    <w:p w:rsidR="00267323" w:rsidRDefault="00267323" w:rsidP="00C71670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</w:p>
    <w:p w:rsidR="00267323" w:rsidRDefault="00267323" w:rsidP="00C71670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>
        <w:rPr>
          <w:color w:val="000000"/>
        </w:rPr>
        <w:t>V</w:t>
      </w:r>
      <w:r w:rsidRPr="00267323">
        <w:rPr>
          <w:color w:val="000000"/>
        </w:rPr>
        <w:t>ýdavky</w:t>
      </w:r>
      <w:r>
        <w:rPr>
          <w:color w:val="000000"/>
        </w:rPr>
        <w:t xml:space="preserve"> na asistenčnú službu</w:t>
      </w:r>
      <w:r w:rsidRPr="00267323">
        <w:rPr>
          <w:color w:val="000000"/>
        </w:rPr>
        <w:t xml:space="preserve"> sú zabezpečené v rámci rozpočtových limitov MPSVR SR.</w:t>
      </w:r>
    </w:p>
    <w:p w:rsidR="00DB4444" w:rsidRDefault="00DB4444" w:rsidP="00C71670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</w:p>
    <w:p w:rsidR="00DB4444" w:rsidRDefault="00DB4444" w:rsidP="00C71670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>
        <w:rPr>
          <w:color w:val="000000"/>
        </w:rPr>
        <w:t xml:space="preserve">Úbytok príjmov štátneho rozpočtu </w:t>
      </w:r>
      <w:r w:rsidR="002B3357">
        <w:rPr>
          <w:color w:val="000000"/>
        </w:rPr>
        <w:t xml:space="preserve">v rokoch 2021 – 2023 </w:t>
      </w:r>
      <w:r>
        <w:rPr>
          <w:color w:val="000000"/>
        </w:rPr>
        <w:t>súvisí</w:t>
      </w:r>
      <w:r w:rsidR="002B3357">
        <w:rPr>
          <w:color w:val="000000"/>
        </w:rPr>
        <w:t xml:space="preserve"> s vrátením DPH pri nákupoch na osobnú spotrebu zamestnancov a výkonného riaditeľa ELA v sume 10 000 eur na osobu, tento benefit je možné uplatniť len do konca roka 2023.</w:t>
      </w:r>
    </w:p>
    <w:p w:rsidR="005761A5" w:rsidRDefault="005761A5" w:rsidP="00C71670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</w:p>
    <w:p w:rsidR="005761A5" w:rsidRDefault="005E28CB" w:rsidP="00C71670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5E28CB">
        <w:rPr>
          <w:color w:val="000000"/>
        </w:rPr>
        <w:t>Návratnosť finančného benefitu poskytnutého pre prvých 144 zamestnancov ELA a výkonného riaditeľa v podobe nároku na vrátenie DPH sa predpokladá po 42</w:t>
      </w:r>
      <w:r w:rsidR="00255D8A">
        <w:rPr>
          <w:color w:val="000000"/>
        </w:rPr>
        <w:t>.</w:t>
      </w:r>
      <w:r w:rsidRPr="005E28CB">
        <w:rPr>
          <w:color w:val="000000"/>
        </w:rPr>
        <w:t xml:space="preserve"> mesiaci</w:t>
      </w:r>
      <w:r>
        <w:rPr>
          <w:color w:val="000000"/>
        </w:rPr>
        <w:t xml:space="preserve"> nasledujúcom od mesiaca, v ktorom bol zamestnanec v ELA zamestnaný a začal poberať plat</w:t>
      </w:r>
      <w:r w:rsidRPr="005E28CB">
        <w:rPr>
          <w:color w:val="000000"/>
        </w:rPr>
        <w:t>.</w:t>
      </w:r>
      <w:r>
        <w:rPr>
          <w:color w:val="000000"/>
        </w:rPr>
        <w:t xml:space="preserve"> Analýza návratnosti finančného benefitu vychádza z predpokladu, že keby nebol DPH benefit poskytnutý, ELA by v SR </w:t>
      </w:r>
      <w:r w:rsidR="002040E1">
        <w:rPr>
          <w:color w:val="000000"/>
        </w:rPr>
        <w:t xml:space="preserve">nesídlila, </w:t>
      </w:r>
      <w:r>
        <w:rPr>
          <w:color w:val="000000"/>
        </w:rPr>
        <w:t>zamestnanci by nepoberal</w:t>
      </w:r>
      <w:r w:rsidR="002040E1">
        <w:rPr>
          <w:color w:val="000000"/>
        </w:rPr>
        <w:t xml:space="preserve">i plat a ich spotreba by v SR nebola realizovaná. Na základe predpokladaných príjmov zamestnancov ELA a ich predpokladanom sklone k spotrebe 0,5, je 42. mesiac približne obdobím, kedy sa diskontovaný výnos DPH do rozpočtu zo spotreby neoslobodenej benefitom DPH vyrovná výpadku DPH, ktorý vyplýva </w:t>
      </w:r>
      <w:r w:rsidR="00255D8A">
        <w:rPr>
          <w:color w:val="000000"/>
        </w:rPr>
        <w:t>zo spotreby oslobodenej od DPH. Predpokladá sa, že zamestnanci vyčerpajú benef</w:t>
      </w:r>
      <w:r w:rsidR="007D7465">
        <w:rPr>
          <w:color w:val="000000"/>
        </w:rPr>
        <w:t>it DPH približne počas prvých 18</w:t>
      </w:r>
      <w:r w:rsidR="00255D8A">
        <w:rPr>
          <w:color w:val="000000"/>
        </w:rPr>
        <w:t xml:space="preserve"> mesiacov od zamestnania v ELA a v nasledujúcich mesiacoch už z ich spotreby bude plynúť výnos DPH do štátneho rozpočtu.</w:t>
      </w:r>
    </w:p>
    <w:p w:rsidR="00B22536" w:rsidRDefault="00B22536" w:rsidP="00C71670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</w:p>
    <w:p w:rsidR="00B22536" w:rsidRDefault="00B22536" w:rsidP="00C71670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>
        <w:rPr>
          <w:color w:val="000000"/>
        </w:rPr>
        <w:t>Výdavky na n</w:t>
      </w:r>
      <w:r w:rsidRPr="00B22536">
        <w:rPr>
          <w:color w:val="000000"/>
        </w:rPr>
        <w:t>avýšenie počtu štátnozamestnaneckých miest o</w:t>
      </w:r>
      <w:r w:rsidR="001E56BF">
        <w:rPr>
          <w:color w:val="000000"/>
        </w:rPr>
        <w:t> </w:t>
      </w:r>
      <w:r w:rsidRPr="00B22536">
        <w:rPr>
          <w:color w:val="000000"/>
        </w:rPr>
        <w:t>1</w:t>
      </w:r>
      <w:r w:rsidR="001E56BF">
        <w:rPr>
          <w:color w:val="000000"/>
        </w:rPr>
        <w:t xml:space="preserve"> od 1. októbra 2021 v</w:t>
      </w:r>
      <w:r w:rsidRPr="00B22536">
        <w:rPr>
          <w:color w:val="000000"/>
        </w:rPr>
        <w:t xml:space="preserve"> rámci kapitoly MZVEZ SR nie sú zabezpečené.</w:t>
      </w:r>
    </w:p>
    <w:p w:rsidR="00B22536" w:rsidRDefault="00B22536" w:rsidP="00C71670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</w:p>
    <w:p w:rsidR="007C023A" w:rsidRDefault="007C023A" w:rsidP="00FC165A">
      <w:pPr>
        <w:spacing w:line="240" w:lineRule="auto"/>
        <w:jc w:val="both"/>
        <w:rPr>
          <w:bCs/>
          <w:szCs w:val="24"/>
          <w:lang w:eastAsia="sk-SK"/>
        </w:rPr>
      </w:pPr>
    </w:p>
    <w:p w:rsidR="004A2C7D" w:rsidRDefault="004A2C7D" w:rsidP="00FC165A">
      <w:pPr>
        <w:spacing w:line="240" w:lineRule="auto"/>
        <w:jc w:val="both"/>
        <w:rPr>
          <w:bCs/>
          <w:szCs w:val="24"/>
          <w:lang w:eastAsia="sk-SK"/>
        </w:rPr>
      </w:pPr>
    </w:p>
    <w:p w:rsidR="00FC165A" w:rsidRPr="004550C4" w:rsidRDefault="00FC165A" w:rsidP="00FC165A">
      <w:pPr>
        <w:spacing w:line="240" w:lineRule="auto"/>
        <w:rPr>
          <w:b/>
          <w:bCs/>
          <w:szCs w:val="24"/>
          <w:lang w:eastAsia="sk-SK"/>
        </w:rPr>
      </w:pPr>
      <w:r w:rsidRPr="004550C4">
        <w:rPr>
          <w:b/>
          <w:bCs/>
          <w:szCs w:val="24"/>
          <w:lang w:eastAsia="sk-SK"/>
        </w:rPr>
        <w:t>2.2. Popis a charakteristika návrhu</w:t>
      </w:r>
    </w:p>
    <w:p w:rsidR="00FC165A" w:rsidRPr="004550C4" w:rsidRDefault="00FC165A" w:rsidP="00FC165A">
      <w:pPr>
        <w:spacing w:line="240" w:lineRule="auto"/>
        <w:rPr>
          <w:szCs w:val="24"/>
          <w:lang w:eastAsia="sk-SK"/>
        </w:rPr>
      </w:pPr>
    </w:p>
    <w:p w:rsidR="00FC165A" w:rsidRPr="004550C4" w:rsidRDefault="00FC165A" w:rsidP="00FC165A">
      <w:pPr>
        <w:spacing w:line="240" w:lineRule="auto"/>
        <w:jc w:val="both"/>
        <w:rPr>
          <w:b/>
          <w:bCs/>
          <w:szCs w:val="24"/>
          <w:lang w:eastAsia="sk-SK"/>
        </w:rPr>
      </w:pPr>
      <w:r w:rsidRPr="004550C4">
        <w:rPr>
          <w:b/>
          <w:bCs/>
          <w:szCs w:val="24"/>
          <w:lang w:eastAsia="sk-SK"/>
        </w:rPr>
        <w:t>2.2.1. Popis návrhu:</w:t>
      </w:r>
    </w:p>
    <w:p w:rsidR="00FC165A" w:rsidRPr="004550C4" w:rsidRDefault="00FC165A" w:rsidP="00FC165A">
      <w:pPr>
        <w:spacing w:line="240" w:lineRule="auto"/>
        <w:jc w:val="both"/>
        <w:rPr>
          <w:b/>
          <w:bCs/>
          <w:szCs w:val="24"/>
          <w:lang w:eastAsia="sk-SK"/>
        </w:rPr>
      </w:pPr>
    </w:p>
    <w:p w:rsidR="00FC165A" w:rsidRPr="004550C4" w:rsidRDefault="00FC165A" w:rsidP="00FC165A">
      <w:pPr>
        <w:spacing w:line="240" w:lineRule="auto"/>
        <w:ind w:firstLine="708"/>
        <w:jc w:val="both"/>
        <w:rPr>
          <w:szCs w:val="24"/>
          <w:lang w:eastAsia="sk-SK"/>
        </w:rPr>
      </w:pPr>
      <w:r w:rsidRPr="004550C4">
        <w:rPr>
          <w:szCs w:val="24"/>
          <w:lang w:eastAsia="sk-SK"/>
        </w:rPr>
        <w:t>Akú problematiku návrh rieši? Kto bude návrh implementovať? Kde sa budú služby poskytovať?</w:t>
      </w:r>
    </w:p>
    <w:p w:rsidR="00FC165A" w:rsidRDefault="00FC165A" w:rsidP="00286A6A">
      <w:pPr>
        <w:pStyle w:val="Default"/>
        <w:jc w:val="both"/>
      </w:pPr>
    </w:p>
    <w:p w:rsidR="00FC165A" w:rsidRPr="004550C4" w:rsidRDefault="00FC165A" w:rsidP="00FC165A">
      <w:pPr>
        <w:spacing w:line="240" w:lineRule="auto"/>
        <w:rPr>
          <w:b/>
          <w:bCs/>
          <w:szCs w:val="24"/>
          <w:lang w:eastAsia="sk-SK"/>
        </w:rPr>
      </w:pPr>
      <w:r w:rsidRPr="004550C4">
        <w:rPr>
          <w:b/>
          <w:bCs/>
          <w:szCs w:val="24"/>
          <w:lang w:eastAsia="sk-SK"/>
        </w:rPr>
        <w:t>2.2.2. Charakteristika návrhu:</w:t>
      </w:r>
    </w:p>
    <w:p w:rsidR="00FC165A" w:rsidRPr="004550C4" w:rsidRDefault="00FC165A" w:rsidP="00FC165A">
      <w:pPr>
        <w:spacing w:line="240" w:lineRule="auto"/>
        <w:rPr>
          <w:szCs w:val="24"/>
          <w:lang w:eastAsia="sk-SK"/>
        </w:rPr>
      </w:pPr>
    </w:p>
    <w:p w:rsidR="00FC165A" w:rsidRPr="004550C4" w:rsidRDefault="00FC165A" w:rsidP="00FC165A">
      <w:pPr>
        <w:spacing w:line="240" w:lineRule="auto"/>
        <w:rPr>
          <w:szCs w:val="24"/>
          <w:lang w:eastAsia="sk-SK"/>
        </w:rPr>
      </w:pPr>
      <w:r w:rsidRPr="004550C4">
        <w:rPr>
          <w:b/>
          <w:szCs w:val="24"/>
          <w:bdr w:val="single" w:sz="4" w:space="0" w:color="auto"/>
          <w:lang w:eastAsia="sk-SK"/>
        </w:rPr>
        <w:t xml:space="preserve">     </w:t>
      </w:r>
      <w:r w:rsidRPr="004550C4">
        <w:rPr>
          <w:b/>
          <w:szCs w:val="24"/>
          <w:lang w:eastAsia="sk-SK"/>
        </w:rPr>
        <w:t xml:space="preserve">  </w:t>
      </w:r>
      <w:r w:rsidRPr="004550C4">
        <w:rPr>
          <w:szCs w:val="24"/>
          <w:lang w:eastAsia="sk-SK"/>
        </w:rPr>
        <w:t>zmena sadzby</w:t>
      </w:r>
    </w:p>
    <w:p w:rsidR="00FC165A" w:rsidRPr="004550C4" w:rsidRDefault="00FC165A" w:rsidP="00FC165A">
      <w:pPr>
        <w:spacing w:line="240" w:lineRule="auto"/>
        <w:rPr>
          <w:szCs w:val="24"/>
          <w:lang w:eastAsia="sk-SK"/>
        </w:rPr>
      </w:pPr>
      <w:r w:rsidRPr="004550C4">
        <w:rPr>
          <w:szCs w:val="24"/>
          <w:bdr w:val="single" w:sz="4" w:space="0" w:color="auto"/>
          <w:lang w:eastAsia="sk-SK"/>
        </w:rPr>
        <w:t xml:space="preserve">     </w:t>
      </w:r>
      <w:r w:rsidRPr="004550C4">
        <w:rPr>
          <w:szCs w:val="24"/>
          <w:lang w:eastAsia="sk-SK"/>
        </w:rPr>
        <w:t xml:space="preserve">  zmena v nároku</w:t>
      </w:r>
    </w:p>
    <w:p w:rsidR="007E10F1" w:rsidRDefault="007E10F1" w:rsidP="00FC165A">
      <w:pPr>
        <w:spacing w:line="240" w:lineRule="auto"/>
        <w:rPr>
          <w:szCs w:val="24"/>
          <w:bdr w:val="single" w:sz="4" w:space="0" w:color="auto"/>
          <w:lang w:eastAsia="sk-SK"/>
        </w:rPr>
      </w:pPr>
    </w:p>
    <w:p w:rsidR="007E10F1" w:rsidRDefault="007E10F1" w:rsidP="00FC165A">
      <w:pPr>
        <w:spacing w:line="240" w:lineRule="auto"/>
        <w:rPr>
          <w:szCs w:val="24"/>
          <w:bdr w:val="single" w:sz="4" w:space="0" w:color="auto"/>
          <w:lang w:eastAsia="sk-SK"/>
        </w:rPr>
      </w:pPr>
    </w:p>
    <w:p w:rsidR="007E10F1" w:rsidRDefault="007E10F1" w:rsidP="00FC165A">
      <w:pPr>
        <w:spacing w:line="240" w:lineRule="auto"/>
        <w:rPr>
          <w:szCs w:val="24"/>
          <w:bdr w:val="single" w:sz="4" w:space="0" w:color="auto"/>
          <w:lang w:eastAsia="sk-SK"/>
        </w:rPr>
      </w:pPr>
    </w:p>
    <w:p w:rsidR="007E10F1" w:rsidRDefault="007E10F1" w:rsidP="00FC165A">
      <w:pPr>
        <w:spacing w:line="240" w:lineRule="auto"/>
        <w:rPr>
          <w:szCs w:val="24"/>
          <w:bdr w:val="single" w:sz="4" w:space="0" w:color="auto"/>
          <w:lang w:eastAsia="sk-SK"/>
        </w:rPr>
      </w:pPr>
    </w:p>
    <w:p w:rsidR="00FC165A" w:rsidRPr="004550C4" w:rsidRDefault="00FC165A" w:rsidP="00FC165A">
      <w:pPr>
        <w:spacing w:line="240" w:lineRule="auto"/>
        <w:rPr>
          <w:szCs w:val="24"/>
          <w:lang w:eastAsia="sk-SK"/>
        </w:rPr>
      </w:pPr>
      <w:r w:rsidRPr="004550C4">
        <w:rPr>
          <w:szCs w:val="24"/>
          <w:bdr w:val="single" w:sz="4" w:space="0" w:color="auto"/>
          <w:lang w:eastAsia="sk-SK"/>
        </w:rPr>
        <w:t xml:space="preserve">     </w:t>
      </w:r>
      <w:r w:rsidRPr="004550C4">
        <w:rPr>
          <w:szCs w:val="24"/>
          <w:lang w:eastAsia="sk-SK"/>
        </w:rPr>
        <w:t xml:space="preserve">  nová služba alebo nariadenie (alebo ich zrušenie)</w:t>
      </w:r>
    </w:p>
    <w:p w:rsidR="00FC165A" w:rsidRDefault="00FC165A" w:rsidP="00FC165A">
      <w:pPr>
        <w:spacing w:line="240" w:lineRule="auto"/>
        <w:rPr>
          <w:szCs w:val="24"/>
          <w:lang w:eastAsia="sk-SK"/>
        </w:rPr>
      </w:pPr>
      <w:r w:rsidRPr="004550C4">
        <w:rPr>
          <w:szCs w:val="24"/>
          <w:bdr w:val="single" w:sz="4" w:space="0" w:color="auto"/>
          <w:lang w:eastAsia="sk-SK"/>
        </w:rPr>
        <w:t xml:space="preserve">  </w:t>
      </w:r>
      <w:r w:rsidRPr="004550C4">
        <w:rPr>
          <w:szCs w:val="24"/>
          <w:lang w:eastAsia="sk-SK"/>
        </w:rPr>
        <w:t xml:space="preserve"> </w:t>
      </w:r>
      <w:r w:rsidR="00502C1F">
        <w:rPr>
          <w:szCs w:val="24"/>
          <w:lang w:eastAsia="sk-SK"/>
        </w:rPr>
        <w:t xml:space="preserve">   </w:t>
      </w:r>
      <w:r w:rsidRPr="004550C4">
        <w:rPr>
          <w:szCs w:val="24"/>
          <w:lang w:eastAsia="sk-SK"/>
        </w:rPr>
        <w:t xml:space="preserve"> kombinovaný návrh</w:t>
      </w:r>
    </w:p>
    <w:p w:rsidR="005B5539" w:rsidRPr="004550C4" w:rsidRDefault="005B5539" w:rsidP="00FC165A">
      <w:pPr>
        <w:spacing w:line="240" w:lineRule="auto"/>
        <w:rPr>
          <w:szCs w:val="24"/>
          <w:lang w:eastAsia="sk-SK"/>
        </w:rPr>
      </w:pPr>
    </w:p>
    <w:p w:rsidR="00FC165A" w:rsidRPr="00DC0042" w:rsidRDefault="00FC165A" w:rsidP="00FC165A">
      <w:pPr>
        <w:spacing w:line="240" w:lineRule="auto"/>
        <w:rPr>
          <w:szCs w:val="24"/>
          <w:lang w:eastAsia="sk-SK"/>
        </w:rPr>
      </w:pPr>
      <w:r w:rsidRPr="004550C4">
        <w:rPr>
          <w:szCs w:val="24"/>
          <w:bdr w:val="single" w:sz="4" w:space="0" w:color="auto"/>
          <w:lang w:eastAsia="sk-SK"/>
        </w:rPr>
        <w:t xml:space="preserve">   </w:t>
      </w:r>
      <w:r w:rsidR="00C23E06">
        <w:rPr>
          <w:szCs w:val="24"/>
          <w:bdr w:val="single" w:sz="4" w:space="0" w:color="auto"/>
          <w:lang w:eastAsia="sk-SK"/>
        </w:rPr>
        <w:t>x</w:t>
      </w:r>
      <w:r w:rsidRPr="004550C4">
        <w:rPr>
          <w:szCs w:val="24"/>
          <w:bdr w:val="single" w:sz="4" w:space="0" w:color="auto"/>
          <w:lang w:eastAsia="sk-SK"/>
        </w:rPr>
        <w:t xml:space="preserve">  </w:t>
      </w:r>
      <w:r w:rsidRPr="004550C4">
        <w:rPr>
          <w:szCs w:val="24"/>
          <w:lang w:eastAsia="sk-SK"/>
        </w:rPr>
        <w:t xml:space="preserve">  </w:t>
      </w:r>
      <w:r w:rsidR="00DC0042">
        <w:rPr>
          <w:szCs w:val="24"/>
          <w:lang w:eastAsia="sk-SK"/>
        </w:rPr>
        <w:t xml:space="preserve">iné </w:t>
      </w:r>
    </w:p>
    <w:p w:rsidR="00FD430A" w:rsidRDefault="00FD430A" w:rsidP="00FC165A">
      <w:pPr>
        <w:spacing w:line="240" w:lineRule="auto"/>
        <w:rPr>
          <w:b/>
          <w:bCs/>
          <w:szCs w:val="24"/>
          <w:lang w:eastAsia="sk-SK"/>
        </w:rPr>
      </w:pPr>
    </w:p>
    <w:p w:rsidR="00FD430A" w:rsidRDefault="00FD430A" w:rsidP="00FC165A">
      <w:pPr>
        <w:spacing w:line="240" w:lineRule="auto"/>
        <w:rPr>
          <w:b/>
          <w:bCs/>
          <w:szCs w:val="24"/>
          <w:lang w:eastAsia="sk-SK"/>
        </w:rPr>
      </w:pPr>
    </w:p>
    <w:p w:rsidR="00FC165A" w:rsidRPr="004550C4" w:rsidRDefault="00FC165A" w:rsidP="00FC165A">
      <w:pPr>
        <w:spacing w:line="240" w:lineRule="auto"/>
        <w:rPr>
          <w:szCs w:val="24"/>
          <w:lang w:eastAsia="sk-SK"/>
        </w:rPr>
      </w:pPr>
      <w:r w:rsidRPr="004550C4">
        <w:rPr>
          <w:b/>
          <w:bCs/>
          <w:szCs w:val="24"/>
          <w:lang w:eastAsia="sk-SK"/>
        </w:rPr>
        <w:t>2.2.3. Predpoklady vývoja objemu aktivít:</w:t>
      </w:r>
    </w:p>
    <w:p w:rsidR="00FC165A" w:rsidRPr="004550C4" w:rsidRDefault="00FC165A" w:rsidP="00FC165A">
      <w:pPr>
        <w:spacing w:line="240" w:lineRule="auto"/>
        <w:rPr>
          <w:szCs w:val="24"/>
          <w:lang w:eastAsia="sk-SK"/>
        </w:rPr>
      </w:pPr>
    </w:p>
    <w:p w:rsidR="00333EC3" w:rsidRPr="004550C4" w:rsidRDefault="00FC165A" w:rsidP="00DC0042">
      <w:pPr>
        <w:spacing w:line="240" w:lineRule="auto"/>
        <w:ind w:firstLine="708"/>
        <w:jc w:val="both"/>
        <w:rPr>
          <w:szCs w:val="24"/>
          <w:lang w:eastAsia="sk-SK"/>
        </w:rPr>
      </w:pPr>
      <w:r w:rsidRPr="004550C4">
        <w:rPr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FC165A" w:rsidRPr="004550C4" w:rsidRDefault="00FC165A" w:rsidP="00FC165A">
      <w:pPr>
        <w:spacing w:line="240" w:lineRule="auto"/>
        <w:jc w:val="right"/>
        <w:rPr>
          <w:sz w:val="20"/>
          <w:szCs w:val="20"/>
          <w:lang w:eastAsia="sk-SK"/>
        </w:rPr>
      </w:pPr>
      <w:r w:rsidRPr="004550C4">
        <w:rPr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FC165A" w:rsidRPr="004550C4" w:rsidTr="002B77CE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FC165A" w:rsidRPr="004550C4" w:rsidRDefault="00FC165A" w:rsidP="002B77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shd w:val="clear" w:color="auto" w:fill="BFBFBF" w:themeFill="background1" w:themeFillShade="BF"/>
            <w:vAlign w:val="center"/>
          </w:tcPr>
          <w:p w:rsidR="00FC165A" w:rsidRPr="004550C4" w:rsidRDefault="00FC165A" w:rsidP="002B77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Odhadované objemy</w:t>
            </w:r>
          </w:p>
        </w:tc>
      </w:tr>
      <w:tr w:rsidR="00FC165A" w:rsidRPr="004550C4" w:rsidTr="002B77CE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FC165A" w:rsidRPr="004550C4" w:rsidRDefault="00FC165A" w:rsidP="002B77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C165A" w:rsidRPr="004550C4" w:rsidRDefault="00296D03" w:rsidP="009D19F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>
              <w:rPr>
                <w:b/>
                <w:bCs/>
                <w:szCs w:val="24"/>
                <w:lang w:eastAsia="sk-SK"/>
              </w:rPr>
              <w:t>2021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C165A" w:rsidRPr="004550C4" w:rsidRDefault="00FC165A" w:rsidP="00296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20</w:t>
            </w:r>
            <w:r w:rsidR="009D19F3">
              <w:rPr>
                <w:b/>
                <w:bCs/>
                <w:szCs w:val="24"/>
                <w:lang w:eastAsia="sk-SK"/>
              </w:rPr>
              <w:t>2</w:t>
            </w:r>
            <w:r w:rsidR="00296D03">
              <w:rPr>
                <w:b/>
                <w:bCs/>
                <w:szCs w:val="24"/>
                <w:lang w:eastAsia="sk-SK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C165A" w:rsidRPr="004550C4" w:rsidRDefault="00FC165A" w:rsidP="00296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20</w:t>
            </w:r>
            <w:r w:rsidR="009D19F3">
              <w:rPr>
                <w:b/>
                <w:bCs/>
                <w:szCs w:val="24"/>
                <w:lang w:eastAsia="sk-SK"/>
              </w:rPr>
              <w:t>2</w:t>
            </w:r>
            <w:r w:rsidR="00296D03">
              <w:rPr>
                <w:b/>
                <w:bCs/>
                <w:szCs w:val="24"/>
                <w:lang w:eastAsia="sk-SK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C165A" w:rsidRPr="004550C4" w:rsidRDefault="00FC165A" w:rsidP="00296D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202</w:t>
            </w:r>
            <w:r w:rsidR="00296D03">
              <w:rPr>
                <w:b/>
                <w:bCs/>
                <w:szCs w:val="24"/>
                <w:lang w:eastAsia="sk-SK"/>
              </w:rPr>
              <w:t>4</w:t>
            </w:r>
          </w:p>
        </w:tc>
      </w:tr>
      <w:tr w:rsidR="00FC165A" w:rsidRPr="004550C4" w:rsidTr="002B77CE">
        <w:trPr>
          <w:trHeight w:val="70"/>
        </w:trPr>
        <w:tc>
          <w:tcPr>
            <w:tcW w:w="4530" w:type="dxa"/>
          </w:tcPr>
          <w:p w:rsidR="00FC165A" w:rsidRPr="004550C4" w:rsidRDefault="00FC165A" w:rsidP="002B77CE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FC165A" w:rsidRPr="004550C4" w:rsidRDefault="00FC165A" w:rsidP="002B77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FC165A" w:rsidRPr="004550C4" w:rsidRDefault="00FC165A" w:rsidP="002B77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FC165A" w:rsidRPr="004550C4" w:rsidRDefault="00FC165A" w:rsidP="002B77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FC165A" w:rsidRPr="004550C4" w:rsidRDefault="00FC165A" w:rsidP="002B77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sk-SK"/>
              </w:rPr>
            </w:pPr>
          </w:p>
        </w:tc>
      </w:tr>
      <w:tr w:rsidR="00FC165A" w:rsidRPr="004550C4" w:rsidTr="002B77CE">
        <w:trPr>
          <w:trHeight w:val="70"/>
        </w:trPr>
        <w:tc>
          <w:tcPr>
            <w:tcW w:w="4530" w:type="dxa"/>
          </w:tcPr>
          <w:p w:rsidR="00FC165A" w:rsidRPr="004550C4" w:rsidRDefault="00FC165A" w:rsidP="002B77CE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FC165A" w:rsidRPr="004550C4" w:rsidRDefault="00FC165A" w:rsidP="002B77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FC165A" w:rsidRPr="004550C4" w:rsidRDefault="00FC165A" w:rsidP="002B77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FC165A" w:rsidRPr="004550C4" w:rsidRDefault="00FC165A" w:rsidP="002B77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FC165A" w:rsidRPr="004550C4" w:rsidRDefault="00FC165A" w:rsidP="002B77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sk-SK"/>
              </w:rPr>
            </w:pPr>
          </w:p>
        </w:tc>
      </w:tr>
    </w:tbl>
    <w:p w:rsidR="00FC165A" w:rsidRPr="004550C4" w:rsidRDefault="00FC165A" w:rsidP="00FC165A">
      <w:pPr>
        <w:spacing w:line="240" w:lineRule="auto"/>
        <w:rPr>
          <w:b/>
          <w:bCs/>
          <w:szCs w:val="24"/>
          <w:lang w:eastAsia="sk-SK"/>
        </w:rPr>
      </w:pPr>
    </w:p>
    <w:p w:rsidR="00FC165A" w:rsidRPr="004550C4" w:rsidRDefault="00FC165A" w:rsidP="00FC165A">
      <w:pPr>
        <w:spacing w:line="240" w:lineRule="auto"/>
        <w:rPr>
          <w:b/>
          <w:bCs/>
          <w:szCs w:val="24"/>
          <w:lang w:eastAsia="sk-SK"/>
        </w:rPr>
      </w:pPr>
    </w:p>
    <w:p w:rsidR="00FC165A" w:rsidRPr="004550C4" w:rsidRDefault="00FC165A" w:rsidP="00FC165A">
      <w:pPr>
        <w:spacing w:line="240" w:lineRule="auto"/>
        <w:rPr>
          <w:b/>
          <w:bCs/>
          <w:szCs w:val="24"/>
          <w:lang w:eastAsia="sk-SK"/>
        </w:rPr>
      </w:pPr>
      <w:r w:rsidRPr="004550C4">
        <w:rPr>
          <w:b/>
          <w:bCs/>
          <w:szCs w:val="24"/>
          <w:lang w:eastAsia="sk-SK"/>
        </w:rPr>
        <w:t>2.2.4. Výpočty vplyvov na verejné financie</w:t>
      </w:r>
    </w:p>
    <w:p w:rsidR="00FC165A" w:rsidRPr="004550C4" w:rsidRDefault="00FC165A" w:rsidP="00FC165A">
      <w:pPr>
        <w:spacing w:line="240" w:lineRule="auto"/>
        <w:rPr>
          <w:szCs w:val="24"/>
          <w:lang w:eastAsia="sk-SK"/>
        </w:rPr>
      </w:pPr>
    </w:p>
    <w:p w:rsidR="00FC165A" w:rsidRPr="004550C4" w:rsidRDefault="00FC165A" w:rsidP="00FC165A">
      <w:pPr>
        <w:spacing w:line="240" w:lineRule="auto"/>
        <w:ind w:firstLine="708"/>
        <w:jc w:val="both"/>
        <w:rPr>
          <w:szCs w:val="24"/>
          <w:lang w:eastAsia="sk-SK"/>
        </w:rPr>
      </w:pPr>
      <w:r w:rsidRPr="004550C4">
        <w:rPr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FC165A" w:rsidRPr="001C1EF2" w:rsidRDefault="00FC165A" w:rsidP="00502C1F">
      <w:pPr>
        <w:pStyle w:val="Zkladntext"/>
      </w:pPr>
      <w:r w:rsidRPr="00F7297D">
        <w:tab/>
      </w:r>
    </w:p>
    <w:p w:rsidR="0024057A" w:rsidRDefault="0024057A" w:rsidP="0087277C">
      <w:pPr>
        <w:tabs>
          <w:tab w:val="num" w:pos="1080"/>
        </w:tabs>
        <w:spacing w:line="240" w:lineRule="auto"/>
        <w:jc w:val="both"/>
        <w:rPr>
          <w:bCs/>
          <w:sz w:val="20"/>
          <w:szCs w:val="20"/>
          <w:lang w:eastAsia="sk-SK"/>
        </w:rPr>
      </w:pPr>
    </w:p>
    <w:p w:rsidR="0024057A" w:rsidRDefault="00476217" w:rsidP="00FC165A">
      <w:pPr>
        <w:tabs>
          <w:tab w:val="num" w:pos="1080"/>
        </w:tabs>
        <w:spacing w:line="240" w:lineRule="auto"/>
        <w:jc w:val="both"/>
        <w:rPr>
          <w:bCs/>
          <w:sz w:val="20"/>
          <w:szCs w:val="20"/>
          <w:lang w:eastAsia="sk-SK"/>
        </w:rPr>
      </w:pPr>
      <w:r>
        <w:rPr>
          <w:bCs/>
          <w:szCs w:val="24"/>
          <w:lang w:eastAsia="sk-SK"/>
        </w:rPr>
        <w:tab/>
      </w:r>
      <w:r>
        <w:rPr>
          <w:bCs/>
          <w:szCs w:val="24"/>
          <w:lang w:eastAsia="sk-SK"/>
        </w:rPr>
        <w:tab/>
      </w:r>
      <w:r>
        <w:rPr>
          <w:bCs/>
          <w:szCs w:val="24"/>
          <w:lang w:eastAsia="sk-SK"/>
        </w:rPr>
        <w:tab/>
      </w:r>
      <w:r>
        <w:rPr>
          <w:bCs/>
          <w:szCs w:val="24"/>
          <w:lang w:eastAsia="sk-SK"/>
        </w:rPr>
        <w:tab/>
      </w:r>
      <w:r>
        <w:rPr>
          <w:bCs/>
          <w:szCs w:val="24"/>
          <w:lang w:eastAsia="sk-SK"/>
        </w:rPr>
        <w:tab/>
      </w:r>
      <w:r>
        <w:rPr>
          <w:bCs/>
          <w:szCs w:val="24"/>
          <w:lang w:eastAsia="sk-SK"/>
        </w:rPr>
        <w:tab/>
      </w:r>
      <w:r>
        <w:rPr>
          <w:bCs/>
          <w:szCs w:val="24"/>
          <w:lang w:eastAsia="sk-SK"/>
        </w:rPr>
        <w:tab/>
      </w:r>
      <w:r>
        <w:rPr>
          <w:bCs/>
          <w:szCs w:val="24"/>
          <w:lang w:eastAsia="sk-SK"/>
        </w:rPr>
        <w:tab/>
      </w:r>
      <w:r>
        <w:rPr>
          <w:bCs/>
          <w:szCs w:val="24"/>
          <w:lang w:eastAsia="sk-SK"/>
        </w:rPr>
        <w:tab/>
      </w:r>
      <w:r>
        <w:rPr>
          <w:bCs/>
          <w:szCs w:val="24"/>
          <w:lang w:eastAsia="sk-SK"/>
        </w:rPr>
        <w:tab/>
      </w:r>
      <w:r>
        <w:rPr>
          <w:bCs/>
          <w:szCs w:val="24"/>
          <w:lang w:eastAsia="sk-SK"/>
        </w:rPr>
        <w:tab/>
      </w:r>
      <w:r w:rsidRPr="004550C4">
        <w:rPr>
          <w:bCs/>
          <w:szCs w:val="24"/>
          <w:lang w:eastAsia="sk-SK"/>
        </w:rPr>
        <w:t xml:space="preserve">Tabuľka č. </w:t>
      </w:r>
      <w:r w:rsidR="00EA6483">
        <w:rPr>
          <w:bCs/>
          <w:szCs w:val="24"/>
          <w:lang w:eastAsia="sk-SK"/>
        </w:rPr>
        <w:t>3</w:t>
      </w:r>
    </w:p>
    <w:p w:rsidR="00FC165A" w:rsidRPr="004550C4" w:rsidRDefault="00FC165A" w:rsidP="00FC165A">
      <w:pPr>
        <w:tabs>
          <w:tab w:val="num" w:pos="1080"/>
        </w:tabs>
        <w:spacing w:line="240" w:lineRule="auto"/>
        <w:jc w:val="both"/>
        <w:rPr>
          <w:bCs/>
          <w:sz w:val="20"/>
          <w:szCs w:val="20"/>
          <w:lang w:eastAsia="sk-SK"/>
        </w:rPr>
      </w:pPr>
      <w:r w:rsidRPr="004550C4">
        <w:rPr>
          <w:bCs/>
          <w:sz w:val="20"/>
          <w:szCs w:val="20"/>
          <w:lang w:eastAsia="sk-SK"/>
        </w:rPr>
        <w:t>1 –  príjmy rozpísať až do položiek platnej ekonomickej klasifikácie</w:t>
      </w:r>
    </w:p>
    <w:p w:rsidR="00127317" w:rsidRDefault="00127317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</w:p>
    <w:p w:rsidR="00127317" w:rsidRDefault="00127317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</w:p>
    <w:p w:rsidR="00127317" w:rsidRDefault="00127317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</w:p>
    <w:p w:rsidR="00C23E06" w:rsidRDefault="00C23E06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  <w:r w:rsidRPr="00C23E06">
        <w:rPr>
          <w:bCs/>
          <w:szCs w:val="20"/>
          <w:lang w:eastAsia="sk-SK"/>
        </w:rPr>
        <w:t>Medzinárodné organizácie</w:t>
      </w:r>
      <w:r w:rsidR="006850FF">
        <w:rPr>
          <w:bCs/>
          <w:szCs w:val="20"/>
          <w:lang w:eastAsia="sk-SK"/>
        </w:rPr>
        <w:t>,</w:t>
      </w:r>
      <w:r w:rsidRPr="00C23E06">
        <w:rPr>
          <w:bCs/>
          <w:szCs w:val="20"/>
          <w:lang w:eastAsia="sk-SK"/>
        </w:rPr>
        <w:t xml:space="preserve"> ako </w:t>
      </w:r>
      <w:r>
        <w:rPr>
          <w:bCs/>
          <w:szCs w:val="20"/>
          <w:lang w:eastAsia="sk-SK"/>
        </w:rPr>
        <w:t>Európsky orgán práce</w:t>
      </w:r>
      <w:r w:rsidR="006850FF">
        <w:rPr>
          <w:bCs/>
          <w:szCs w:val="20"/>
          <w:lang w:eastAsia="sk-SK"/>
        </w:rPr>
        <w:t>,</w:t>
      </w:r>
      <w:r>
        <w:rPr>
          <w:bCs/>
          <w:szCs w:val="20"/>
          <w:lang w:eastAsia="sk-SK"/>
        </w:rPr>
        <w:t xml:space="preserve"> sú štandardne oslobodené od platenia daní z príjmu a sociálnych a zdravotných odvodov v krajine rezidencie, prispievajú do vlastných systémov, z ktorých čerpajú benefity, preto toto oslobodenie nemožno považovať za opatrenie s negatívnym vplyvom na daňové a odvodové príjmy verejnej správy.</w:t>
      </w:r>
    </w:p>
    <w:p w:rsidR="005B5539" w:rsidRDefault="005B5539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p w:rsidR="005B5539" w:rsidRDefault="005B5539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p w:rsidR="005B5539" w:rsidRDefault="005B5539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p w:rsidR="007E10F1" w:rsidRDefault="007E10F1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p w:rsidR="007E10F1" w:rsidRDefault="007E10F1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p w:rsidR="007E10F1" w:rsidRDefault="007E10F1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p w:rsidR="007E10F1" w:rsidRDefault="007E10F1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p w:rsidR="007E10F1" w:rsidRDefault="007E10F1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p w:rsidR="007E10F1" w:rsidRDefault="007E10F1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p w:rsidR="007E10F1" w:rsidRDefault="007E10F1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p w:rsidR="005B5539" w:rsidRDefault="005B5539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p w:rsidR="005B5539" w:rsidRDefault="005B5539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p w:rsidR="005B5539" w:rsidRPr="00C23E06" w:rsidRDefault="005B5539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tbl>
      <w:tblPr>
        <w:tblpPr w:leftFromText="141" w:rightFromText="141" w:vertAnchor="page" w:horzAnchor="margin" w:tblpXSpec="center" w:tblpY="1879"/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1253"/>
        <w:gridCol w:w="1253"/>
        <w:gridCol w:w="1253"/>
        <w:gridCol w:w="1623"/>
        <w:gridCol w:w="1207"/>
      </w:tblGrid>
      <w:tr w:rsidR="00127317" w:rsidRPr="004550C4" w:rsidTr="00915165">
        <w:trPr>
          <w:cantSplit/>
          <w:trHeight w:val="255"/>
        </w:trPr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Príjmy (v eurách)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poznámka</w:t>
            </w:r>
          </w:p>
        </w:tc>
      </w:tr>
      <w:tr w:rsidR="00127317" w:rsidRPr="004550C4" w:rsidTr="00915165">
        <w:trPr>
          <w:cantSplit/>
          <w:trHeight w:val="255"/>
        </w:trPr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7" w:rsidRPr="004550C4" w:rsidRDefault="00127317" w:rsidP="00915165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20</w:t>
            </w:r>
            <w:r>
              <w:rPr>
                <w:b/>
                <w:bCs/>
                <w:szCs w:val="24"/>
                <w:lang w:eastAsia="sk-SK"/>
              </w:rPr>
              <w:t>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>
              <w:rPr>
                <w:b/>
                <w:bCs/>
                <w:szCs w:val="24"/>
                <w:lang w:eastAsia="sk-SK"/>
              </w:rPr>
              <w:t>2022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20</w:t>
            </w:r>
            <w:r>
              <w:rPr>
                <w:b/>
                <w:bCs/>
                <w:szCs w:val="24"/>
                <w:lang w:eastAsia="sk-SK"/>
              </w:rPr>
              <w:t>23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202</w:t>
            </w:r>
            <w:r>
              <w:rPr>
                <w:b/>
                <w:bCs/>
                <w:szCs w:val="24"/>
                <w:lang w:eastAsia="sk-SK"/>
              </w:rPr>
              <w:t>4</w:t>
            </w: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17" w:rsidRPr="004550C4" w:rsidRDefault="00127317" w:rsidP="00915165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</w:p>
        </w:tc>
      </w:tr>
      <w:tr w:rsidR="00127317" w:rsidRPr="004550C4" w:rsidTr="00915165">
        <w:trPr>
          <w:trHeight w:val="255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7" w:rsidRPr="004550C4" w:rsidRDefault="00127317" w:rsidP="00915165">
            <w:pPr>
              <w:spacing w:line="240" w:lineRule="auto"/>
              <w:rPr>
                <w:b/>
                <w:bCs/>
                <w:szCs w:val="24"/>
                <w:vertAlign w:val="superscript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Daňové príjmy (100)</w:t>
            </w:r>
            <w:r w:rsidRPr="004550C4">
              <w:rPr>
                <w:b/>
                <w:bCs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317" w:rsidRPr="00F25D12" w:rsidRDefault="007E10F1" w:rsidP="00915165">
            <w:pPr>
              <w:spacing w:line="240" w:lineRule="auto"/>
              <w:jc w:val="center"/>
              <w:rPr>
                <w:bCs/>
                <w:szCs w:val="24"/>
                <w:lang w:eastAsia="sk-SK"/>
              </w:rPr>
            </w:pPr>
            <w:r>
              <w:rPr>
                <w:bCs/>
                <w:szCs w:val="24"/>
                <w:lang w:eastAsia="sk-SK"/>
              </w:rPr>
              <w:t> -145 000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317" w:rsidRPr="00F25D12" w:rsidRDefault="007E10F1" w:rsidP="00915165">
            <w:pPr>
              <w:spacing w:line="240" w:lineRule="auto"/>
              <w:jc w:val="center"/>
              <w:rPr>
                <w:bCs/>
                <w:szCs w:val="24"/>
                <w:lang w:eastAsia="sk-SK"/>
              </w:rPr>
            </w:pPr>
            <w:r>
              <w:rPr>
                <w:bCs/>
                <w:szCs w:val="24"/>
                <w:lang w:eastAsia="sk-SK"/>
              </w:rPr>
              <w:t> -725 000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317" w:rsidRPr="00F25D12" w:rsidRDefault="007E10F1" w:rsidP="00915165">
            <w:pPr>
              <w:spacing w:line="240" w:lineRule="auto"/>
              <w:jc w:val="center"/>
              <w:rPr>
                <w:bCs/>
                <w:szCs w:val="24"/>
                <w:lang w:eastAsia="sk-SK"/>
              </w:rPr>
            </w:pPr>
            <w:r>
              <w:rPr>
                <w:bCs/>
                <w:szCs w:val="24"/>
                <w:lang w:eastAsia="sk-SK"/>
              </w:rPr>
              <w:t> -580 000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317" w:rsidRPr="00F25D12" w:rsidRDefault="00127317" w:rsidP="00915165">
            <w:pPr>
              <w:spacing w:line="240" w:lineRule="auto"/>
              <w:jc w:val="center"/>
              <w:rPr>
                <w:bCs/>
                <w:szCs w:val="24"/>
                <w:lang w:eastAsia="sk-SK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7" w:rsidRPr="004550C4" w:rsidRDefault="00127317" w:rsidP="00915165">
            <w:pPr>
              <w:spacing w:line="240" w:lineRule="auto"/>
              <w:rPr>
                <w:szCs w:val="24"/>
                <w:lang w:eastAsia="sk-SK"/>
              </w:rPr>
            </w:pPr>
            <w:r w:rsidRPr="004550C4">
              <w:rPr>
                <w:szCs w:val="24"/>
                <w:lang w:eastAsia="sk-SK"/>
              </w:rPr>
              <w:t> </w:t>
            </w:r>
            <w:r w:rsidR="00F25D12">
              <w:rPr>
                <w:szCs w:val="24"/>
                <w:lang w:eastAsia="sk-SK"/>
              </w:rPr>
              <w:t>DPH</w:t>
            </w:r>
          </w:p>
        </w:tc>
      </w:tr>
      <w:tr w:rsidR="00127317" w:rsidRPr="004550C4" w:rsidTr="00915165">
        <w:trPr>
          <w:trHeight w:val="255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7" w:rsidRPr="004550C4" w:rsidRDefault="00127317" w:rsidP="00915165">
            <w:pPr>
              <w:spacing w:line="240" w:lineRule="auto"/>
              <w:ind w:left="284" w:hanging="284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Nedaňové príjmy (200)</w:t>
            </w:r>
            <w:r w:rsidRPr="004550C4">
              <w:rPr>
                <w:b/>
                <w:bCs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317" w:rsidRPr="004550C4" w:rsidRDefault="00127317" w:rsidP="00915165">
            <w:pPr>
              <w:spacing w:line="240" w:lineRule="auto"/>
              <w:jc w:val="right"/>
              <w:rPr>
                <w:b/>
                <w:bCs/>
                <w:iCs/>
                <w:szCs w:val="24"/>
                <w:lang w:eastAsia="sk-SK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317" w:rsidRPr="004550C4" w:rsidRDefault="00127317" w:rsidP="00915165">
            <w:pPr>
              <w:spacing w:line="240" w:lineRule="auto"/>
              <w:jc w:val="right"/>
              <w:rPr>
                <w:b/>
                <w:bCs/>
                <w:iCs/>
                <w:szCs w:val="24"/>
                <w:lang w:eastAsia="sk-SK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317" w:rsidRPr="004550C4" w:rsidRDefault="00127317" w:rsidP="00915165">
            <w:pPr>
              <w:spacing w:line="240" w:lineRule="auto"/>
              <w:jc w:val="right"/>
              <w:rPr>
                <w:b/>
                <w:bCs/>
                <w:iCs/>
                <w:szCs w:val="24"/>
                <w:lang w:eastAsia="sk-SK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7" w:rsidRPr="004550C4" w:rsidRDefault="00127317" w:rsidP="00915165">
            <w:pPr>
              <w:spacing w:line="240" w:lineRule="auto"/>
              <w:rPr>
                <w:szCs w:val="24"/>
                <w:lang w:eastAsia="sk-SK"/>
              </w:rPr>
            </w:pPr>
            <w:r w:rsidRPr="004550C4">
              <w:rPr>
                <w:szCs w:val="24"/>
                <w:lang w:eastAsia="sk-SK"/>
              </w:rPr>
              <w:t> </w:t>
            </w:r>
          </w:p>
        </w:tc>
      </w:tr>
      <w:tr w:rsidR="00127317" w:rsidRPr="004550C4" w:rsidTr="00915165">
        <w:trPr>
          <w:trHeight w:val="255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7" w:rsidRPr="004550C4" w:rsidRDefault="00127317" w:rsidP="00915165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Granty a transfery (300)</w:t>
            </w:r>
            <w:r w:rsidRPr="004550C4">
              <w:rPr>
                <w:b/>
                <w:bCs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7" w:rsidRPr="004550C4" w:rsidRDefault="00127317" w:rsidP="00915165">
            <w:pPr>
              <w:spacing w:line="240" w:lineRule="auto"/>
              <w:rPr>
                <w:szCs w:val="24"/>
                <w:lang w:eastAsia="sk-SK"/>
              </w:rPr>
            </w:pPr>
            <w:r w:rsidRPr="004550C4">
              <w:rPr>
                <w:szCs w:val="24"/>
                <w:lang w:eastAsia="sk-SK"/>
              </w:rPr>
              <w:t> </w:t>
            </w:r>
          </w:p>
        </w:tc>
      </w:tr>
      <w:tr w:rsidR="00127317" w:rsidRPr="004550C4" w:rsidTr="00915165">
        <w:trPr>
          <w:trHeight w:val="255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7" w:rsidRPr="004550C4" w:rsidRDefault="00127317" w:rsidP="00915165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7" w:rsidRPr="004550C4" w:rsidRDefault="00127317" w:rsidP="00915165">
            <w:pPr>
              <w:spacing w:line="240" w:lineRule="auto"/>
              <w:rPr>
                <w:szCs w:val="24"/>
                <w:lang w:eastAsia="sk-SK"/>
              </w:rPr>
            </w:pPr>
            <w:r w:rsidRPr="004550C4">
              <w:rPr>
                <w:szCs w:val="24"/>
                <w:lang w:eastAsia="sk-SK"/>
              </w:rPr>
              <w:t> </w:t>
            </w:r>
          </w:p>
        </w:tc>
      </w:tr>
      <w:tr w:rsidR="00127317" w:rsidRPr="004550C4" w:rsidTr="00915165">
        <w:trPr>
          <w:trHeight w:val="255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7" w:rsidRPr="004550C4" w:rsidRDefault="00127317" w:rsidP="00915165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7317" w:rsidRPr="004550C4" w:rsidRDefault="00127317" w:rsidP="00915165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317" w:rsidRPr="004550C4" w:rsidRDefault="00127317" w:rsidP="00915165">
            <w:pPr>
              <w:spacing w:line="240" w:lineRule="auto"/>
              <w:rPr>
                <w:szCs w:val="24"/>
                <w:lang w:eastAsia="sk-SK"/>
              </w:rPr>
            </w:pPr>
            <w:r w:rsidRPr="004550C4">
              <w:rPr>
                <w:szCs w:val="24"/>
                <w:lang w:eastAsia="sk-SK"/>
              </w:rPr>
              <w:t> </w:t>
            </w:r>
          </w:p>
        </w:tc>
      </w:tr>
      <w:tr w:rsidR="00DD59C8" w:rsidRPr="004550C4" w:rsidTr="00DD2FAC">
        <w:trPr>
          <w:trHeight w:val="255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59C8" w:rsidRPr="004550C4" w:rsidRDefault="00DD59C8" w:rsidP="00DD59C8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 xml:space="preserve">Dopad na príjmy verejnej správy </w:t>
            </w:r>
            <w:r>
              <w:rPr>
                <w:b/>
                <w:bCs/>
                <w:szCs w:val="24"/>
                <w:lang w:eastAsia="sk-SK"/>
              </w:rPr>
              <w:t>c</w:t>
            </w:r>
            <w:r w:rsidRPr="004550C4">
              <w:rPr>
                <w:b/>
                <w:bCs/>
                <w:szCs w:val="24"/>
                <w:lang w:eastAsia="sk-SK"/>
              </w:rPr>
              <w:t>elkom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9C8" w:rsidRPr="00F25D12" w:rsidRDefault="007E10F1" w:rsidP="00DD59C8">
            <w:pPr>
              <w:spacing w:line="240" w:lineRule="auto"/>
              <w:jc w:val="center"/>
              <w:rPr>
                <w:bCs/>
                <w:szCs w:val="24"/>
                <w:lang w:eastAsia="sk-SK"/>
              </w:rPr>
            </w:pPr>
            <w:r>
              <w:rPr>
                <w:bCs/>
                <w:szCs w:val="24"/>
                <w:lang w:eastAsia="sk-SK"/>
              </w:rPr>
              <w:t> -145 000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9C8" w:rsidRPr="00F25D12" w:rsidRDefault="007E10F1" w:rsidP="00DD59C8">
            <w:pPr>
              <w:spacing w:line="240" w:lineRule="auto"/>
              <w:jc w:val="center"/>
              <w:rPr>
                <w:bCs/>
                <w:szCs w:val="24"/>
                <w:lang w:eastAsia="sk-SK"/>
              </w:rPr>
            </w:pPr>
            <w:r>
              <w:rPr>
                <w:bCs/>
                <w:szCs w:val="24"/>
                <w:lang w:eastAsia="sk-SK"/>
              </w:rPr>
              <w:t> -725 000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9C8" w:rsidRPr="00F25D12" w:rsidRDefault="007E10F1" w:rsidP="00DD59C8">
            <w:pPr>
              <w:spacing w:line="240" w:lineRule="auto"/>
              <w:jc w:val="center"/>
              <w:rPr>
                <w:bCs/>
                <w:szCs w:val="24"/>
                <w:lang w:eastAsia="sk-SK"/>
              </w:rPr>
            </w:pPr>
            <w:r>
              <w:rPr>
                <w:bCs/>
                <w:szCs w:val="24"/>
                <w:lang w:eastAsia="sk-SK"/>
              </w:rPr>
              <w:t> -580 000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59C8" w:rsidRPr="004550C4" w:rsidRDefault="00DD59C8" w:rsidP="00DD59C8">
            <w:pPr>
              <w:spacing w:line="240" w:lineRule="auto"/>
              <w:jc w:val="right"/>
              <w:rPr>
                <w:b/>
                <w:bCs/>
                <w:iCs/>
                <w:szCs w:val="24"/>
                <w:lang w:eastAsia="sk-SK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D59C8" w:rsidRPr="004550C4" w:rsidRDefault="00DD59C8" w:rsidP="00DD59C8">
            <w:pPr>
              <w:spacing w:line="240" w:lineRule="auto"/>
              <w:rPr>
                <w:szCs w:val="24"/>
                <w:lang w:eastAsia="sk-SK"/>
              </w:rPr>
            </w:pPr>
            <w:r w:rsidRPr="004550C4">
              <w:rPr>
                <w:szCs w:val="24"/>
                <w:lang w:eastAsia="sk-SK"/>
              </w:rPr>
              <w:t> </w:t>
            </w:r>
          </w:p>
        </w:tc>
      </w:tr>
    </w:tbl>
    <w:p w:rsidR="005B5539" w:rsidRDefault="005B5539" w:rsidP="00F25D12">
      <w:pPr>
        <w:tabs>
          <w:tab w:val="num" w:pos="1080"/>
        </w:tabs>
        <w:spacing w:line="240" w:lineRule="auto"/>
        <w:jc w:val="both"/>
        <w:rPr>
          <w:szCs w:val="24"/>
        </w:rPr>
      </w:pPr>
    </w:p>
    <w:p w:rsidR="005B5539" w:rsidRDefault="005B5539" w:rsidP="00F25D12">
      <w:pPr>
        <w:tabs>
          <w:tab w:val="num" w:pos="1080"/>
        </w:tabs>
        <w:spacing w:line="240" w:lineRule="auto"/>
        <w:jc w:val="both"/>
        <w:rPr>
          <w:szCs w:val="24"/>
        </w:rPr>
      </w:pPr>
    </w:p>
    <w:p w:rsidR="00127317" w:rsidRDefault="00F25D12" w:rsidP="00F25D12">
      <w:pPr>
        <w:tabs>
          <w:tab w:val="num" w:pos="1080"/>
        </w:tabs>
        <w:spacing w:line="240" w:lineRule="auto"/>
        <w:jc w:val="both"/>
        <w:rPr>
          <w:szCs w:val="24"/>
        </w:rPr>
      </w:pPr>
      <w:r>
        <w:rPr>
          <w:szCs w:val="24"/>
        </w:rPr>
        <w:t>Podľa článku 13 vlastného materiálu, v</w:t>
      </w:r>
      <w:r w:rsidRPr="00F32FB3">
        <w:rPr>
          <w:szCs w:val="24"/>
        </w:rPr>
        <w:t xml:space="preserve"> prípade miestnych nákupov tovarov a služieb na osobnú potrebu, bude mať prvých 144 zamestnancov</w:t>
      </w:r>
      <w:r w:rsidR="005B5539">
        <w:rPr>
          <w:szCs w:val="24"/>
        </w:rPr>
        <w:t xml:space="preserve"> a výkonný riaditeľ ELA</w:t>
      </w:r>
      <w:r w:rsidRPr="00F32FB3">
        <w:rPr>
          <w:szCs w:val="24"/>
        </w:rPr>
        <w:t>, za predpokladu, že</w:t>
      </w:r>
      <w:r w:rsidRPr="00F32FB3">
        <w:t xml:space="preserve"> </w:t>
      </w:r>
      <w:r w:rsidRPr="00F32FB3">
        <w:rPr>
          <w:szCs w:val="24"/>
        </w:rPr>
        <w:t>nie sú štátnymi príslušníkmi Slovenskej republiky alebo nemajú v Slovenskej republike trvalý pobyt, nárok na vrátenie DPH kumulatívne najviac do výšky 10 000 EUR za zamestnanca, ktorý si môžu uplatniť najneskôr do konca roka 2023. Uvedené sa uplatní v prípade, že cena za nákup tovarov a služieb na osobnú potrebu bude vyššia ako sedemdesiat (70) EUR za jednu faktúru. Zaplatená DPH bude vrátená najneskôr do šiestich mesiacov od doručenia žiadosti o vrátenie DPH.</w:t>
      </w:r>
    </w:p>
    <w:p w:rsidR="005B5539" w:rsidRDefault="005B5539" w:rsidP="00F25D12">
      <w:pPr>
        <w:tabs>
          <w:tab w:val="num" w:pos="1080"/>
        </w:tabs>
        <w:spacing w:line="240" w:lineRule="auto"/>
        <w:jc w:val="both"/>
        <w:rPr>
          <w:szCs w:val="24"/>
        </w:rPr>
      </w:pPr>
    </w:p>
    <w:p w:rsidR="00F25D12" w:rsidRPr="00F25D12" w:rsidRDefault="00F25D12" w:rsidP="00F25D12">
      <w:pPr>
        <w:tabs>
          <w:tab w:val="num" w:pos="1080"/>
        </w:tabs>
        <w:spacing w:line="240" w:lineRule="auto"/>
        <w:jc w:val="both"/>
      </w:pPr>
      <w:r>
        <w:rPr>
          <w:szCs w:val="24"/>
        </w:rPr>
        <w:t>Vráteni</w:t>
      </w:r>
      <w:r w:rsidR="00344931">
        <w:rPr>
          <w:szCs w:val="24"/>
        </w:rPr>
        <w:t>e</w:t>
      </w:r>
      <w:r>
        <w:rPr>
          <w:szCs w:val="24"/>
        </w:rPr>
        <w:t xml:space="preserve"> DPH bude mať negatívny vplyv na príjmy z DPH. </w:t>
      </w:r>
      <w:r w:rsidR="0060204E">
        <w:rPr>
          <w:szCs w:val="24"/>
        </w:rPr>
        <w:t xml:space="preserve">Negatívny vplyv bude v celkovej sume 1 450 000 eur (144 zamestnancov a výkonný riaditeľ ELA x 10 000 eur). </w:t>
      </w:r>
      <w:r w:rsidR="0028764B">
        <w:t xml:space="preserve">Rozloženie negatívneho vplyvu do troch rokov odráža predpoklad postupného nárastu počtu prijatých zamestnancov, ako i fakt, že </w:t>
      </w:r>
      <w:r w:rsidR="0028764B" w:rsidRPr="0028764B">
        <w:t>DPH bude vrátená najneskôr do šiestich mesiacov od doručenia žiadosti o vrátenie DPH</w:t>
      </w:r>
      <w:r w:rsidR="0060204E">
        <w:t xml:space="preserve"> a benefit sa bude uplatňovať najneskôr do konca roka 2023</w:t>
      </w:r>
      <w:r w:rsidR="0028764B" w:rsidRPr="0028764B">
        <w:t>.</w:t>
      </w:r>
      <w:r w:rsidR="0028764B">
        <w:t xml:space="preserve"> </w:t>
      </w:r>
      <w:r w:rsidR="0060204E">
        <w:t xml:space="preserve"> </w:t>
      </w:r>
      <w:r w:rsidR="0060204E" w:rsidRPr="0060204E">
        <w:t>DPH bude vrátená Daňovým úradom Bratislava a žiadosti o vrátenie DPH spolu s priloženými faktúrami bude predkladať MPSVR SR</w:t>
      </w:r>
      <w:r w:rsidR="0060204E">
        <w:t>.</w:t>
      </w:r>
    </w:p>
    <w:p w:rsidR="00127317" w:rsidRDefault="00127317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</w:p>
    <w:p w:rsidR="00127317" w:rsidRDefault="00127317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</w:p>
    <w:p w:rsidR="00127317" w:rsidRDefault="00127317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</w:p>
    <w:p w:rsidR="00127317" w:rsidRDefault="00127317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</w:p>
    <w:p w:rsidR="00127317" w:rsidRDefault="00127317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</w:p>
    <w:p w:rsidR="00127317" w:rsidRDefault="00127317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</w:p>
    <w:p w:rsidR="00127317" w:rsidRDefault="00127317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</w:p>
    <w:p w:rsidR="00127317" w:rsidRDefault="00127317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</w:p>
    <w:p w:rsidR="00E940CA" w:rsidRDefault="00E940CA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</w:p>
    <w:p w:rsidR="00E940CA" w:rsidRDefault="00E940CA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</w:p>
    <w:p w:rsidR="00E940CA" w:rsidRDefault="00E940CA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</w:p>
    <w:p w:rsidR="00E940CA" w:rsidRDefault="00E940CA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</w:p>
    <w:p w:rsidR="00127317" w:rsidRDefault="00127317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</w:p>
    <w:p w:rsidR="00FC165A" w:rsidRPr="004550C4" w:rsidRDefault="00FC165A" w:rsidP="00FC165A">
      <w:pPr>
        <w:tabs>
          <w:tab w:val="num" w:pos="1080"/>
        </w:tabs>
        <w:spacing w:line="240" w:lineRule="auto"/>
        <w:jc w:val="both"/>
        <w:rPr>
          <w:b/>
          <w:bCs/>
          <w:szCs w:val="20"/>
          <w:lang w:eastAsia="sk-SK"/>
        </w:rPr>
      </w:pPr>
      <w:r w:rsidRPr="004550C4">
        <w:rPr>
          <w:b/>
          <w:bCs/>
          <w:szCs w:val="20"/>
          <w:lang w:eastAsia="sk-SK"/>
        </w:rPr>
        <w:t>Poznámka:</w:t>
      </w:r>
    </w:p>
    <w:p w:rsidR="00FC165A" w:rsidRDefault="00FC165A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  <w:r w:rsidRPr="004550C4">
        <w:rPr>
          <w:bCs/>
          <w:szCs w:val="20"/>
          <w:lang w:eastAsia="sk-SK"/>
        </w:rPr>
        <w:t>Ak sa vplyv týka viacerých subjektov verejnej správy, vypĺňa sa samostatná tabuľka za každý subjekt.</w:t>
      </w:r>
    </w:p>
    <w:p w:rsidR="00C2639E" w:rsidRDefault="00C2639E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p w:rsidR="00C2639E" w:rsidRDefault="00C2639E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p w:rsidR="00C2639E" w:rsidRDefault="00C2639E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p w:rsidR="00C2639E" w:rsidRDefault="00C2639E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p w:rsidR="00C2639E" w:rsidRPr="004550C4" w:rsidRDefault="00C2639E" w:rsidP="00FC165A">
      <w:pPr>
        <w:tabs>
          <w:tab w:val="num" w:pos="1080"/>
        </w:tabs>
        <w:spacing w:line="240" w:lineRule="auto"/>
        <w:jc w:val="both"/>
        <w:rPr>
          <w:bCs/>
          <w:szCs w:val="20"/>
          <w:lang w:eastAsia="sk-SK"/>
        </w:rPr>
      </w:pPr>
    </w:p>
    <w:p w:rsidR="00FC165A" w:rsidRPr="007B6369" w:rsidRDefault="00FC165A" w:rsidP="00FC165A">
      <w:pPr>
        <w:tabs>
          <w:tab w:val="num" w:pos="1080"/>
        </w:tabs>
        <w:spacing w:line="240" w:lineRule="auto"/>
        <w:ind w:right="-32"/>
        <w:jc w:val="right"/>
        <w:rPr>
          <w:b/>
          <w:bCs/>
          <w:iCs/>
          <w:sz w:val="20"/>
          <w:szCs w:val="20"/>
          <w:lang w:eastAsia="sk-SK"/>
        </w:rPr>
      </w:pPr>
      <w:r w:rsidRPr="007B6369">
        <w:rPr>
          <w:b/>
          <w:bCs/>
          <w:iCs/>
          <w:sz w:val="20"/>
          <w:szCs w:val="20"/>
          <w:lang w:eastAsia="sk-SK"/>
        </w:rPr>
        <w:lastRenderedPageBreak/>
        <w:t xml:space="preserve">Tabuľka č. 4 </w:t>
      </w:r>
    </w:p>
    <w:tbl>
      <w:tblPr>
        <w:tblpPr w:leftFromText="141" w:rightFromText="141" w:vertAnchor="text" w:horzAnchor="page" w:tblpX="629" w:tblpY="2"/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418"/>
        <w:gridCol w:w="1559"/>
        <w:gridCol w:w="1276"/>
        <w:gridCol w:w="1275"/>
        <w:gridCol w:w="1276"/>
      </w:tblGrid>
      <w:tr w:rsidR="00FC165A" w:rsidRPr="001964E2" w:rsidTr="00C2639E">
        <w:trPr>
          <w:cantSplit/>
          <w:trHeight w:val="255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165A" w:rsidRPr="001406F4" w:rsidRDefault="00FC165A" w:rsidP="00D13EF0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1406F4">
              <w:rPr>
                <w:b/>
                <w:bCs/>
                <w:sz w:val="20"/>
                <w:szCs w:val="20"/>
                <w:lang w:eastAsia="sk-SK"/>
              </w:rPr>
              <w:t>Výdavky</w:t>
            </w:r>
            <w:r w:rsidR="00D13EF0" w:rsidRPr="001406F4">
              <w:rPr>
                <w:b/>
                <w:bCs/>
                <w:sz w:val="20"/>
                <w:szCs w:val="20"/>
                <w:lang w:eastAsia="sk-SK"/>
              </w:rPr>
              <w:t xml:space="preserve"> (v EUR)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165A" w:rsidRPr="001406F4" w:rsidRDefault="00FC165A" w:rsidP="002B77CE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1406F4">
              <w:rPr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C165A" w:rsidRPr="001406F4" w:rsidRDefault="00FC165A" w:rsidP="002B77CE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1406F4">
              <w:rPr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FC165A" w:rsidRPr="001964E2" w:rsidTr="00C2639E">
        <w:trPr>
          <w:cantSplit/>
          <w:trHeight w:val="255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65A" w:rsidRPr="001406F4" w:rsidRDefault="00FC165A" w:rsidP="002B77CE">
            <w:pPr>
              <w:spacing w:line="240" w:lineRule="auto"/>
              <w:rPr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165A" w:rsidRPr="001406F4" w:rsidRDefault="00FC165A" w:rsidP="00F623E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1406F4">
              <w:rPr>
                <w:b/>
                <w:bCs/>
                <w:sz w:val="20"/>
                <w:szCs w:val="20"/>
                <w:lang w:eastAsia="sk-SK"/>
              </w:rPr>
              <w:t>20</w:t>
            </w:r>
            <w:r w:rsidR="00345A3E" w:rsidRPr="001406F4">
              <w:rPr>
                <w:b/>
                <w:bCs/>
                <w:sz w:val="20"/>
                <w:szCs w:val="20"/>
                <w:lang w:eastAsia="sk-SK"/>
              </w:rPr>
              <w:t>2</w:t>
            </w:r>
            <w:r w:rsidR="00F623EA" w:rsidRPr="001406F4">
              <w:rPr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165A" w:rsidRPr="001406F4" w:rsidRDefault="00FC165A" w:rsidP="00F623E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1406F4">
              <w:rPr>
                <w:b/>
                <w:bCs/>
                <w:sz w:val="20"/>
                <w:szCs w:val="20"/>
                <w:lang w:eastAsia="sk-SK"/>
              </w:rPr>
              <w:t>20</w:t>
            </w:r>
            <w:r w:rsidR="00723FCE" w:rsidRPr="001406F4">
              <w:rPr>
                <w:b/>
                <w:bCs/>
                <w:sz w:val="20"/>
                <w:szCs w:val="20"/>
                <w:lang w:eastAsia="sk-SK"/>
              </w:rPr>
              <w:t>2</w:t>
            </w:r>
            <w:r w:rsidR="00F623EA" w:rsidRPr="001406F4">
              <w:rPr>
                <w:b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165A" w:rsidRPr="001406F4" w:rsidRDefault="00FC165A" w:rsidP="00F623E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1406F4">
              <w:rPr>
                <w:b/>
                <w:bCs/>
                <w:sz w:val="20"/>
                <w:szCs w:val="20"/>
                <w:lang w:eastAsia="sk-SK"/>
              </w:rPr>
              <w:t>202</w:t>
            </w:r>
            <w:r w:rsidR="00F623EA" w:rsidRPr="001406F4">
              <w:rPr>
                <w:b/>
                <w:bCs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165A" w:rsidRPr="001406F4" w:rsidRDefault="00FC165A" w:rsidP="00F623EA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1406F4">
              <w:rPr>
                <w:b/>
                <w:bCs/>
                <w:sz w:val="20"/>
                <w:szCs w:val="20"/>
                <w:lang w:eastAsia="sk-SK"/>
              </w:rPr>
              <w:t>202</w:t>
            </w:r>
            <w:r w:rsidR="00F623EA" w:rsidRPr="001406F4">
              <w:rPr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5A" w:rsidRPr="001406F4" w:rsidRDefault="00FC165A" w:rsidP="002B77CE">
            <w:pPr>
              <w:spacing w:line="240" w:lineRule="auto"/>
              <w:rPr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FC165A" w:rsidRPr="001964E2" w:rsidTr="00C2639E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A" w:rsidRPr="001406F4" w:rsidRDefault="00FC165A" w:rsidP="002B77CE">
            <w:pPr>
              <w:spacing w:line="240" w:lineRule="auto"/>
              <w:rPr>
                <w:b/>
                <w:bCs/>
                <w:sz w:val="20"/>
                <w:szCs w:val="20"/>
                <w:lang w:eastAsia="sk-SK"/>
              </w:rPr>
            </w:pPr>
            <w:r w:rsidRPr="001406F4">
              <w:rPr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65A" w:rsidRPr="001406F4" w:rsidRDefault="003C4903" w:rsidP="001406F4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1406F4">
              <w:rPr>
                <w:b/>
                <w:bCs/>
                <w:iCs/>
                <w:sz w:val="20"/>
                <w:szCs w:val="20"/>
                <w:lang w:eastAsia="sk-SK"/>
              </w:rPr>
              <w:t>54 824,25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65A" w:rsidRPr="001406F4" w:rsidRDefault="007122A8" w:rsidP="001406F4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1406F4">
              <w:rPr>
                <w:b/>
                <w:bCs/>
                <w:iCs/>
                <w:sz w:val="20"/>
                <w:szCs w:val="20"/>
                <w:lang w:eastAsia="sk-SK"/>
              </w:rPr>
              <w:t>1</w:t>
            </w:r>
            <w:r w:rsidR="003C4903" w:rsidRPr="001406F4">
              <w:rPr>
                <w:b/>
                <w:bCs/>
                <w:iCs/>
                <w:sz w:val="20"/>
                <w:szCs w:val="20"/>
                <w:lang w:eastAsia="sk-SK"/>
              </w:rPr>
              <w:t> 353 453,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65A" w:rsidRPr="001406F4" w:rsidRDefault="00D71FEC" w:rsidP="001406F4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1406F4">
              <w:rPr>
                <w:b/>
                <w:bCs/>
                <w:iCs/>
                <w:sz w:val="20"/>
                <w:szCs w:val="20"/>
                <w:lang w:eastAsia="sk-SK"/>
              </w:rPr>
              <w:t>1 338 730, 07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65A" w:rsidRPr="001406F4" w:rsidRDefault="00D71FEC" w:rsidP="00976ED8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1406F4">
              <w:rPr>
                <w:b/>
                <w:bCs/>
                <w:iCs/>
                <w:sz w:val="20"/>
                <w:szCs w:val="20"/>
                <w:lang w:eastAsia="sk-SK"/>
              </w:rPr>
              <w:t>1 359 587, 50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65A" w:rsidRPr="001406F4" w:rsidRDefault="00FC165A" w:rsidP="002B77CE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> </w:t>
            </w:r>
          </w:p>
        </w:tc>
      </w:tr>
      <w:tr w:rsidR="00FC165A" w:rsidRPr="001964E2" w:rsidTr="00C2639E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A" w:rsidRPr="001406F4" w:rsidRDefault="00FC165A" w:rsidP="002B77CE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65A" w:rsidRPr="001406F4" w:rsidRDefault="003C4903" w:rsidP="001406F4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1406F4">
              <w:rPr>
                <w:b/>
                <w:bCs/>
                <w:iCs/>
                <w:sz w:val="20"/>
                <w:szCs w:val="20"/>
                <w:lang w:eastAsia="sk-SK"/>
              </w:rPr>
              <w:t>6 510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65A" w:rsidRPr="001406F4" w:rsidRDefault="003C4903" w:rsidP="001406F4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1406F4">
              <w:rPr>
                <w:b/>
                <w:bCs/>
                <w:iCs/>
                <w:sz w:val="20"/>
                <w:szCs w:val="20"/>
                <w:lang w:eastAsia="sk-SK"/>
              </w:rPr>
              <w:t>26 040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65A" w:rsidRPr="001406F4" w:rsidRDefault="003C4903" w:rsidP="001406F4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1406F4">
              <w:rPr>
                <w:b/>
                <w:bCs/>
                <w:iCs/>
                <w:sz w:val="20"/>
                <w:szCs w:val="20"/>
                <w:lang w:eastAsia="sk-SK"/>
              </w:rPr>
              <w:t>26 040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65A" w:rsidRPr="001406F4" w:rsidRDefault="003C4903" w:rsidP="007B6369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1406F4">
              <w:rPr>
                <w:b/>
                <w:bCs/>
                <w:iCs/>
                <w:sz w:val="20"/>
                <w:szCs w:val="20"/>
                <w:lang w:eastAsia="sk-SK"/>
              </w:rPr>
              <w:t>26 040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65A" w:rsidRPr="001406F4" w:rsidRDefault="00002423" w:rsidP="002B77CE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>MZVaEZ SR</w:t>
            </w:r>
          </w:p>
        </w:tc>
      </w:tr>
      <w:tr w:rsidR="001406F4" w:rsidRPr="001964E2" w:rsidTr="00C2639E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rPr>
                <w:sz w:val="20"/>
                <w:szCs w:val="20"/>
                <w:vertAlign w:val="superscript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jc w:val="center"/>
              <w:rPr>
                <w:sz w:val="20"/>
                <w:szCs w:val="20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>5 439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jc w:val="center"/>
              <w:rPr>
                <w:sz w:val="20"/>
                <w:szCs w:val="20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>7 252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jc w:val="center"/>
              <w:rPr>
                <w:sz w:val="20"/>
                <w:szCs w:val="20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>9 101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jc w:val="center"/>
              <w:rPr>
                <w:sz w:val="20"/>
                <w:szCs w:val="20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>9 101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6F4" w:rsidRPr="001406F4" w:rsidRDefault="001406F4" w:rsidP="001406F4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> a. s. (MPSVR SR)</w:t>
            </w:r>
          </w:p>
        </w:tc>
      </w:tr>
      <w:tr w:rsidR="001406F4" w:rsidRPr="001964E2" w:rsidTr="00C2639E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rPr>
                <w:sz w:val="20"/>
                <w:szCs w:val="20"/>
                <w:vertAlign w:val="superscript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jc w:val="center"/>
              <w:rPr>
                <w:bCs/>
                <w:iCs/>
                <w:sz w:val="20"/>
                <w:szCs w:val="20"/>
                <w:lang w:eastAsia="sk-SK"/>
              </w:rPr>
            </w:pPr>
            <w:r w:rsidRPr="001406F4">
              <w:rPr>
                <w:bCs/>
                <w:iCs/>
                <w:sz w:val="20"/>
                <w:szCs w:val="20"/>
                <w:lang w:eastAsia="sk-SK"/>
              </w:rPr>
              <w:t>2 275,25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jc w:val="center"/>
              <w:rPr>
                <w:bCs/>
                <w:iCs/>
                <w:sz w:val="20"/>
                <w:szCs w:val="20"/>
                <w:lang w:eastAsia="sk-SK"/>
              </w:rPr>
            </w:pPr>
            <w:r w:rsidRPr="001406F4">
              <w:rPr>
                <w:bCs/>
                <w:iCs/>
                <w:sz w:val="20"/>
                <w:szCs w:val="20"/>
                <w:lang w:eastAsia="sk-SK"/>
              </w:rPr>
              <w:t>9 101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jc w:val="center"/>
              <w:rPr>
                <w:sz w:val="20"/>
                <w:szCs w:val="20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>9 101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jc w:val="center"/>
              <w:rPr>
                <w:sz w:val="20"/>
                <w:szCs w:val="20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>9 101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6F4" w:rsidRPr="001406F4" w:rsidRDefault="001406F4" w:rsidP="001406F4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>MZVaEZ SR</w:t>
            </w:r>
          </w:p>
        </w:tc>
      </w:tr>
      <w:tr w:rsidR="001406F4" w:rsidRPr="001964E2" w:rsidTr="00C2639E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rPr>
                <w:sz w:val="20"/>
                <w:szCs w:val="20"/>
                <w:vertAlign w:val="superscript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 xml:space="preserve">  Tovary a služby (630)</w:t>
            </w:r>
            <w:r w:rsidRPr="001406F4">
              <w:rPr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jc w:val="center"/>
              <w:rPr>
                <w:bCs/>
                <w:sz w:val="20"/>
                <w:szCs w:val="20"/>
                <w:lang w:eastAsia="sk-SK"/>
              </w:rPr>
            </w:pPr>
            <w:r w:rsidRPr="001406F4">
              <w:rPr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F4" w:rsidRPr="001406F4" w:rsidRDefault="001406F4" w:rsidP="001406F4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1406F4">
              <w:rPr>
                <w:bCs/>
                <w:iCs/>
                <w:sz w:val="20"/>
                <w:szCs w:val="20"/>
                <w:lang w:eastAsia="sk-SK"/>
              </w:rPr>
              <w:t>1 283 060, 11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F4" w:rsidRPr="001406F4" w:rsidRDefault="001406F4" w:rsidP="001406F4">
            <w:pPr>
              <w:spacing w:line="240" w:lineRule="auto"/>
              <w:jc w:val="center"/>
              <w:rPr>
                <w:bCs/>
                <w:iCs/>
                <w:sz w:val="20"/>
                <w:szCs w:val="20"/>
                <w:lang w:eastAsia="sk-SK"/>
              </w:rPr>
            </w:pPr>
            <w:r w:rsidRPr="001406F4">
              <w:rPr>
                <w:bCs/>
                <w:iCs/>
                <w:sz w:val="20"/>
                <w:szCs w:val="20"/>
                <w:lang w:eastAsia="sk-SK"/>
              </w:rPr>
              <w:t>1 303 589, 07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F4" w:rsidRPr="001406F4" w:rsidRDefault="001406F4" w:rsidP="001406F4">
            <w:pPr>
              <w:spacing w:line="240" w:lineRule="auto"/>
              <w:jc w:val="center"/>
              <w:rPr>
                <w:bCs/>
                <w:iCs/>
                <w:sz w:val="20"/>
                <w:szCs w:val="20"/>
                <w:lang w:eastAsia="sk-SK"/>
              </w:rPr>
            </w:pPr>
            <w:r w:rsidRPr="001406F4">
              <w:rPr>
                <w:bCs/>
                <w:iCs/>
                <w:sz w:val="20"/>
                <w:szCs w:val="20"/>
                <w:lang w:eastAsia="sk-SK"/>
              </w:rPr>
              <w:t>1 324 446, 50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6F4" w:rsidRPr="001406F4" w:rsidRDefault="001406F4" w:rsidP="001406F4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> Nájomné (MH</w:t>
            </w:r>
            <w:r w:rsidRPr="001406F4">
              <w:rPr>
                <w:sz w:val="20"/>
                <w:szCs w:val="20"/>
              </w:rPr>
              <w:t xml:space="preserve"> </w:t>
            </w:r>
            <w:r w:rsidRPr="001406F4">
              <w:rPr>
                <w:sz w:val="20"/>
                <w:szCs w:val="20"/>
                <w:lang w:eastAsia="sk-SK"/>
              </w:rPr>
              <w:t>Invest, s.r.o.)</w:t>
            </w:r>
          </w:p>
        </w:tc>
      </w:tr>
      <w:tr w:rsidR="001406F4" w:rsidRPr="001964E2" w:rsidTr="00C2639E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rPr>
                <w:sz w:val="20"/>
                <w:szCs w:val="20"/>
                <w:vertAlign w:val="superscript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 xml:space="preserve">  Tovary a služby (630)</w:t>
            </w:r>
            <w:r w:rsidRPr="001406F4">
              <w:rPr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jc w:val="center"/>
              <w:rPr>
                <w:sz w:val="20"/>
                <w:szCs w:val="20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>40 600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F4" w:rsidRPr="001406F4" w:rsidRDefault="001406F4" w:rsidP="001406F4">
            <w:pPr>
              <w:spacing w:line="240" w:lineRule="auto"/>
              <w:jc w:val="center"/>
              <w:rPr>
                <w:sz w:val="20"/>
                <w:szCs w:val="20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>28 000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F4" w:rsidRPr="001406F4" w:rsidRDefault="001406F4" w:rsidP="001406F4">
            <w:pPr>
              <w:spacing w:line="240" w:lineRule="auto"/>
              <w:rPr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F4" w:rsidRPr="001406F4" w:rsidRDefault="001406F4" w:rsidP="001406F4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6F4" w:rsidRPr="001406F4" w:rsidRDefault="001406F4" w:rsidP="001406F4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>a. s.</w:t>
            </w:r>
            <w:r>
              <w:rPr>
                <w:sz w:val="20"/>
                <w:szCs w:val="20"/>
                <w:lang w:eastAsia="sk-SK"/>
              </w:rPr>
              <w:t xml:space="preserve"> </w:t>
            </w:r>
            <w:r w:rsidRPr="001406F4">
              <w:rPr>
                <w:sz w:val="20"/>
                <w:szCs w:val="20"/>
                <w:lang w:eastAsia="sk-SK"/>
              </w:rPr>
              <w:t>(MPSVR SR)</w:t>
            </w:r>
          </w:p>
        </w:tc>
      </w:tr>
      <w:tr w:rsidR="001406F4" w:rsidRPr="001964E2" w:rsidTr="00C2639E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 xml:space="preserve">  Bežné transfery (640)</w:t>
            </w:r>
            <w:r w:rsidRPr="001406F4">
              <w:rPr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F4" w:rsidRPr="001406F4" w:rsidRDefault="001406F4" w:rsidP="001406F4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F4" w:rsidRPr="001406F4" w:rsidRDefault="001406F4" w:rsidP="001406F4">
            <w:pPr>
              <w:spacing w:line="240" w:lineRule="auto"/>
              <w:rPr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6F4" w:rsidRPr="001406F4" w:rsidRDefault="001406F4" w:rsidP="001406F4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6F4" w:rsidRPr="001406F4" w:rsidRDefault="001406F4" w:rsidP="001406F4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> </w:t>
            </w:r>
          </w:p>
        </w:tc>
      </w:tr>
      <w:tr w:rsidR="001406F4" w:rsidRPr="001964E2" w:rsidTr="00C2639E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F4" w:rsidRPr="001406F4" w:rsidRDefault="001406F4" w:rsidP="001406F4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1406F4">
              <w:rPr>
                <w:sz w:val="20"/>
                <w:szCs w:val="20"/>
              </w:rPr>
              <w:t xml:space="preserve"> </w:t>
            </w:r>
            <w:r w:rsidRPr="001406F4">
              <w:rPr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1406F4">
              <w:rPr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6F4" w:rsidRPr="001406F4" w:rsidRDefault="001406F4" w:rsidP="001406F4">
            <w:pPr>
              <w:spacing w:line="240" w:lineRule="auto"/>
              <w:rPr>
                <w:sz w:val="20"/>
                <w:szCs w:val="20"/>
                <w:lang w:eastAsia="sk-SK"/>
              </w:rPr>
            </w:pPr>
          </w:p>
        </w:tc>
      </w:tr>
      <w:tr w:rsidR="001406F4" w:rsidRPr="001964E2" w:rsidTr="00C2639E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rPr>
                <w:b/>
                <w:bCs/>
                <w:sz w:val="20"/>
                <w:szCs w:val="20"/>
                <w:lang w:eastAsia="sk-SK"/>
              </w:rPr>
            </w:pPr>
            <w:r w:rsidRPr="001406F4">
              <w:rPr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6F4" w:rsidRPr="001406F4" w:rsidRDefault="001406F4" w:rsidP="001406F4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> </w:t>
            </w:r>
          </w:p>
        </w:tc>
      </w:tr>
      <w:tr w:rsidR="001406F4" w:rsidRPr="001964E2" w:rsidTr="00C2639E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1406F4">
              <w:rPr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6F4" w:rsidRPr="001406F4" w:rsidRDefault="001406F4" w:rsidP="001406F4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> </w:t>
            </w:r>
          </w:p>
        </w:tc>
      </w:tr>
      <w:tr w:rsidR="001406F4" w:rsidRPr="001964E2" w:rsidTr="00C2639E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 xml:space="preserve">  Kapitálové transfery (720)</w:t>
            </w:r>
            <w:r w:rsidRPr="001406F4">
              <w:rPr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6F4" w:rsidRPr="001406F4" w:rsidRDefault="001406F4" w:rsidP="001406F4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> </w:t>
            </w:r>
          </w:p>
        </w:tc>
      </w:tr>
      <w:tr w:rsidR="001406F4" w:rsidRPr="001964E2" w:rsidTr="00C2639E"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F4" w:rsidRPr="001406F4" w:rsidRDefault="001406F4" w:rsidP="001406F4">
            <w:pPr>
              <w:spacing w:line="240" w:lineRule="auto"/>
              <w:rPr>
                <w:b/>
                <w:bCs/>
                <w:sz w:val="20"/>
                <w:szCs w:val="20"/>
                <w:lang w:eastAsia="sk-SK"/>
              </w:rPr>
            </w:pPr>
            <w:r w:rsidRPr="001406F4">
              <w:rPr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406F4" w:rsidRPr="001406F4" w:rsidRDefault="001406F4" w:rsidP="001406F4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406F4" w:rsidRPr="001406F4" w:rsidRDefault="001406F4" w:rsidP="001406F4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406F4" w:rsidRPr="001406F4" w:rsidRDefault="001406F4" w:rsidP="001406F4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406F4" w:rsidRPr="001406F4" w:rsidRDefault="001406F4" w:rsidP="001406F4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6F4" w:rsidRPr="001406F4" w:rsidRDefault="001406F4" w:rsidP="001406F4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> </w:t>
            </w:r>
          </w:p>
        </w:tc>
      </w:tr>
      <w:tr w:rsidR="001406F4" w:rsidRPr="004550C4" w:rsidTr="00C2639E">
        <w:trPr>
          <w:trHeight w:val="2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06F4" w:rsidRPr="001406F4" w:rsidRDefault="001406F4" w:rsidP="001406F4">
            <w:pPr>
              <w:spacing w:line="240" w:lineRule="auto"/>
              <w:rPr>
                <w:b/>
                <w:bCs/>
                <w:sz w:val="20"/>
                <w:szCs w:val="20"/>
                <w:lang w:eastAsia="sk-SK"/>
              </w:rPr>
            </w:pPr>
            <w:r w:rsidRPr="001406F4">
              <w:rPr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06F4" w:rsidRPr="001406F4" w:rsidRDefault="001406F4" w:rsidP="001406F4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1406F4">
              <w:rPr>
                <w:b/>
                <w:bCs/>
                <w:iCs/>
                <w:sz w:val="20"/>
                <w:szCs w:val="20"/>
                <w:lang w:eastAsia="sk-SK"/>
              </w:rPr>
              <w:t>54 824,25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06F4" w:rsidRPr="001406F4" w:rsidRDefault="001406F4" w:rsidP="001406F4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1406F4">
              <w:rPr>
                <w:b/>
                <w:bCs/>
                <w:iCs/>
                <w:sz w:val="20"/>
                <w:szCs w:val="20"/>
                <w:lang w:eastAsia="sk-SK"/>
              </w:rPr>
              <w:t>1 353 453, 11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06F4" w:rsidRPr="001406F4" w:rsidRDefault="001406F4" w:rsidP="001406F4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1406F4">
              <w:rPr>
                <w:b/>
                <w:bCs/>
                <w:iCs/>
                <w:sz w:val="20"/>
                <w:szCs w:val="20"/>
                <w:lang w:eastAsia="sk-SK"/>
              </w:rPr>
              <w:t>1 338 730, 07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06F4" w:rsidRPr="001406F4" w:rsidRDefault="001406F4" w:rsidP="001406F4">
            <w:pPr>
              <w:spacing w:line="240" w:lineRule="auto"/>
              <w:jc w:val="center"/>
              <w:rPr>
                <w:b/>
                <w:bCs/>
                <w:iCs/>
                <w:sz w:val="20"/>
                <w:szCs w:val="20"/>
                <w:lang w:eastAsia="sk-SK"/>
              </w:rPr>
            </w:pPr>
            <w:r w:rsidRPr="001406F4">
              <w:rPr>
                <w:b/>
                <w:sz w:val="20"/>
                <w:szCs w:val="20"/>
              </w:rPr>
              <w:t>1 359 587, 50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1406F4" w:rsidRPr="001406F4" w:rsidRDefault="001406F4" w:rsidP="001406F4">
            <w:pPr>
              <w:spacing w:line="240" w:lineRule="auto"/>
              <w:rPr>
                <w:sz w:val="20"/>
                <w:szCs w:val="20"/>
                <w:lang w:eastAsia="sk-SK"/>
              </w:rPr>
            </w:pPr>
            <w:r w:rsidRPr="001406F4">
              <w:rPr>
                <w:sz w:val="20"/>
                <w:szCs w:val="20"/>
                <w:lang w:eastAsia="sk-SK"/>
              </w:rPr>
              <w:t> </w:t>
            </w:r>
          </w:p>
        </w:tc>
      </w:tr>
    </w:tbl>
    <w:p w:rsidR="00FC165A" w:rsidRPr="004550C4" w:rsidRDefault="00FC165A" w:rsidP="00FC165A">
      <w:pPr>
        <w:tabs>
          <w:tab w:val="num" w:pos="1080"/>
        </w:tabs>
        <w:spacing w:line="240" w:lineRule="auto"/>
        <w:ind w:left="-900"/>
        <w:jc w:val="both"/>
        <w:rPr>
          <w:bCs/>
          <w:sz w:val="20"/>
          <w:szCs w:val="20"/>
          <w:lang w:eastAsia="sk-SK"/>
        </w:rPr>
      </w:pPr>
    </w:p>
    <w:p w:rsidR="00FC165A" w:rsidRPr="004550C4" w:rsidRDefault="00FC165A" w:rsidP="00FC165A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  <w:r w:rsidRPr="004550C4">
        <w:rPr>
          <w:bCs/>
          <w:sz w:val="20"/>
          <w:szCs w:val="20"/>
          <w:lang w:eastAsia="sk-SK"/>
        </w:rPr>
        <w:t>2 –  výdavky rozpísať až do položiek platnej ekonomickej klasifikácie</w:t>
      </w:r>
    </w:p>
    <w:p w:rsidR="00FC165A" w:rsidRDefault="00FC165A" w:rsidP="00FC165A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  <w:r w:rsidRPr="004550C4">
        <w:rPr>
          <w:b/>
          <w:bCs/>
          <w:szCs w:val="20"/>
          <w:lang w:eastAsia="sk-SK"/>
        </w:rPr>
        <w:t xml:space="preserve">Poznámka: </w:t>
      </w:r>
      <w:r w:rsidRPr="004550C4">
        <w:rPr>
          <w:bCs/>
          <w:szCs w:val="20"/>
          <w:lang w:eastAsia="sk-SK"/>
        </w:rPr>
        <w:t>Ak sa vplyv týka viacerých subjektov verejnej správy, vypĺňa sa samostatná tabuľka za každý subjekt.</w:t>
      </w:r>
    </w:p>
    <w:p w:rsidR="00E940CA" w:rsidRDefault="00E940CA" w:rsidP="00FC165A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</w:p>
    <w:p w:rsidR="00E940CA" w:rsidRDefault="00E940CA" w:rsidP="00FC165A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  <w:r>
        <w:rPr>
          <w:bCs/>
          <w:szCs w:val="20"/>
          <w:lang w:eastAsia="sk-SK"/>
        </w:rPr>
        <w:t xml:space="preserve">Opatrenie „a. s“. Podľa bodu II. vlastného materiálu, vláda zabezpečí a uhradí náklady </w:t>
      </w:r>
      <w:r w:rsidR="00267323">
        <w:rPr>
          <w:bCs/>
          <w:szCs w:val="20"/>
          <w:lang w:eastAsia="sk-SK"/>
        </w:rPr>
        <w:t xml:space="preserve">asistenčnej služby </w:t>
      </w:r>
      <w:r>
        <w:rPr>
          <w:bCs/>
          <w:szCs w:val="20"/>
          <w:lang w:eastAsia="sk-SK"/>
        </w:rPr>
        <w:t>pre prvých 144 zamestnancov ELA</w:t>
      </w:r>
      <w:r w:rsidR="00F97897">
        <w:rPr>
          <w:bCs/>
          <w:szCs w:val="20"/>
          <w:lang w:eastAsia="sk-SK"/>
        </w:rPr>
        <w:t xml:space="preserve"> a výkonného riaditeľa</w:t>
      </w:r>
      <w:r>
        <w:rPr>
          <w:bCs/>
          <w:szCs w:val="20"/>
          <w:lang w:eastAsia="sk-SK"/>
        </w:rPr>
        <w:t xml:space="preserve">. Predpokladá sa zabezpečenie </w:t>
      </w:r>
      <w:r w:rsidR="00344931">
        <w:rPr>
          <w:bCs/>
          <w:szCs w:val="20"/>
          <w:lang w:eastAsia="sk-SK"/>
        </w:rPr>
        <w:t>5</w:t>
      </w:r>
      <w:r>
        <w:rPr>
          <w:bCs/>
          <w:szCs w:val="20"/>
          <w:lang w:eastAsia="sk-SK"/>
        </w:rPr>
        <w:t xml:space="preserve"> zamestnancami formou dohody o vykonaní práce a uhradení výdavkov na MHD.</w:t>
      </w:r>
      <w:r w:rsidR="00267323">
        <w:rPr>
          <w:bCs/>
          <w:szCs w:val="20"/>
          <w:lang w:eastAsia="sk-SK"/>
        </w:rPr>
        <w:t xml:space="preserve"> Tieto výdavky sú zabezpečené v rámci rozpočtových limitov MPSVR SR.</w:t>
      </w:r>
    </w:p>
    <w:p w:rsidR="00E940CA" w:rsidRDefault="00E940CA" w:rsidP="00FC165A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</w:p>
    <w:p w:rsidR="00E940CA" w:rsidRDefault="00E940CA" w:rsidP="00FC165A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  <w:r>
        <w:rPr>
          <w:bCs/>
          <w:szCs w:val="20"/>
          <w:lang w:eastAsia="sk-SK"/>
        </w:rPr>
        <w:t xml:space="preserve">Opatrenie </w:t>
      </w:r>
      <w:r w:rsidR="00267323">
        <w:rPr>
          <w:bCs/>
          <w:szCs w:val="20"/>
          <w:lang w:eastAsia="sk-SK"/>
        </w:rPr>
        <w:t xml:space="preserve">„nájomné“. Výdavky vyplývajúce </w:t>
      </w:r>
      <w:r w:rsidR="00267323" w:rsidRPr="00267323">
        <w:rPr>
          <w:bCs/>
          <w:szCs w:val="20"/>
          <w:lang w:eastAsia="sk-SK"/>
        </w:rPr>
        <w:t>z nájomnej zmluvy, v roku 2021 budú tieto zabezpečené zo zdrojov nájomcu</w:t>
      </w:r>
      <w:r w:rsidR="007E10F1">
        <w:rPr>
          <w:bCs/>
          <w:szCs w:val="20"/>
          <w:lang w:eastAsia="sk-SK"/>
        </w:rPr>
        <w:t xml:space="preserve">. </w:t>
      </w:r>
      <w:r w:rsidR="00267323" w:rsidRPr="00267323">
        <w:rPr>
          <w:bCs/>
          <w:szCs w:val="20"/>
          <w:lang w:eastAsia="sk-SK"/>
        </w:rPr>
        <w:t xml:space="preserve"> </w:t>
      </w:r>
      <w:r w:rsidR="007E10F1" w:rsidRPr="007E10F1">
        <w:rPr>
          <w:bCs/>
          <w:szCs w:val="20"/>
          <w:lang w:eastAsia="sk-SK"/>
        </w:rPr>
        <w:t>Výdavky na nájomné na roky 2022 – 2024 sú zahrnuté v návrhu rozpočtu verejnej správy na roky 2022 – 2024 v rámci výdavkov nájomcu, spoločnosti MH Invest, s.r.o.</w:t>
      </w:r>
    </w:p>
    <w:p w:rsidR="00002423" w:rsidRDefault="00002423" w:rsidP="00FC165A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</w:p>
    <w:p w:rsidR="00476217" w:rsidRDefault="00002423" w:rsidP="00C2639E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  <w:r>
        <w:rPr>
          <w:bCs/>
          <w:szCs w:val="20"/>
          <w:lang w:eastAsia="sk-SK"/>
        </w:rPr>
        <w:t>Opatrenie „MZVaEZ SR“. Navýšenie počtu štátnozamestnaneckých miest o</w:t>
      </w:r>
      <w:r w:rsidR="008E381C">
        <w:rPr>
          <w:bCs/>
          <w:szCs w:val="20"/>
          <w:lang w:eastAsia="sk-SK"/>
        </w:rPr>
        <w:t> </w:t>
      </w:r>
      <w:r>
        <w:rPr>
          <w:bCs/>
          <w:szCs w:val="20"/>
          <w:lang w:eastAsia="sk-SK"/>
        </w:rPr>
        <w:t>1</w:t>
      </w:r>
      <w:r w:rsidR="008E381C">
        <w:rPr>
          <w:bCs/>
          <w:szCs w:val="20"/>
          <w:lang w:eastAsia="sk-SK"/>
        </w:rPr>
        <w:t xml:space="preserve"> od 1. októbra 2021</w:t>
      </w:r>
      <w:r>
        <w:rPr>
          <w:bCs/>
          <w:szCs w:val="20"/>
          <w:lang w:eastAsia="sk-SK"/>
        </w:rPr>
        <w:t xml:space="preserve"> v rozpočtovej kapitole </w:t>
      </w:r>
      <w:r w:rsidR="003F06CF">
        <w:rPr>
          <w:bCs/>
          <w:szCs w:val="20"/>
          <w:lang w:eastAsia="sk-SK"/>
        </w:rPr>
        <w:t>Ministerstva</w:t>
      </w:r>
      <w:r w:rsidRPr="00002423">
        <w:rPr>
          <w:bCs/>
          <w:szCs w:val="20"/>
          <w:lang w:eastAsia="sk-SK"/>
        </w:rPr>
        <w:t xml:space="preserve"> zahraničných vecí a európskych z</w:t>
      </w:r>
      <w:r>
        <w:rPr>
          <w:bCs/>
          <w:szCs w:val="20"/>
          <w:lang w:eastAsia="sk-SK"/>
        </w:rPr>
        <w:t xml:space="preserve">áležitostí Slovenskej republiky, ktoré v rámci </w:t>
      </w:r>
      <w:r w:rsidRPr="00002423">
        <w:rPr>
          <w:bCs/>
          <w:szCs w:val="20"/>
          <w:lang w:eastAsia="sk-SK"/>
        </w:rPr>
        <w:t xml:space="preserve">svojej pôsobnosti zabezpečuje okrem iného aj evidenciu a vydávanie identifikačných preukazov členom diplomatického personálu, administratívneho a technického personálu, služobného a súkromného personálu, pracovníkom medzinárodných organizácií a honorárnym konzulárnym úradníkom akreditovaným v Slovenskej republike. Začiatok činnosti Európskeho orgánu práce (ELA) so sídlom v Bratislave predstavuje podstatný nárast práce a administratívnej záťaže v agende vystavovania identifikačných preukazov, registrácie vozidiel, potvrdzovania tlačív o postavení úradníkov ELA k daňovému oslobodeniu, ako aj inú administratívu vo vzťahu k výsadám a imunitám. </w:t>
      </w:r>
      <w:r w:rsidR="003F06CF">
        <w:rPr>
          <w:bCs/>
          <w:szCs w:val="20"/>
          <w:lang w:eastAsia="sk-SK"/>
        </w:rPr>
        <w:t>F</w:t>
      </w:r>
      <w:r w:rsidRPr="00002423">
        <w:rPr>
          <w:bCs/>
          <w:szCs w:val="20"/>
          <w:lang w:eastAsia="sk-SK"/>
        </w:rPr>
        <w:t xml:space="preserve">inančné prostriedky, aktuálne v rámci kapitoly MZVEZ SR </w:t>
      </w:r>
      <w:r w:rsidR="003F06CF">
        <w:rPr>
          <w:bCs/>
          <w:szCs w:val="20"/>
          <w:lang w:eastAsia="sk-SK"/>
        </w:rPr>
        <w:t xml:space="preserve"> nie sú</w:t>
      </w:r>
      <w:r w:rsidRPr="00002423">
        <w:rPr>
          <w:bCs/>
          <w:szCs w:val="20"/>
          <w:lang w:eastAsia="sk-SK"/>
        </w:rPr>
        <w:t xml:space="preserve"> zabezpečené</w:t>
      </w:r>
    </w:p>
    <w:p w:rsidR="00C2639E" w:rsidRPr="00C2639E" w:rsidRDefault="00C2639E" w:rsidP="00C2639E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</w:p>
    <w:p w:rsidR="004C2291" w:rsidRDefault="004C2291" w:rsidP="00476217">
      <w:pPr>
        <w:tabs>
          <w:tab w:val="num" w:pos="1080"/>
        </w:tabs>
        <w:spacing w:line="240" w:lineRule="auto"/>
        <w:jc w:val="both"/>
        <w:rPr>
          <w:bCs/>
          <w:sz w:val="20"/>
          <w:szCs w:val="20"/>
          <w:lang w:eastAsia="sk-SK"/>
        </w:rPr>
      </w:pPr>
    </w:p>
    <w:p w:rsidR="004C2291" w:rsidRDefault="004C2291" w:rsidP="00476217">
      <w:pPr>
        <w:tabs>
          <w:tab w:val="num" w:pos="1080"/>
        </w:tabs>
        <w:spacing w:line="240" w:lineRule="auto"/>
        <w:jc w:val="both"/>
        <w:rPr>
          <w:bCs/>
          <w:sz w:val="20"/>
          <w:szCs w:val="20"/>
          <w:lang w:eastAsia="sk-SK"/>
        </w:rPr>
      </w:pPr>
    </w:p>
    <w:p w:rsidR="004C2291" w:rsidRPr="004550C4" w:rsidRDefault="004C2291" w:rsidP="00476217">
      <w:pPr>
        <w:tabs>
          <w:tab w:val="num" w:pos="1080"/>
        </w:tabs>
        <w:spacing w:line="240" w:lineRule="auto"/>
        <w:jc w:val="both"/>
        <w:rPr>
          <w:bCs/>
          <w:sz w:val="20"/>
          <w:szCs w:val="20"/>
          <w:lang w:eastAsia="sk-SK"/>
        </w:rPr>
      </w:pPr>
    </w:p>
    <w:p w:rsidR="001031D8" w:rsidRDefault="001031D8" w:rsidP="00FC165A">
      <w:pPr>
        <w:tabs>
          <w:tab w:val="num" w:pos="1080"/>
        </w:tabs>
        <w:spacing w:line="240" w:lineRule="auto"/>
        <w:jc w:val="right"/>
        <w:rPr>
          <w:bCs/>
          <w:szCs w:val="24"/>
          <w:lang w:eastAsia="sk-SK"/>
        </w:rPr>
      </w:pPr>
    </w:p>
    <w:p w:rsidR="00476217" w:rsidRDefault="00FC165A" w:rsidP="00FC165A">
      <w:pPr>
        <w:tabs>
          <w:tab w:val="num" w:pos="1080"/>
        </w:tabs>
        <w:spacing w:line="240" w:lineRule="auto"/>
        <w:jc w:val="right"/>
        <w:rPr>
          <w:bCs/>
          <w:szCs w:val="24"/>
          <w:lang w:eastAsia="sk-SK"/>
        </w:rPr>
      </w:pPr>
      <w:r w:rsidRPr="004550C4">
        <w:rPr>
          <w:bCs/>
          <w:szCs w:val="24"/>
          <w:lang w:eastAsia="sk-SK"/>
        </w:rPr>
        <w:t xml:space="preserve">     </w:t>
      </w:r>
    </w:p>
    <w:p w:rsidR="00FC165A" w:rsidRPr="00C2639E" w:rsidRDefault="00FC165A" w:rsidP="00C2639E">
      <w:pPr>
        <w:tabs>
          <w:tab w:val="num" w:pos="1080"/>
        </w:tabs>
        <w:spacing w:line="240" w:lineRule="auto"/>
        <w:jc w:val="right"/>
        <w:rPr>
          <w:bCs/>
          <w:sz w:val="20"/>
          <w:szCs w:val="20"/>
          <w:lang w:eastAsia="sk-SK"/>
        </w:rPr>
      </w:pPr>
      <w:r w:rsidRPr="004550C4">
        <w:rPr>
          <w:bCs/>
          <w:szCs w:val="24"/>
          <w:lang w:eastAsia="sk-SK"/>
        </w:rPr>
        <w:t xml:space="preserve">         </w:t>
      </w:r>
      <w:r w:rsidR="00C2639E">
        <w:rPr>
          <w:bCs/>
          <w:szCs w:val="24"/>
          <w:lang w:eastAsia="sk-SK"/>
        </w:rPr>
        <w:t xml:space="preserve">   </w:t>
      </w:r>
      <w:r w:rsidR="00C2639E">
        <w:rPr>
          <w:bCs/>
          <w:sz w:val="20"/>
          <w:szCs w:val="20"/>
          <w:lang w:eastAsia="sk-SK"/>
        </w:rPr>
        <w:t xml:space="preserve">Tabuľka č. 5 </w:t>
      </w:r>
    </w:p>
    <w:tbl>
      <w:tblPr>
        <w:tblW w:w="10777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5"/>
        <w:gridCol w:w="1276"/>
        <w:gridCol w:w="1134"/>
        <w:gridCol w:w="720"/>
        <w:gridCol w:w="272"/>
        <w:gridCol w:w="1020"/>
        <w:gridCol w:w="630"/>
        <w:gridCol w:w="760"/>
      </w:tblGrid>
      <w:tr w:rsidR="00FC165A" w:rsidRPr="004550C4" w:rsidTr="00C2639E">
        <w:trPr>
          <w:cantSplit/>
          <w:trHeight w:val="255"/>
        </w:trPr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165A" w:rsidRPr="004550C4" w:rsidRDefault="00FC165A" w:rsidP="002B77CE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Zamestnanosť</w:t>
            </w:r>
          </w:p>
        </w:tc>
        <w:tc>
          <w:tcPr>
            <w:tcW w:w="4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165A" w:rsidRPr="004550C4" w:rsidRDefault="00FC165A" w:rsidP="002B77CE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C165A" w:rsidRPr="004550C4" w:rsidRDefault="00FC165A" w:rsidP="002B77CE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poznámka</w:t>
            </w:r>
          </w:p>
        </w:tc>
      </w:tr>
      <w:tr w:rsidR="00FC165A" w:rsidRPr="004550C4" w:rsidTr="00C2639E">
        <w:trPr>
          <w:cantSplit/>
          <w:trHeight w:val="255"/>
        </w:trPr>
        <w:tc>
          <w:tcPr>
            <w:tcW w:w="4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165A" w:rsidRPr="004550C4" w:rsidRDefault="00FC165A" w:rsidP="002B77CE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165A" w:rsidRPr="00FA69AF" w:rsidRDefault="00FC165A" w:rsidP="0087277C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FA69AF">
              <w:rPr>
                <w:b/>
                <w:bCs/>
                <w:szCs w:val="24"/>
                <w:lang w:eastAsia="sk-SK"/>
              </w:rPr>
              <w:t>20</w:t>
            </w:r>
            <w:r w:rsidR="00345A3E" w:rsidRPr="00FA69AF">
              <w:rPr>
                <w:b/>
                <w:bCs/>
                <w:szCs w:val="24"/>
                <w:lang w:eastAsia="sk-SK"/>
              </w:rPr>
              <w:t>2</w:t>
            </w:r>
            <w:r w:rsidR="0087277C" w:rsidRPr="00FA69AF">
              <w:rPr>
                <w:b/>
                <w:bCs/>
                <w:szCs w:val="24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165A" w:rsidRPr="00FA69AF" w:rsidRDefault="00FC165A" w:rsidP="0087277C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FA69AF">
              <w:rPr>
                <w:b/>
                <w:bCs/>
                <w:szCs w:val="24"/>
                <w:lang w:eastAsia="sk-SK"/>
              </w:rPr>
              <w:t>20</w:t>
            </w:r>
            <w:r w:rsidR="001964E2" w:rsidRPr="00FA69AF">
              <w:rPr>
                <w:b/>
                <w:bCs/>
                <w:szCs w:val="24"/>
                <w:lang w:eastAsia="sk-SK"/>
              </w:rPr>
              <w:t>2</w:t>
            </w:r>
            <w:r w:rsidR="0087277C" w:rsidRPr="00FA69AF">
              <w:rPr>
                <w:b/>
                <w:bCs/>
                <w:szCs w:val="24"/>
                <w:lang w:eastAsia="sk-SK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165A" w:rsidRPr="00FA69AF" w:rsidRDefault="00FC165A" w:rsidP="0087277C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FA69AF">
              <w:rPr>
                <w:b/>
                <w:bCs/>
                <w:szCs w:val="24"/>
                <w:lang w:eastAsia="sk-SK"/>
              </w:rPr>
              <w:t>202</w:t>
            </w:r>
            <w:r w:rsidR="0087277C" w:rsidRPr="00FA69AF">
              <w:rPr>
                <w:b/>
                <w:bCs/>
                <w:szCs w:val="24"/>
                <w:lang w:eastAsia="sk-SK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165A" w:rsidRPr="00FA69AF" w:rsidRDefault="00FC165A" w:rsidP="0087277C">
            <w:pPr>
              <w:spacing w:line="240" w:lineRule="auto"/>
              <w:jc w:val="center"/>
              <w:rPr>
                <w:b/>
                <w:bCs/>
                <w:szCs w:val="24"/>
                <w:lang w:eastAsia="sk-SK"/>
              </w:rPr>
            </w:pPr>
            <w:r w:rsidRPr="00FA69AF">
              <w:rPr>
                <w:b/>
                <w:bCs/>
                <w:szCs w:val="24"/>
                <w:lang w:eastAsia="sk-SK"/>
              </w:rPr>
              <w:t>202</w:t>
            </w:r>
            <w:r w:rsidR="0087277C" w:rsidRPr="00FA69AF">
              <w:rPr>
                <w:b/>
                <w:bCs/>
                <w:szCs w:val="24"/>
                <w:lang w:eastAsia="sk-SK"/>
              </w:rPr>
              <w:t>4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165A" w:rsidRPr="00FA69AF" w:rsidRDefault="00FC165A" w:rsidP="002B77CE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</w:p>
        </w:tc>
      </w:tr>
      <w:tr w:rsidR="00FC165A" w:rsidRPr="004550C4" w:rsidTr="00C2639E">
        <w:trPr>
          <w:trHeight w:val="255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A" w:rsidRPr="004550C4" w:rsidRDefault="00FC165A" w:rsidP="002B77CE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Počet zamestnancov celkom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65A" w:rsidRPr="00FA69AF" w:rsidRDefault="0020493C" w:rsidP="002B77CE">
            <w:pPr>
              <w:spacing w:line="240" w:lineRule="auto"/>
              <w:jc w:val="center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65A" w:rsidRPr="00FA69AF" w:rsidRDefault="0020493C" w:rsidP="002B77CE">
            <w:pPr>
              <w:spacing w:line="240" w:lineRule="auto"/>
              <w:jc w:val="center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65A" w:rsidRPr="00FA69AF" w:rsidRDefault="0020493C" w:rsidP="002B77CE">
            <w:pPr>
              <w:spacing w:line="240" w:lineRule="auto"/>
              <w:jc w:val="center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65A" w:rsidRPr="00FA69AF" w:rsidRDefault="0020493C" w:rsidP="002B77CE">
            <w:pPr>
              <w:spacing w:line="240" w:lineRule="auto"/>
              <w:jc w:val="center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65A" w:rsidRPr="00FA69AF" w:rsidRDefault="00FC165A" w:rsidP="002B77CE">
            <w:pPr>
              <w:spacing w:line="240" w:lineRule="auto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 </w:t>
            </w:r>
            <w:r w:rsidR="0020493C" w:rsidRPr="00FA69AF">
              <w:rPr>
                <w:bCs/>
                <w:iCs/>
                <w:sz w:val="20"/>
                <w:szCs w:val="20"/>
                <w:lang w:eastAsia="sk-SK"/>
              </w:rPr>
              <w:t>MZVaEZ SR</w:t>
            </w:r>
          </w:p>
        </w:tc>
      </w:tr>
      <w:tr w:rsidR="00FF3B79" w:rsidRPr="004550C4" w:rsidTr="00C2639E">
        <w:trPr>
          <w:trHeight w:val="255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79" w:rsidRPr="004550C4" w:rsidRDefault="00FF3B79" w:rsidP="00FF3B79">
            <w:pPr>
              <w:spacing w:line="240" w:lineRule="auto"/>
              <w:ind w:right="1578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B79" w:rsidRPr="00FA69AF" w:rsidRDefault="00FF3B79" w:rsidP="00FF3B79">
            <w:pPr>
              <w:spacing w:line="240" w:lineRule="auto"/>
              <w:jc w:val="center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B79" w:rsidRPr="00FA69AF" w:rsidRDefault="00FF3B79" w:rsidP="00FF3B79">
            <w:pPr>
              <w:spacing w:line="240" w:lineRule="auto"/>
              <w:jc w:val="center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B79" w:rsidRPr="00FA69AF" w:rsidRDefault="00FF3B79" w:rsidP="00FF3B79">
            <w:pPr>
              <w:spacing w:line="240" w:lineRule="auto"/>
              <w:jc w:val="center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B79" w:rsidRPr="00FA69AF" w:rsidRDefault="00FF3B79" w:rsidP="00FF3B79">
            <w:pPr>
              <w:spacing w:line="240" w:lineRule="auto"/>
              <w:jc w:val="center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3B79" w:rsidRPr="00FA69AF" w:rsidRDefault="00FF3B79" w:rsidP="00FF3B79">
            <w:pPr>
              <w:spacing w:line="240" w:lineRule="auto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 xml:space="preserve"> MZVaEZ SR</w:t>
            </w:r>
          </w:p>
        </w:tc>
      </w:tr>
      <w:tr w:rsidR="00FF3B79" w:rsidRPr="004550C4" w:rsidTr="00C2639E">
        <w:trPr>
          <w:trHeight w:val="255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79" w:rsidRPr="004550C4" w:rsidRDefault="00FF3B79" w:rsidP="00FF3B79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B79" w:rsidRPr="00FA69AF" w:rsidRDefault="00FF3B79" w:rsidP="00FF3B7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2 170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B79" w:rsidRPr="00FA69AF" w:rsidRDefault="00FF3B79" w:rsidP="00FF3B7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2</w:t>
            </w:r>
            <w:r w:rsidR="00A07D5C" w:rsidRPr="00FA69AF">
              <w:rPr>
                <w:bCs/>
                <w:iCs/>
                <w:sz w:val="20"/>
                <w:szCs w:val="20"/>
                <w:lang w:eastAsia="sk-SK"/>
              </w:rPr>
              <w:t xml:space="preserve"> </w:t>
            </w:r>
            <w:r w:rsidRPr="00FA69AF">
              <w:rPr>
                <w:bCs/>
                <w:iCs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B79" w:rsidRPr="00FA69AF" w:rsidRDefault="00FF3B79" w:rsidP="00FF3B7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2 170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B79" w:rsidRPr="00FA69AF" w:rsidRDefault="00FF3B79" w:rsidP="00FF3B7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2170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3B79" w:rsidRPr="00FA69AF" w:rsidRDefault="00FF3B79" w:rsidP="00FF3B79">
            <w:pPr>
              <w:spacing w:line="240" w:lineRule="auto"/>
              <w:rPr>
                <w:szCs w:val="24"/>
                <w:lang w:eastAsia="sk-SK"/>
              </w:rPr>
            </w:pPr>
            <w:r w:rsidRPr="00FA69AF">
              <w:rPr>
                <w:szCs w:val="24"/>
                <w:lang w:eastAsia="sk-SK"/>
              </w:rPr>
              <w:t> </w:t>
            </w:r>
            <w:r w:rsidRPr="00FA69AF">
              <w:rPr>
                <w:sz w:val="18"/>
                <w:szCs w:val="18"/>
                <w:lang w:eastAsia="sk-SK"/>
              </w:rPr>
              <w:t>MZVaEZ SR</w:t>
            </w:r>
          </w:p>
        </w:tc>
      </w:tr>
      <w:tr w:rsidR="00FF3B79" w:rsidRPr="004550C4" w:rsidTr="00C2639E">
        <w:trPr>
          <w:trHeight w:val="255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79" w:rsidRPr="004550C4" w:rsidRDefault="00FF3B79" w:rsidP="00FF3B79">
            <w:pPr>
              <w:spacing w:line="240" w:lineRule="auto"/>
              <w:rPr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B79" w:rsidRPr="00FA69AF" w:rsidRDefault="00FF3B79" w:rsidP="00FF3B7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2 170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B79" w:rsidRPr="00FA69AF" w:rsidRDefault="00FF3B79" w:rsidP="00FF3B7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2</w:t>
            </w:r>
            <w:r w:rsidR="00A07D5C" w:rsidRPr="00FA69AF">
              <w:rPr>
                <w:bCs/>
                <w:iCs/>
                <w:sz w:val="20"/>
                <w:szCs w:val="20"/>
                <w:lang w:eastAsia="sk-SK"/>
              </w:rPr>
              <w:t xml:space="preserve"> </w:t>
            </w:r>
            <w:r w:rsidRPr="00FA69AF">
              <w:rPr>
                <w:bCs/>
                <w:iCs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B79" w:rsidRPr="00FA69AF" w:rsidRDefault="00FF3B79" w:rsidP="00FF3B7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2 170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B79" w:rsidRPr="00FA69AF" w:rsidRDefault="00FF3B79" w:rsidP="00FF3B7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2170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3B79" w:rsidRPr="00FA69AF" w:rsidRDefault="00FF3B79" w:rsidP="00FF3B79">
            <w:pPr>
              <w:spacing w:line="240" w:lineRule="auto"/>
              <w:rPr>
                <w:szCs w:val="24"/>
                <w:lang w:eastAsia="sk-SK"/>
              </w:rPr>
            </w:pPr>
            <w:r w:rsidRPr="00FA69AF">
              <w:rPr>
                <w:szCs w:val="24"/>
                <w:lang w:eastAsia="sk-SK"/>
              </w:rPr>
              <w:t> </w:t>
            </w:r>
            <w:r w:rsidRPr="00FA69AF">
              <w:rPr>
                <w:sz w:val="18"/>
                <w:szCs w:val="18"/>
                <w:lang w:eastAsia="sk-SK"/>
              </w:rPr>
              <w:t>MZVaEZ SR</w:t>
            </w:r>
          </w:p>
        </w:tc>
      </w:tr>
      <w:tr w:rsidR="00556C22" w:rsidRPr="004550C4" w:rsidTr="00C2639E">
        <w:trPr>
          <w:trHeight w:val="255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6C22" w:rsidRPr="004550C4" w:rsidRDefault="00556C22" w:rsidP="00556C22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C22" w:rsidRPr="00FA69AF" w:rsidRDefault="00556C22" w:rsidP="00556C22">
            <w:pPr>
              <w:spacing w:line="240" w:lineRule="auto"/>
              <w:jc w:val="right"/>
              <w:rPr>
                <w:b/>
                <w:bCs/>
                <w:szCs w:val="24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8 785,25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C22" w:rsidRPr="00FA69AF" w:rsidRDefault="00556C22" w:rsidP="00556C22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35 141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C22" w:rsidRPr="00FA69AF" w:rsidRDefault="00556C22" w:rsidP="00556C22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35 141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C22" w:rsidRPr="00FA69AF" w:rsidRDefault="00556C22" w:rsidP="00556C22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35 141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56C22" w:rsidRPr="00FA69AF" w:rsidRDefault="00556C22" w:rsidP="00556C22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FA69AF">
              <w:rPr>
                <w:b/>
                <w:bCs/>
                <w:szCs w:val="24"/>
                <w:lang w:eastAsia="sk-SK"/>
              </w:rPr>
              <w:t> </w:t>
            </w:r>
            <w:r w:rsidRPr="00FA69AF">
              <w:rPr>
                <w:sz w:val="18"/>
                <w:szCs w:val="18"/>
                <w:lang w:eastAsia="sk-SK"/>
              </w:rPr>
              <w:t>MZVaEZ SR</w:t>
            </w:r>
          </w:p>
        </w:tc>
      </w:tr>
      <w:tr w:rsidR="00154429" w:rsidRPr="004550C4" w:rsidTr="00C2639E">
        <w:trPr>
          <w:trHeight w:val="255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29" w:rsidRPr="004550C4" w:rsidRDefault="00154429" w:rsidP="00154429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29" w:rsidRPr="00FA69AF" w:rsidRDefault="00154429" w:rsidP="0015442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6 510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29" w:rsidRPr="00FA69AF" w:rsidRDefault="00154429" w:rsidP="0015442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26 040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29" w:rsidRPr="00FA69AF" w:rsidRDefault="00154429" w:rsidP="0015442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26 040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29" w:rsidRPr="00FA69AF" w:rsidRDefault="00154429" w:rsidP="0015442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26 040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29" w:rsidRPr="00FA69AF" w:rsidRDefault="00154429" w:rsidP="00154429">
            <w:pPr>
              <w:spacing w:line="240" w:lineRule="auto"/>
              <w:rPr>
                <w:b/>
                <w:bCs/>
                <w:iCs/>
                <w:szCs w:val="24"/>
                <w:lang w:eastAsia="sk-SK"/>
              </w:rPr>
            </w:pPr>
            <w:r w:rsidRPr="00FA69AF">
              <w:rPr>
                <w:b/>
                <w:bCs/>
                <w:iCs/>
                <w:szCs w:val="24"/>
                <w:lang w:eastAsia="sk-SK"/>
              </w:rPr>
              <w:t> </w:t>
            </w:r>
            <w:r w:rsidRPr="00FA69AF">
              <w:rPr>
                <w:sz w:val="18"/>
                <w:szCs w:val="18"/>
                <w:lang w:eastAsia="sk-SK"/>
              </w:rPr>
              <w:t>MZVaEZ SR</w:t>
            </w:r>
          </w:p>
        </w:tc>
      </w:tr>
      <w:tr w:rsidR="00154429" w:rsidRPr="004550C4" w:rsidTr="00C2639E">
        <w:trPr>
          <w:trHeight w:val="255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29" w:rsidRPr="004550C4" w:rsidRDefault="00154429" w:rsidP="00154429">
            <w:pPr>
              <w:spacing w:line="240" w:lineRule="auto"/>
              <w:rPr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29" w:rsidRPr="00FA69AF" w:rsidRDefault="00154429" w:rsidP="0015442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6 510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29" w:rsidRPr="00FA69AF" w:rsidRDefault="00154429" w:rsidP="0015442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26 040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29" w:rsidRPr="00FA69AF" w:rsidRDefault="00154429" w:rsidP="0015442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26 040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29" w:rsidRPr="00FA69AF" w:rsidRDefault="00154429" w:rsidP="0015442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26 040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29" w:rsidRPr="00FA69AF" w:rsidRDefault="00154429" w:rsidP="00154429">
            <w:pPr>
              <w:spacing w:line="240" w:lineRule="auto"/>
              <w:rPr>
                <w:szCs w:val="24"/>
                <w:lang w:eastAsia="sk-SK"/>
              </w:rPr>
            </w:pPr>
            <w:r w:rsidRPr="00FA69AF">
              <w:rPr>
                <w:szCs w:val="24"/>
                <w:lang w:eastAsia="sk-SK"/>
              </w:rPr>
              <w:t> </w:t>
            </w:r>
            <w:r w:rsidRPr="00FA69AF">
              <w:rPr>
                <w:sz w:val="18"/>
                <w:szCs w:val="18"/>
                <w:lang w:eastAsia="sk-SK"/>
              </w:rPr>
              <w:t>MZVaEZ SR</w:t>
            </w:r>
          </w:p>
        </w:tc>
      </w:tr>
      <w:tr w:rsidR="00FC165A" w:rsidRPr="004550C4" w:rsidTr="00C2639E">
        <w:trPr>
          <w:trHeight w:val="255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A" w:rsidRPr="004550C4" w:rsidRDefault="00FC165A" w:rsidP="002B77CE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65A" w:rsidRPr="00FA69AF" w:rsidRDefault="00154429" w:rsidP="0015442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2 275,25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65A" w:rsidRPr="00FA69AF" w:rsidRDefault="00154429" w:rsidP="0015442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9 101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65A" w:rsidRPr="00FA69AF" w:rsidRDefault="00154429" w:rsidP="0015442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9 101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65A" w:rsidRPr="00FA69AF" w:rsidRDefault="00154429" w:rsidP="0015442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 xml:space="preserve">9101 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65A" w:rsidRPr="00FA69AF" w:rsidRDefault="00FC165A" w:rsidP="002B77CE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FA69AF">
              <w:rPr>
                <w:b/>
                <w:bCs/>
                <w:szCs w:val="24"/>
                <w:lang w:eastAsia="sk-SK"/>
              </w:rPr>
              <w:t> </w:t>
            </w:r>
            <w:r w:rsidR="00154429" w:rsidRPr="00FA69AF">
              <w:rPr>
                <w:sz w:val="18"/>
                <w:szCs w:val="18"/>
                <w:lang w:eastAsia="sk-SK"/>
              </w:rPr>
              <w:t>MZVaEZ SR</w:t>
            </w:r>
          </w:p>
        </w:tc>
      </w:tr>
      <w:tr w:rsidR="00154429" w:rsidRPr="004550C4" w:rsidTr="00C2639E">
        <w:trPr>
          <w:trHeight w:val="255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29" w:rsidRPr="004550C4" w:rsidRDefault="00154429" w:rsidP="00154429">
            <w:pPr>
              <w:spacing w:line="240" w:lineRule="auto"/>
              <w:rPr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429" w:rsidRPr="00FA69AF" w:rsidRDefault="00154429" w:rsidP="0015442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2 275,25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429" w:rsidRPr="00FA69AF" w:rsidRDefault="00154429" w:rsidP="0015442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9 101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429" w:rsidRPr="00FA69AF" w:rsidRDefault="00154429" w:rsidP="0015442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>9 101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429" w:rsidRPr="00FA69AF" w:rsidRDefault="00154429" w:rsidP="00154429">
            <w:pPr>
              <w:spacing w:line="240" w:lineRule="auto"/>
              <w:jc w:val="right"/>
              <w:rPr>
                <w:bCs/>
                <w:iCs/>
                <w:sz w:val="20"/>
                <w:szCs w:val="20"/>
                <w:lang w:eastAsia="sk-SK"/>
              </w:rPr>
            </w:pPr>
            <w:r w:rsidRPr="00FA69AF">
              <w:rPr>
                <w:bCs/>
                <w:iCs/>
                <w:sz w:val="20"/>
                <w:szCs w:val="20"/>
                <w:lang w:eastAsia="sk-SK"/>
              </w:rPr>
              <w:t xml:space="preserve">9101 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29" w:rsidRPr="00FA69AF" w:rsidRDefault="00154429" w:rsidP="00154429">
            <w:pPr>
              <w:spacing w:line="240" w:lineRule="auto"/>
              <w:rPr>
                <w:szCs w:val="24"/>
                <w:lang w:eastAsia="sk-SK"/>
              </w:rPr>
            </w:pPr>
            <w:r w:rsidRPr="00FA69AF">
              <w:rPr>
                <w:szCs w:val="24"/>
                <w:lang w:eastAsia="sk-SK"/>
              </w:rPr>
              <w:t> </w:t>
            </w:r>
            <w:r w:rsidRPr="00FA69AF">
              <w:rPr>
                <w:sz w:val="18"/>
                <w:szCs w:val="18"/>
                <w:lang w:eastAsia="sk-SK"/>
              </w:rPr>
              <w:t>MZVaEZ SR</w:t>
            </w:r>
          </w:p>
        </w:tc>
      </w:tr>
      <w:tr w:rsidR="00FC165A" w:rsidRPr="004550C4" w:rsidTr="00C2639E">
        <w:trPr>
          <w:trHeight w:val="255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65A" w:rsidRPr="004550C4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65A" w:rsidRPr="00FA69AF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65A" w:rsidRPr="00FA69AF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65A" w:rsidRPr="00FA69AF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65A" w:rsidRPr="00FA69AF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65A" w:rsidRPr="00FA69AF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</w:p>
        </w:tc>
      </w:tr>
      <w:tr w:rsidR="00FC165A" w:rsidRPr="004550C4" w:rsidTr="00C2639E">
        <w:trPr>
          <w:trHeight w:val="255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FC165A" w:rsidRPr="004550C4" w:rsidRDefault="00FC165A" w:rsidP="002B77CE">
            <w:pPr>
              <w:spacing w:line="240" w:lineRule="auto"/>
              <w:rPr>
                <w:b/>
                <w:bCs/>
                <w:szCs w:val="24"/>
                <w:lang w:eastAsia="sk-SK"/>
              </w:rPr>
            </w:pPr>
            <w:r w:rsidRPr="004550C4">
              <w:rPr>
                <w:b/>
                <w:bCs/>
                <w:szCs w:val="24"/>
                <w:lang w:eastAsia="sk-SK"/>
              </w:rPr>
              <w:t>Poznámky: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65A" w:rsidRPr="00FA69AF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65A" w:rsidRPr="00FA69AF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65A" w:rsidRPr="00FA69AF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65A" w:rsidRPr="00FA69AF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65A" w:rsidRPr="00FA69AF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</w:p>
        </w:tc>
      </w:tr>
      <w:tr w:rsidR="00FC165A" w:rsidRPr="004550C4" w:rsidTr="00C2639E">
        <w:trPr>
          <w:trHeight w:val="255"/>
        </w:trPr>
        <w:tc>
          <w:tcPr>
            <w:tcW w:w="93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FC165A" w:rsidRPr="004550C4" w:rsidRDefault="00FC165A" w:rsidP="002B77CE">
            <w:pPr>
              <w:tabs>
                <w:tab w:val="num" w:pos="1080"/>
              </w:tabs>
              <w:spacing w:line="240" w:lineRule="auto"/>
              <w:jc w:val="both"/>
              <w:rPr>
                <w:bCs/>
                <w:szCs w:val="20"/>
                <w:lang w:eastAsia="sk-SK"/>
              </w:rPr>
            </w:pPr>
            <w:r w:rsidRPr="004550C4">
              <w:rPr>
                <w:bCs/>
                <w:szCs w:val="20"/>
                <w:lang w:eastAsia="sk-SK"/>
              </w:rPr>
              <w:t>Ak sa vplyv týka viacerých subjektov verejnej správy, vypĺňa sa samostatná tabuľka za každý subjekt. Ak sa týka rôznych skupín  zamestnancov, je potrebné počty, mzdy a poistné rozpísať samostatne podľa spôsobu odmeňovania (napr. policajti, colníci ...).</w:t>
            </w:r>
          </w:p>
          <w:p w:rsidR="00FC165A" w:rsidRPr="004550C4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  <w:r w:rsidRPr="004550C4">
              <w:rPr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65A" w:rsidRPr="004550C4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</w:p>
        </w:tc>
      </w:tr>
      <w:tr w:rsidR="00FC165A" w:rsidRPr="004550C4" w:rsidTr="00C2639E">
        <w:trPr>
          <w:trHeight w:val="255"/>
        </w:trPr>
        <w:tc>
          <w:tcPr>
            <w:tcW w:w="80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65A" w:rsidRPr="004550C4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  <w:r w:rsidRPr="004550C4">
              <w:rPr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65A" w:rsidRPr="004550C4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65A" w:rsidRPr="004550C4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65A" w:rsidRPr="004550C4" w:rsidRDefault="00FC165A" w:rsidP="002B77CE">
            <w:pPr>
              <w:spacing w:line="240" w:lineRule="auto"/>
              <w:rPr>
                <w:szCs w:val="24"/>
                <w:lang w:eastAsia="sk-SK"/>
              </w:rPr>
            </w:pPr>
          </w:p>
        </w:tc>
      </w:tr>
    </w:tbl>
    <w:p w:rsidR="00FC165A" w:rsidRPr="004550C4" w:rsidRDefault="00FC165A" w:rsidP="00FC165A">
      <w:pPr>
        <w:spacing w:line="240" w:lineRule="auto"/>
      </w:pPr>
    </w:p>
    <w:p w:rsidR="00FC165A" w:rsidRDefault="00FC165A" w:rsidP="00FC165A"/>
    <w:p w:rsidR="00556C22" w:rsidRDefault="00556C22" w:rsidP="00556C22">
      <w:pPr>
        <w:tabs>
          <w:tab w:val="num" w:pos="1080"/>
        </w:tabs>
        <w:spacing w:line="240" w:lineRule="auto"/>
        <w:ind w:left="-900"/>
        <w:jc w:val="both"/>
        <w:rPr>
          <w:bCs/>
          <w:szCs w:val="20"/>
          <w:lang w:eastAsia="sk-SK"/>
        </w:rPr>
      </w:pPr>
      <w:r>
        <w:rPr>
          <w:bCs/>
          <w:szCs w:val="20"/>
          <w:lang w:eastAsia="sk-SK"/>
        </w:rPr>
        <w:t>Opatrenie „MZVaEZ SR“. Navýšenie počtu štátnozamestnaneckých miest o 1 od 1. októbra 2021 v rozpočtovej kapitole Ministerstva</w:t>
      </w:r>
      <w:r w:rsidRPr="00002423">
        <w:rPr>
          <w:bCs/>
          <w:szCs w:val="20"/>
          <w:lang w:eastAsia="sk-SK"/>
        </w:rPr>
        <w:t xml:space="preserve"> zahraničných vecí a európskych z</w:t>
      </w:r>
      <w:r>
        <w:rPr>
          <w:bCs/>
          <w:szCs w:val="20"/>
          <w:lang w:eastAsia="sk-SK"/>
        </w:rPr>
        <w:t xml:space="preserve">áležitostí Slovenskej republiky, ktoré v rámci </w:t>
      </w:r>
      <w:r w:rsidRPr="00002423">
        <w:rPr>
          <w:bCs/>
          <w:szCs w:val="20"/>
          <w:lang w:eastAsia="sk-SK"/>
        </w:rPr>
        <w:t xml:space="preserve">svojej pôsobnosti zabezpečuje okrem iného aj evidenciu a vydávanie identifikačných preukazov členom diplomatického personálu, administratívneho a technického personálu, služobného a súkromného personálu, pracovníkom medzinárodných organizácií a honorárnym konzulárnym úradníkom akreditovaným v Slovenskej republike. Začiatok činnosti Európskeho orgánu práce (ELA) so sídlom v Bratislave predstavuje podstatný nárast práce a administratívnej záťaže v agende vystavovania identifikačných preukazov, registrácie vozidiel, potvrdzovania tlačív o postavení úradníkov ELA k daňovému oslobodeniu, ako aj inú administratívu vo vzťahu k výsadám a imunitám. </w:t>
      </w:r>
      <w:r>
        <w:rPr>
          <w:bCs/>
          <w:szCs w:val="20"/>
          <w:lang w:eastAsia="sk-SK"/>
        </w:rPr>
        <w:t>F</w:t>
      </w:r>
      <w:r w:rsidRPr="00002423">
        <w:rPr>
          <w:bCs/>
          <w:szCs w:val="20"/>
          <w:lang w:eastAsia="sk-SK"/>
        </w:rPr>
        <w:t xml:space="preserve">inančné prostriedky, aktuálne v rámci kapitoly MZVEZ SR </w:t>
      </w:r>
      <w:r>
        <w:rPr>
          <w:bCs/>
          <w:szCs w:val="20"/>
          <w:lang w:eastAsia="sk-SK"/>
        </w:rPr>
        <w:t xml:space="preserve"> nie sú</w:t>
      </w:r>
      <w:r w:rsidRPr="00002423">
        <w:rPr>
          <w:bCs/>
          <w:szCs w:val="20"/>
          <w:lang w:eastAsia="sk-SK"/>
        </w:rPr>
        <w:t xml:space="preserve"> zabezpečené</w:t>
      </w:r>
      <w:r>
        <w:rPr>
          <w:bCs/>
          <w:szCs w:val="20"/>
          <w:lang w:eastAsia="sk-SK"/>
        </w:rPr>
        <w:t>.</w:t>
      </w:r>
    </w:p>
    <w:p w:rsidR="00FC165A" w:rsidRDefault="00FC165A" w:rsidP="00FC165A"/>
    <w:p w:rsidR="009E1864" w:rsidRPr="00446821" w:rsidRDefault="009E1864" w:rsidP="00446821">
      <w:r w:rsidRPr="00446821">
        <w:t xml:space="preserve"> </w:t>
      </w:r>
    </w:p>
    <w:sectPr w:rsidR="009E1864" w:rsidRPr="004468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CED" w:rsidRDefault="00F47CED" w:rsidP="006D446B">
      <w:pPr>
        <w:spacing w:line="240" w:lineRule="auto"/>
      </w:pPr>
      <w:r>
        <w:separator/>
      </w:r>
    </w:p>
  </w:endnote>
  <w:endnote w:type="continuationSeparator" w:id="0">
    <w:p w:rsidR="00F47CED" w:rsidRDefault="00F47CED" w:rsidP="006D4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C7D" w:rsidRDefault="004A2C7D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E752EC">
      <w:rPr>
        <w:noProof/>
      </w:rPr>
      <w:t>1</w:t>
    </w:r>
    <w:r>
      <w:fldChar w:fldCharType="end"/>
    </w:r>
  </w:p>
  <w:p w:rsidR="004A2C7D" w:rsidRDefault="004A2C7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CED" w:rsidRDefault="00F47CED" w:rsidP="006D446B">
      <w:pPr>
        <w:spacing w:line="240" w:lineRule="auto"/>
      </w:pPr>
      <w:r>
        <w:separator/>
      </w:r>
    </w:p>
  </w:footnote>
  <w:footnote w:type="continuationSeparator" w:id="0">
    <w:p w:rsidR="00F47CED" w:rsidRDefault="00F47CED" w:rsidP="006D44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F66"/>
    <w:multiLevelType w:val="hybridMultilevel"/>
    <w:tmpl w:val="3AB8F87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C935B5"/>
    <w:multiLevelType w:val="hybridMultilevel"/>
    <w:tmpl w:val="F41A0EA4"/>
    <w:lvl w:ilvl="0" w:tplc="F49CB12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E2366"/>
    <w:multiLevelType w:val="hybridMultilevel"/>
    <w:tmpl w:val="3D900E7E"/>
    <w:lvl w:ilvl="0" w:tplc="06183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2260B"/>
    <w:multiLevelType w:val="hybridMultilevel"/>
    <w:tmpl w:val="607E4A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9141D7"/>
    <w:multiLevelType w:val="hybridMultilevel"/>
    <w:tmpl w:val="266415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F41D17"/>
    <w:multiLevelType w:val="hybridMultilevel"/>
    <w:tmpl w:val="6FF0A34C"/>
    <w:lvl w:ilvl="0" w:tplc="535A2D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0BFD2DE4"/>
    <w:multiLevelType w:val="hybridMultilevel"/>
    <w:tmpl w:val="A2E8349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F70533"/>
    <w:multiLevelType w:val="hybridMultilevel"/>
    <w:tmpl w:val="7652CA64"/>
    <w:lvl w:ilvl="0" w:tplc="80C8110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2A42E8"/>
    <w:multiLevelType w:val="hybridMultilevel"/>
    <w:tmpl w:val="EC9C9C12"/>
    <w:lvl w:ilvl="0" w:tplc="C486F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C253C"/>
    <w:multiLevelType w:val="hybridMultilevel"/>
    <w:tmpl w:val="3EE41A8A"/>
    <w:lvl w:ilvl="0" w:tplc="4A5894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1E572C48"/>
    <w:multiLevelType w:val="hybridMultilevel"/>
    <w:tmpl w:val="9FD0866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397624"/>
    <w:multiLevelType w:val="hybridMultilevel"/>
    <w:tmpl w:val="16784BCC"/>
    <w:lvl w:ilvl="0" w:tplc="1CC886AC">
      <w:start w:val="533"/>
      <w:numFmt w:val="decimal"/>
      <w:lvlText w:val="%1"/>
      <w:lvlJc w:val="left"/>
      <w:pPr>
        <w:ind w:left="4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2" w15:restartNumberingAfterBreak="0">
    <w:nsid w:val="29623C9D"/>
    <w:multiLevelType w:val="hybridMultilevel"/>
    <w:tmpl w:val="1294FBD2"/>
    <w:lvl w:ilvl="0" w:tplc="F4A86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F3860"/>
    <w:multiLevelType w:val="multilevel"/>
    <w:tmpl w:val="D62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1111E8"/>
    <w:multiLevelType w:val="hybridMultilevel"/>
    <w:tmpl w:val="CADE1E68"/>
    <w:lvl w:ilvl="0" w:tplc="89E458FA">
      <w:start w:val="1"/>
      <w:numFmt w:val="upp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3235631F"/>
    <w:multiLevelType w:val="hybridMultilevel"/>
    <w:tmpl w:val="4E7A2022"/>
    <w:lvl w:ilvl="0" w:tplc="2D2677B2">
      <w:start w:val="91"/>
      <w:numFmt w:val="decimal"/>
      <w:lvlText w:val="%1"/>
      <w:lvlJc w:val="left"/>
      <w:pPr>
        <w:ind w:left="4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6" w15:restartNumberingAfterBreak="0">
    <w:nsid w:val="32AE73A7"/>
    <w:multiLevelType w:val="hybridMultilevel"/>
    <w:tmpl w:val="2876929C"/>
    <w:lvl w:ilvl="0" w:tplc="52C839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22163"/>
    <w:multiLevelType w:val="multilevel"/>
    <w:tmpl w:val="0D0A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FC112B"/>
    <w:multiLevelType w:val="hybridMultilevel"/>
    <w:tmpl w:val="87C2AF22"/>
    <w:lvl w:ilvl="0" w:tplc="7206B5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11033FC"/>
    <w:multiLevelType w:val="multilevel"/>
    <w:tmpl w:val="1D10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E54B79"/>
    <w:multiLevelType w:val="hybridMultilevel"/>
    <w:tmpl w:val="1F3CA6FA"/>
    <w:lvl w:ilvl="0" w:tplc="CF44F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70359"/>
    <w:multiLevelType w:val="hybridMultilevel"/>
    <w:tmpl w:val="627229C6"/>
    <w:lvl w:ilvl="0" w:tplc="11C6440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672FA"/>
    <w:multiLevelType w:val="hybridMultilevel"/>
    <w:tmpl w:val="7CB6CE84"/>
    <w:lvl w:ilvl="0" w:tplc="A3625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17D55"/>
    <w:multiLevelType w:val="hybridMultilevel"/>
    <w:tmpl w:val="EAEC1C98"/>
    <w:lvl w:ilvl="0" w:tplc="BCE4EF7C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EA42FC6"/>
    <w:multiLevelType w:val="hybridMultilevel"/>
    <w:tmpl w:val="092E6F5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7504FD"/>
    <w:multiLevelType w:val="hybridMultilevel"/>
    <w:tmpl w:val="7C400804"/>
    <w:lvl w:ilvl="0" w:tplc="6284D6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E68C1"/>
    <w:multiLevelType w:val="hybridMultilevel"/>
    <w:tmpl w:val="23387E52"/>
    <w:lvl w:ilvl="0" w:tplc="A0D6A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113E5"/>
    <w:multiLevelType w:val="hybridMultilevel"/>
    <w:tmpl w:val="DA1040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C7AAF"/>
    <w:multiLevelType w:val="hybridMultilevel"/>
    <w:tmpl w:val="DC9497D6"/>
    <w:lvl w:ilvl="0" w:tplc="180AA2E0">
      <w:start w:val="92"/>
      <w:numFmt w:val="decimal"/>
      <w:lvlText w:val="%1"/>
      <w:lvlJc w:val="left"/>
      <w:pPr>
        <w:ind w:left="4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9" w15:restartNumberingAfterBreak="0">
    <w:nsid w:val="59583BBC"/>
    <w:multiLevelType w:val="hybridMultilevel"/>
    <w:tmpl w:val="9A9844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155ED9"/>
    <w:multiLevelType w:val="hybridMultilevel"/>
    <w:tmpl w:val="5A12F7A6"/>
    <w:lvl w:ilvl="0" w:tplc="173EF4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DCD3DC5"/>
    <w:multiLevelType w:val="hybridMultilevel"/>
    <w:tmpl w:val="6FF0A34C"/>
    <w:lvl w:ilvl="0" w:tplc="535A2D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5FD41AC5"/>
    <w:multiLevelType w:val="hybridMultilevel"/>
    <w:tmpl w:val="E8C2208C"/>
    <w:lvl w:ilvl="0" w:tplc="F3F6EC4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0770DEA"/>
    <w:multiLevelType w:val="hybridMultilevel"/>
    <w:tmpl w:val="9D624D36"/>
    <w:lvl w:ilvl="0" w:tplc="D06E8C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639055C8"/>
    <w:multiLevelType w:val="hybridMultilevel"/>
    <w:tmpl w:val="C0AAB9E6"/>
    <w:lvl w:ilvl="0" w:tplc="A0428CEC">
      <w:start w:val="2"/>
      <w:numFmt w:val="decimal"/>
      <w:lvlText w:val="%1"/>
      <w:lvlJc w:val="left"/>
      <w:pPr>
        <w:ind w:left="4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35" w15:restartNumberingAfterBreak="0">
    <w:nsid w:val="639E7BB1"/>
    <w:multiLevelType w:val="hybridMultilevel"/>
    <w:tmpl w:val="8948362E"/>
    <w:lvl w:ilvl="0" w:tplc="0FC074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 w15:restartNumberingAfterBreak="0">
    <w:nsid w:val="65832581"/>
    <w:multiLevelType w:val="hybridMultilevel"/>
    <w:tmpl w:val="63B47AA8"/>
    <w:lvl w:ilvl="0" w:tplc="B7FA73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F42D2"/>
    <w:multiLevelType w:val="hybridMultilevel"/>
    <w:tmpl w:val="52340662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67734C4"/>
    <w:multiLevelType w:val="hybridMultilevel"/>
    <w:tmpl w:val="072C92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6790B73"/>
    <w:multiLevelType w:val="hybridMultilevel"/>
    <w:tmpl w:val="5A549B4A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 w15:restartNumberingAfterBreak="0">
    <w:nsid w:val="6CCA500B"/>
    <w:multiLevelType w:val="hybridMultilevel"/>
    <w:tmpl w:val="072C92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0286C8E"/>
    <w:multiLevelType w:val="hybridMultilevel"/>
    <w:tmpl w:val="335EE70A"/>
    <w:lvl w:ilvl="0" w:tplc="60E48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C4F3F"/>
    <w:multiLevelType w:val="hybridMultilevel"/>
    <w:tmpl w:val="CCD0F1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A649C9"/>
    <w:multiLevelType w:val="hybridMultilevel"/>
    <w:tmpl w:val="A4CCB61E"/>
    <w:lvl w:ilvl="0" w:tplc="5922FC1E">
      <w:start w:val="1"/>
      <w:numFmt w:val="decimal"/>
      <w:lvlText w:val="%1"/>
      <w:lvlJc w:val="left"/>
      <w:pPr>
        <w:ind w:left="4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44" w15:restartNumberingAfterBreak="0">
    <w:nsid w:val="79033385"/>
    <w:multiLevelType w:val="hybridMultilevel"/>
    <w:tmpl w:val="5FCC7A8E"/>
    <w:lvl w:ilvl="0" w:tplc="E53CB02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9E22AFA"/>
    <w:multiLevelType w:val="hybridMultilevel"/>
    <w:tmpl w:val="D45C594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BFC4B79"/>
    <w:multiLevelType w:val="hybridMultilevel"/>
    <w:tmpl w:val="0C3E092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E666F31"/>
    <w:multiLevelType w:val="hybridMultilevel"/>
    <w:tmpl w:val="DA2EA49E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7"/>
  </w:num>
  <w:num w:numId="4">
    <w:abstractNumId w:val="45"/>
  </w:num>
  <w:num w:numId="5">
    <w:abstractNumId w:val="1"/>
  </w:num>
  <w:num w:numId="6">
    <w:abstractNumId w:val="0"/>
  </w:num>
  <w:num w:numId="7">
    <w:abstractNumId w:val="27"/>
  </w:num>
  <w:num w:numId="8">
    <w:abstractNumId w:val="2"/>
  </w:num>
  <w:num w:numId="9">
    <w:abstractNumId w:val="41"/>
  </w:num>
  <w:num w:numId="10">
    <w:abstractNumId w:val="20"/>
  </w:num>
  <w:num w:numId="11">
    <w:abstractNumId w:val="8"/>
  </w:num>
  <w:num w:numId="12">
    <w:abstractNumId w:val="7"/>
  </w:num>
  <w:num w:numId="13">
    <w:abstractNumId w:val="42"/>
  </w:num>
  <w:num w:numId="14">
    <w:abstractNumId w:val="22"/>
  </w:num>
  <w:num w:numId="15">
    <w:abstractNumId w:val="35"/>
  </w:num>
  <w:num w:numId="16">
    <w:abstractNumId w:val="10"/>
  </w:num>
  <w:num w:numId="17">
    <w:abstractNumId w:val="39"/>
  </w:num>
  <w:num w:numId="18">
    <w:abstractNumId w:val="16"/>
  </w:num>
  <w:num w:numId="19">
    <w:abstractNumId w:val="24"/>
  </w:num>
  <w:num w:numId="20">
    <w:abstractNumId w:val="32"/>
  </w:num>
  <w:num w:numId="21">
    <w:abstractNumId w:val="37"/>
  </w:num>
  <w:num w:numId="22">
    <w:abstractNumId w:val="13"/>
  </w:num>
  <w:num w:numId="23">
    <w:abstractNumId w:val="29"/>
  </w:num>
  <w:num w:numId="24">
    <w:abstractNumId w:val="19"/>
  </w:num>
  <w:num w:numId="25">
    <w:abstractNumId w:val="4"/>
  </w:num>
  <w:num w:numId="26">
    <w:abstractNumId w:val="17"/>
  </w:num>
  <w:num w:numId="27">
    <w:abstractNumId w:val="3"/>
  </w:num>
  <w:num w:numId="28">
    <w:abstractNumId w:val="36"/>
  </w:num>
  <w:num w:numId="29">
    <w:abstractNumId w:val="30"/>
  </w:num>
  <w:num w:numId="30">
    <w:abstractNumId w:val="33"/>
  </w:num>
  <w:num w:numId="31">
    <w:abstractNumId w:val="25"/>
  </w:num>
  <w:num w:numId="32">
    <w:abstractNumId w:val="18"/>
  </w:num>
  <w:num w:numId="33">
    <w:abstractNumId w:val="21"/>
  </w:num>
  <w:num w:numId="34">
    <w:abstractNumId w:val="38"/>
  </w:num>
  <w:num w:numId="35">
    <w:abstractNumId w:val="40"/>
  </w:num>
  <w:num w:numId="36">
    <w:abstractNumId w:val="26"/>
  </w:num>
  <w:num w:numId="3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4"/>
  </w:num>
  <w:num w:numId="40">
    <w:abstractNumId w:val="23"/>
  </w:num>
  <w:num w:numId="41">
    <w:abstractNumId w:val="9"/>
  </w:num>
  <w:num w:numId="42">
    <w:abstractNumId w:val="11"/>
  </w:num>
  <w:num w:numId="43">
    <w:abstractNumId w:val="43"/>
  </w:num>
  <w:num w:numId="44">
    <w:abstractNumId w:val="34"/>
  </w:num>
  <w:num w:numId="45">
    <w:abstractNumId w:val="15"/>
  </w:num>
  <w:num w:numId="46">
    <w:abstractNumId w:val="28"/>
  </w:num>
  <w:num w:numId="47">
    <w:abstractNumId w:val="5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56"/>
    <w:rsid w:val="00002423"/>
    <w:rsid w:val="0000523F"/>
    <w:rsid w:val="00006434"/>
    <w:rsid w:val="00012B36"/>
    <w:rsid w:val="000244CE"/>
    <w:rsid w:val="00026181"/>
    <w:rsid w:val="00032DDB"/>
    <w:rsid w:val="00041AA8"/>
    <w:rsid w:val="00041B8F"/>
    <w:rsid w:val="00051C97"/>
    <w:rsid w:val="00054F62"/>
    <w:rsid w:val="00055383"/>
    <w:rsid w:val="00055C2D"/>
    <w:rsid w:val="000578B5"/>
    <w:rsid w:val="000628D7"/>
    <w:rsid w:val="00062B59"/>
    <w:rsid w:val="0006435C"/>
    <w:rsid w:val="00071D47"/>
    <w:rsid w:val="00093EB4"/>
    <w:rsid w:val="00094A13"/>
    <w:rsid w:val="000959E9"/>
    <w:rsid w:val="000A29BB"/>
    <w:rsid w:val="000A2E07"/>
    <w:rsid w:val="000A4044"/>
    <w:rsid w:val="000B6072"/>
    <w:rsid w:val="000B7AC4"/>
    <w:rsid w:val="000C3BAD"/>
    <w:rsid w:val="000C6305"/>
    <w:rsid w:val="000C735E"/>
    <w:rsid w:val="000D397B"/>
    <w:rsid w:val="000D44D2"/>
    <w:rsid w:val="000D6FEC"/>
    <w:rsid w:val="00101164"/>
    <w:rsid w:val="001031D8"/>
    <w:rsid w:val="00106C0F"/>
    <w:rsid w:val="001074D4"/>
    <w:rsid w:val="001150C9"/>
    <w:rsid w:val="00127317"/>
    <w:rsid w:val="00132731"/>
    <w:rsid w:val="00132CF7"/>
    <w:rsid w:val="001334BC"/>
    <w:rsid w:val="001406F4"/>
    <w:rsid w:val="00143362"/>
    <w:rsid w:val="00145D10"/>
    <w:rsid w:val="00150CAF"/>
    <w:rsid w:val="00152FC2"/>
    <w:rsid w:val="00154429"/>
    <w:rsid w:val="00162B57"/>
    <w:rsid w:val="001657DA"/>
    <w:rsid w:val="001668B9"/>
    <w:rsid w:val="00167E52"/>
    <w:rsid w:val="001752FA"/>
    <w:rsid w:val="001753D3"/>
    <w:rsid w:val="001770A6"/>
    <w:rsid w:val="0018018B"/>
    <w:rsid w:val="00193CF6"/>
    <w:rsid w:val="001964E2"/>
    <w:rsid w:val="00197A54"/>
    <w:rsid w:val="001A522D"/>
    <w:rsid w:val="001B3A34"/>
    <w:rsid w:val="001B70F5"/>
    <w:rsid w:val="001C1EF2"/>
    <w:rsid w:val="001C4BB2"/>
    <w:rsid w:val="001D29EF"/>
    <w:rsid w:val="001D4890"/>
    <w:rsid w:val="001E0A3B"/>
    <w:rsid w:val="001E56BF"/>
    <w:rsid w:val="001E62A9"/>
    <w:rsid w:val="001F0510"/>
    <w:rsid w:val="001F68C6"/>
    <w:rsid w:val="002037C4"/>
    <w:rsid w:val="002040E1"/>
    <w:rsid w:val="0020493C"/>
    <w:rsid w:val="00205A56"/>
    <w:rsid w:val="0020628B"/>
    <w:rsid w:val="00213434"/>
    <w:rsid w:val="0021537F"/>
    <w:rsid w:val="002273EA"/>
    <w:rsid w:val="0024057A"/>
    <w:rsid w:val="00255D8A"/>
    <w:rsid w:val="002573DF"/>
    <w:rsid w:val="00267323"/>
    <w:rsid w:val="0027412B"/>
    <w:rsid w:val="002805F9"/>
    <w:rsid w:val="002806A1"/>
    <w:rsid w:val="00282F85"/>
    <w:rsid w:val="00283641"/>
    <w:rsid w:val="00286A6A"/>
    <w:rsid w:val="0028764B"/>
    <w:rsid w:val="00296D03"/>
    <w:rsid w:val="002A159A"/>
    <w:rsid w:val="002A4586"/>
    <w:rsid w:val="002B0C08"/>
    <w:rsid w:val="002B0D9A"/>
    <w:rsid w:val="002B3357"/>
    <w:rsid w:val="002B3FD7"/>
    <w:rsid w:val="002B77CE"/>
    <w:rsid w:val="002C326C"/>
    <w:rsid w:val="002C4CAF"/>
    <w:rsid w:val="002D1861"/>
    <w:rsid w:val="002D38DF"/>
    <w:rsid w:val="002E5CE6"/>
    <w:rsid w:val="002F1C44"/>
    <w:rsid w:val="002F7189"/>
    <w:rsid w:val="0030203E"/>
    <w:rsid w:val="00302C0E"/>
    <w:rsid w:val="0031183D"/>
    <w:rsid w:val="003138DB"/>
    <w:rsid w:val="003155D0"/>
    <w:rsid w:val="00331A1C"/>
    <w:rsid w:val="00333EC3"/>
    <w:rsid w:val="003375F8"/>
    <w:rsid w:val="003434AA"/>
    <w:rsid w:val="00343C64"/>
    <w:rsid w:val="00344931"/>
    <w:rsid w:val="00345A3E"/>
    <w:rsid w:val="003515AE"/>
    <w:rsid w:val="00355959"/>
    <w:rsid w:val="00360FA2"/>
    <w:rsid w:val="003622EE"/>
    <w:rsid w:val="00366D27"/>
    <w:rsid w:val="003708BB"/>
    <w:rsid w:val="00371FC5"/>
    <w:rsid w:val="00373334"/>
    <w:rsid w:val="00376628"/>
    <w:rsid w:val="003835CD"/>
    <w:rsid w:val="0039077A"/>
    <w:rsid w:val="00390A2F"/>
    <w:rsid w:val="00392508"/>
    <w:rsid w:val="00392673"/>
    <w:rsid w:val="0039458C"/>
    <w:rsid w:val="003954B8"/>
    <w:rsid w:val="003960F1"/>
    <w:rsid w:val="003A3C72"/>
    <w:rsid w:val="003A4C9B"/>
    <w:rsid w:val="003A55FA"/>
    <w:rsid w:val="003B2670"/>
    <w:rsid w:val="003C03B1"/>
    <w:rsid w:val="003C06FA"/>
    <w:rsid w:val="003C11C7"/>
    <w:rsid w:val="003C4903"/>
    <w:rsid w:val="003C64F9"/>
    <w:rsid w:val="003D0976"/>
    <w:rsid w:val="003E0F4D"/>
    <w:rsid w:val="003E4BEE"/>
    <w:rsid w:val="003E7F7F"/>
    <w:rsid w:val="003F06CF"/>
    <w:rsid w:val="003F25CE"/>
    <w:rsid w:val="003F64BA"/>
    <w:rsid w:val="00401531"/>
    <w:rsid w:val="00411865"/>
    <w:rsid w:val="00412B8C"/>
    <w:rsid w:val="00414423"/>
    <w:rsid w:val="0041771C"/>
    <w:rsid w:val="00436B6A"/>
    <w:rsid w:val="00437728"/>
    <w:rsid w:val="0044092C"/>
    <w:rsid w:val="004437CB"/>
    <w:rsid w:val="00444B36"/>
    <w:rsid w:val="00446821"/>
    <w:rsid w:val="0044701F"/>
    <w:rsid w:val="0045277F"/>
    <w:rsid w:val="004550C4"/>
    <w:rsid w:val="00457D53"/>
    <w:rsid w:val="00465377"/>
    <w:rsid w:val="004676C5"/>
    <w:rsid w:val="00476217"/>
    <w:rsid w:val="00491485"/>
    <w:rsid w:val="004A2C7D"/>
    <w:rsid w:val="004A478C"/>
    <w:rsid w:val="004B3B6F"/>
    <w:rsid w:val="004B706A"/>
    <w:rsid w:val="004C2291"/>
    <w:rsid w:val="004E20FA"/>
    <w:rsid w:val="004F2971"/>
    <w:rsid w:val="004F3D65"/>
    <w:rsid w:val="00502352"/>
    <w:rsid w:val="00502C1F"/>
    <w:rsid w:val="00506086"/>
    <w:rsid w:val="005111FD"/>
    <w:rsid w:val="00514598"/>
    <w:rsid w:val="00516C6E"/>
    <w:rsid w:val="00536BDA"/>
    <w:rsid w:val="0054217C"/>
    <w:rsid w:val="00544A8B"/>
    <w:rsid w:val="00545286"/>
    <w:rsid w:val="005461D5"/>
    <w:rsid w:val="00556C22"/>
    <w:rsid w:val="00556DC1"/>
    <w:rsid w:val="0055760A"/>
    <w:rsid w:val="0055779D"/>
    <w:rsid w:val="005640BE"/>
    <w:rsid w:val="0056577E"/>
    <w:rsid w:val="005761A5"/>
    <w:rsid w:val="00587BFE"/>
    <w:rsid w:val="00591EFE"/>
    <w:rsid w:val="00595E3B"/>
    <w:rsid w:val="005A0FF4"/>
    <w:rsid w:val="005A57F0"/>
    <w:rsid w:val="005B1633"/>
    <w:rsid w:val="005B4F0B"/>
    <w:rsid w:val="005B5539"/>
    <w:rsid w:val="005B74D1"/>
    <w:rsid w:val="005D119F"/>
    <w:rsid w:val="005D757B"/>
    <w:rsid w:val="005E28CB"/>
    <w:rsid w:val="005E61C2"/>
    <w:rsid w:val="005E6FA0"/>
    <w:rsid w:val="005F674D"/>
    <w:rsid w:val="0060204E"/>
    <w:rsid w:val="00602A95"/>
    <w:rsid w:val="00604291"/>
    <w:rsid w:val="006065DE"/>
    <w:rsid w:val="00607712"/>
    <w:rsid w:val="00613EEF"/>
    <w:rsid w:val="0062037D"/>
    <w:rsid w:val="00623A49"/>
    <w:rsid w:val="0062428E"/>
    <w:rsid w:val="0063172E"/>
    <w:rsid w:val="00637987"/>
    <w:rsid w:val="006444FF"/>
    <w:rsid w:val="00651AC9"/>
    <w:rsid w:val="0065667D"/>
    <w:rsid w:val="0065678A"/>
    <w:rsid w:val="0065722F"/>
    <w:rsid w:val="00662C1F"/>
    <w:rsid w:val="00662E5B"/>
    <w:rsid w:val="006706CE"/>
    <w:rsid w:val="00671D67"/>
    <w:rsid w:val="00676ACC"/>
    <w:rsid w:val="00676DA0"/>
    <w:rsid w:val="0068198A"/>
    <w:rsid w:val="006850FF"/>
    <w:rsid w:val="006878B1"/>
    <w:rsid w:val="00692795"/>
    <w:rsid w:val="00693E97"/>
    <w:rsid w:val="00695584"/>
    <w:rsid w:val="0069574F"/>
    <w:rsid w:val="00695F4B"/>
    <w:rsid w:val="006A4080"/>
    <w:rsid w:val="006B2E84"/>
    <w:rsid w:val="006C7F94"/>
    <w:rsid w:val="006D3940"/>
    <w:rsid w:val="006D446B"/>
    <w:rsid w:val="006D700A"/>
    <w:rsid w:val="006F3C52"/>
    <w:rsid w:val="0070104D"/>
    <w:rsid w:val="00705512"/>
    <w:rsid w:val="00705647"/>
    <w:rsid w:val="00711EFE"/>
    <w:rsid w:val="007122A8"/>
    <w:rsid w:val="00713F6D"/>
    <w:rsid w:val="00716500"/>
    <w:rsid w:val="00720767"/>
    <w:rsid w:val="00722865"/>
    <w:rsid w:val="00723FCE"/>
    <w:rsid w:val="0073468D"/>
    <w:rsid w:val="007408BB"/>
    <w:rsid w:val="007422A4"/>
    <w:rsid w:val="007435AF"/>
    <w:rsid w:val="00744F17"/>
    <w:rsid w:val="00747009"/>
    <w:rsid w:val="00753888"/>
    <w:rsid w:val="007647ED"/>
    <w:rsid w:val="007674BC"/>
    <w:rsid w:val="00770462"/>
    <w:rsid w:val="00772C23"/>
    <w:rsid w:val="00784BC4"/>
    <w:rsid w:val="00792DB0"/>
    <w:rsid w:val="007933B3"/>
    <w:rsid w:val="00797A03"/>
    <w:rsid w:val="007A207C"/>
    <w:rsid w:val="007A25A7"/>
    <w:rsid w:val="007A6F43"/>
    <w:rsid w:val="007B1622"/>
    <w:rsid w:val="007B6369"/>
    <w:rsid w:val="007C023A"/>
    <w:rsid w:val="007C5023"/>
    <w:rsid w:val="007D035A"/>
    <w:rsid w:val="007D035E"/>
    <w:rsid w:val="007D114F"/>
    <w:rsid w:val="007D7465"/>
    <w:rsid w:val="007E10F1"/>
    <w:rsid w:val="007E4CCF"/>
    <w:rsid w:val="007F7806"/>
    <w:rsid w:val="0080092C"/>
    <w:rsid w:val="00804FED"/>
    <w:rsid w:val="00816FDB"/>
    <w:rsid w:val="008172E5"/>
    <w:rsid w:val="00825018"/>
    <w:rsid w:val="008331D4"/>
    <w:rsid w:val="008409D5"/>
    <w:rsid w:val="0084190F"/>
    <w:rsid w:val="00843297"/>
    <w:rsid w:val="008464AC"/>
    <w:rsid w:val="00857C13"/>
    <w:rsid w:val="0086226D"/>
    <w:rsid w:val="008664E1"/>
    <w:rsid w:val="0087012F"/>
    <w:rsid w:val="0087277C"/>
    <w:rsid w:val="008B5418"/>
    <w:rsid w:val="008B5492"/>
    <w:rsid w:val="008C427E"/>
    <w:rsid w:val="008D023B"/>
    <w:rsid w:val="008D2A93"/>
    <w:rsid w:val="008D77EB"/>
    <w:rsid w:val="008E0D83"/>
    <w:rsid w:val="008E381C"/>
    <w:rsid w:val="008E4B20"/>
    <w:rsid w:val="008E532C"/>
    <w:rsid w:val="008E54CA"/>
    <w:rsid w:val="008F12A4"/>
    <w:rsid w:val="008F68DF"/>
    <w:rsid w:val="0091019F"/>
    <w:rsid w:val="00913D4D"/>
    <w:rsid w:val="00915165"/>
    <w:rsid w:val="0091593F"/>
    <w:rsid w:val="00916AD3"/>
    <w:rsid w:val="00921C94"/>
    <w:rsid w:val="00922861"/>
    <w:rsid w:val="00924F83"/>
    <w:rsid w:val="00931BB1"/>
    <w:rsid w:val="0093330C"/>
    <w:rsid w:val="009351C0"/>
    <w:rsid w:val="0094119C"/>
    <w:rsid w:val="00941D30"/>
    <w:rsid w:val="00942BBE"/>
    <w:rsid w:val="00970788"/>
    <w:rsid w:val="0097436F"/>
    <w:rsid w:val="00976ED8"/>
    <w:rsid w:val="0099311E"/>
    <w:rsid w:val="0099578C"/>
    <w:rsid w:val="00995B01"/>
    <w:rsid w:val="00995DC1"/>
    <w:rsid w:val="009A0FEC"/>
    <w:rsid w:val="009A4E8C"/>
    <w:rsid w:val="009B04A1"/>
    <w:rsid w:val="009B499E"/>
    <w:rsid w:val="009C28A7"/>
    <w:rsid w:val="009D06B0"/>
    <w:rsid w:val="009D19F3"/>
    <w:rsid w:val="009D1E26"/>
    <w:rsid w:val="009D27BF"/>
    <w:rsid w:val="009E1864"/>
    <w:rsid w:val="009E198C"/>
    <w:rsid w:val="009E3019"/>
    <w:rsid w:val="009F0CF6"/>
    <w:rsid w:val="009F1AF7"/>
    <w:rsid w:val="009F6D69"/>
    <w:rsid w:val="00A07631"/>
    <w:rsid w:val="00A07D5C"/>
    <w:rsid w:val="00A25827"/>
    <w:rsid w:val="00A44D57"/>
    <w:rsid w:val="00A5047D"/>
    <w:rsid w:val="00A514E1"/>
    <w:rsid w:val="00A52712"/>
    <w:rsid w:val="00A52AAC"/>
    <w:rsid w:val="00A55DC8"/>
    <w:rsid w:val="00A5643F"/>
    <w:rsid w:val="00A5675F"/>
    <w:rsid w:val="00A57DFA"/>
    <w:rsid w:val="00A63143"/>
    <w:rsid w:val="00A65F4B"/>
    <w:rsid w:val="00A7113A"/>
    <w:rsid w:val="00A74435"/>
    <w:rsid w:val="00A76E5B"/>
    <w:rsid w:val="00A85E0F"/>
    <w:rsid w:val="00A90B41"/>
    <w:rsid w:val="00A93231"/>
    <w:rsid w:val="00A9330C"/>
    <w:rsid w:val="00AA6AA8"/>
    <w:rsid w:val="00AB00E3"/>
    <w:rsid w:val="00AB10B5"/>
    <w:rsid w:val="00AC04F3"/>
    <w:rsid w:val="00AD0417"/>
    <w:rsid w:val="00AD07C6"/>
    <w:rsid w:val="00AF58EC"/>
    <w:rsid w:val="00AF6C01"/>
    <w:rsid w:val="00B02128"/>
    <w:rsid w:val="00B07ED9"/>
    <w:rsid w:val="00B114E8"/>
    <w:rsid w:val="00B12D67"/>
    <w:rsid w:val="00B208EF"/>
    <w:rsid w:val="00B215C7"/>
    <w:rsid w:val="00B22536"/>
    <w:rsid w:val="00B37DD0"/>
    <w:rsid w:val="00B47230"/>
    <w:rsid w:val="00B509D9"/>
    <w:rsid w:val="00B5150F"/>
    <w:rsid w:val="00B531A3"/>
    <w:rsid w:val="00BA0022"/>
    <w:rsid w:val="00BA3D42"/>
    <w:rsid w:val="00BA6F1C"/>
    <w:rsid w:val="00BB1B9E"/>
    <w:rsid w:val="00BB5664"/>
    <w:rsid w:val="00BC3E82"/>
    <w:rsid w:val="00BC4A81"/>
    <w:rsid w:val="00BC5C64"/>
    <w:rsid w:val="00BC5EEA"/>
    <w:rsid w:val="00BC6D9B"/>
    <w:rsid w:val="00BC7AD5"/>
    <w:rsid w:val="00BD2AB1"/>
    <w:rsid w:val="00BF64D0"/>
    <w:rsid w:val="00C03735"/>
    <w:rsid w:val="00C10355"/>
    <w:rsid w:val="00C14743"/>
    <w:rsid w:val="00C14915"/>
    <w:rsid w:val="00C2244C"/>
    <w:rsid w:val="00C23E06"/>
    <w:rsid w:val="00C26207"/>
    <w:rsid w:val="00C2639E"/>
    <w:rsid w:val="00C300F2"/>
    <w:rsid w:val="00C30197"/>
    <w:rsid w:val="00C330C6"/>
    <w:rsid w:val="00C346D0"/>
    <w:rsid w:val="00C4013B"/>
    <w:rsid w:val="00C44B25"/>
    <w:rsid w:val="00C44C8C"/>
    <w:rsid w:val="00C44F66"/>
    <w:rsid w:val="00C46EBD"/>
    <w:rsid w:val="00C55B8A"/>
    <w:rsid w:val="00C57DFC"/>
    <w:rsid w:val="00C600B8"/>
    <w:rsid w:val="00C611D3"/>
    <w:rsid w:val="00C62254"/>
    <w:rsid w:val="00C62CA6"/>
    <w:rsid w:val="00C6664E"/>
    <w:rsid w:val="00C71670"/>
    <w:rsid w:val="00C71AF2"/>
    <w:rsid w:val="00C72E6B"/>
    <w:rsid w:val="00C7477C"/>
    <w:rsid w:val="00C76299"/>
    <w:rsid w:val="00C80C87"/>
    <w:rsid w:val="00C8208A"/>
    <w:rsid w:val="00CA4F3E"/>
    <w:rsid w:val="00CA6B2D"/>
    <w:rsid w:val="00CB4667"/>
    <w:rsid w:val="00CC1AD5"/>
    <w:rsid w:val="00CD4B56"/>
    <w:rsid w:val="00CD71DA"/>
    <w:rsid w:val="00CE5B8F"/>
    <w:rsid w:val="00CF0086"/>
    <w:rsid w:val="00CF25DC"/>
    <w:rsid w:val="00CF2ABA"/>
    <w:rsid w:val="00CF2EE3"/>
    <w:rsid w:val="00D02D95"/>
    <w:rsid w:val="00D13EF0"/>
    <w:rsid w:val="00D207AF"/>
    <w:rsid w:val="00D317E6"/>
    <w:rsid w:val="00D35F45"/>
    <w:rsid w:val="00D37F73"/>
    <w:rsid w:val="00D40752"/>
    <w:rsid w:val="00D43509"/>
    <w:rsid w:val="00D54C3F"/>
    <w:rsid w:val="00D56420"/>
    <w:rsid w:val="00D648B2"/>
    <w:rsid w:val="00D66C1D"/>
    <w:rsid w:val="00D70C96"/>
    <w:rsid w:val="00D71FEC"/>
    <w:rsid w:val="00D732AE"/>
    <w:rsid w:val="00D87A4F"/>
    <w:rsid w:val="00D91B51"/>
    <w:rsid w:val="00D93769"/>
    <w:rsid w:val="00D9643C"/>
    <w:rsid w:val="00D968B3"/>
    <w:rsid w:val="00DA1DC0"/>
    <w:rsid w:val="00DA7B63"/>
    <w:rsid w:val="00DB4444"/>
    <w:rsid w:val="00DB4E88"/>
    <w:rsid w:val="00DC0042"/>
    <w:rsid w:val="00DC62CF"/>
    <w:rsid w:val="00DD0B55"/>
    <w:rsid w:val="00DD2FAC"/>
    <w:rsid w:val="00DD59C8"/>
    <w:rsid w:val="00DD702D"/>
    <w:rsid w:val="00DE29CF"/>
    <w:rsid w:val="00DE3640"/>
    <w:rsid w:val="00DE4D2D"/>
    <w:rsid w:val="00DE4F82"/>
    <w:rsid w:val="00DF0CE9"/>
    <w:rsid w:val="00DF32B6"/>
    <w:rsid w:val="00DF6F74"/>
    <w:rsid w:val="00E00A25"/>
    <w:rsid w:val="00E02932"/>
    <w:rsid w:val="00E0299F"/>
    <w:rsid w:val="00E061B2"/>
    <w:rsid w:val="00E15841"/>
    <w:rsid w:val="00E163BB"/>
    <w:rsid w:val="00E222DE"/>
    <w:rsid w:val="00E279FC"/>
    <w:rsid w:val="00E27C12"/>
    <w:rsid w:val="00E30A89"/>
    <w:rsid w:val="00E34C72"/>
    <w:rsid w:val="00E36450"/>
    <w:rsid w:val="00E44828"/>
    <w:rsid w:val="00E533B4"/>
    <w:rsid w:val="00E53B2E"/>
    <w:rsid w:val="00E54941"/>
    <w:rsid w:val="00E6255F"/>
    <w:rsid w:val="00E62A96"/>
    <w:rsid w:val="00E70CB7"/>
    <w:rsid w:val="00E752EC"/>
    <w:rsid w:val="00E81155"/>
    <w:rsid w:val="00E86BDB"/>
    <w:rsid w:val="00E870FE"/>
    <w:rsid w:val="00E87BC2"/>
    <w:rsid w:val="00E87E59"/>
    <w:rsid w:val="00E940CA"/>
    <w:rsid w:val="00E96A23"/>
    <w:rsid w:val="00EA1415"/>
    <w:rsid w:val="00EA3F08"/>
    <w:rsid w:val="00EA402A"/>
    <w:rsid w:val="00EA5CF5"/>
    <w:rsid w:val="00EA6483"/>
    <w:rsid w:val="00EA7035"/>
    <w:rsid w:val="00EB0A5C"/>
    <w:rsid w:val="00EB239C"/>
    <w:rsid w:val="00EB5981"/>
    <w:rsid w:val="00EC48A1"/>
    <w:rsid w:val="00ED1828"/>
    <w:rsid w:val="00ED2673"/>
    <w:rsid w:val="00ED3114"/>
    <w:rsid w:val="00ED5D48"/>
    <w:rsid w:val="00EE30E4"/>
    <w:rsid w:val="00EE6629"/>
    <w:rsid w:val="00EE6F42"/>
    <w:rsid w:val="00EF24FC"/>
    <w:rsid w:val="00EF704F"/>
    <w:rsid w:val="00EF7A6F"/>
    <w:rsid w:val="00F03CB4"/>
    <w:rsid w:val="00F10B9A"/>
    <w:rsid w:val="00F143E5"/>
    <w:rsid w:val="00F16195"/>
    <w:rsid w:val="00F2081B"/>
    <w:rsid w:val="00F23BAA"/>
    <w:rsid w:val="00F25D12"/>
    <w:rsid w:val="00F3127F"/>
    <w:rsid w:val="00F31A92"/>
    <w:rsid w:val="00F32FB3"/>
    <w:rsid w:val="00F33C7D"/>
    <w:rsid w:val="00F37F73"/>
    <w:rsid w:val="00F455D6"/>
    <w:rsid w:val="00F47CED"/>
    <w:rsid w:val="00F5765A"/>
    <w:rsid w:val="00F61DEB"/>
    <w:rsid w:val="00F623EA"/>
    <w:rsid w:val="00F63208"/>
    <w:rsid w:val="00F7297D"/>
    <w:rsid w:val="00F7774D"/>
    <w:rsid w:val="00F81055"/>
    <w:rsid w:val="00F823F3"/>
    <w:rsid w:val="00F970F9"/>
    <w:rsid w:val="00F97897"/>
    <w:rsid w:val="00FA2FC7"/>
    <w:rsid w:val="00FA69AF"/>
    <w:rsid w:val="00FB0CF0"/>
    <w:rsid w:val="00FC1499"/>
    <w:rsid w:val="00FC165A"/>
    <w:rsid w:val="00FD430A"/>
    <w:rsid w:val="00FD7C7E"/>
    <w:rsid w:val="00FE1107"/>
    <w:rsid w:val="00FE3096"/>
    <w:rsid w:val="00FF092A"/>
    <w:rsid w:val="00FF3B79"/>
    <w:rsid w:val="00FF4799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F55D07-9FD7-4736-8319-DFB6265E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5A56"/>
    <w:pPr>
      <w:spacing w:after="0"/>
    </w:pPr>
    <w:rPr>
      <w:rFonts w:ascii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05A5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05A56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44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D446B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D446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D446B"/>
    <w:rPr>
      <w:rFonts w:ascii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D446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6D446B"/>
    <w:rPr>
      <w:rFonts w:ascii="Times New Roman" w:hAnsi="Times New Roman" w:cs="Times New Roman"/>
      <w:sz w:val="24"/>
    </w:rPr>
  </w:style>
  <w:style w:type="character" w:customStyle="1" w:styleId="spanr">
    <w:name w:val="span_r"/>
    <w:basedOn w:val="Predvolenpsmoodseku"/>
    <w:rsid w:val="004F2971"/>
    <w:rPr>
      <w:rFonts w:cs="Times New Roman"/>
    </w:rPr>
  </w:style>
  <w:style w:type="paragraph" w:styleId="Bezriadkovania">
    <w:name w:val="No Spacing"/>
    <w:uiPriority w:val="1"/>
    <w:qFormat/>
    <w:rsid w:val="00A7113A"/>
    <w:pPr>
      <w:suppressAutoHyphens/>
      <w:spacing w:after="0" w:line="240" w:lineRule="auto"/>
    </w:pPr>
    <w:rPr>
      <w:rFonts w:ascii="Calibri" w:hAnsi="Calibri" w:cs="Times New Roman"/>
      <w:lang w:eastAsia="zh-CN"/>
    </w:rPr>
  </w:style>
  <w:style w:type="character" w:styleId="slostrany">
    <w:name w:val="page number"/>
    <w:basedOn w:val="Predvolenpsmoodseku"/>
    <w:uiPriority w:val="99"/>
    <w:rsid w:val="00FC165A"/>
    <w:rPr>
      <w:rFonts w:cs="Times New Roman"/>
    </w:rPr>
  </w:style>
  <w:style w:type="table" w:styleId="Mriekatabuky">
    <w:name w:val="Table Grid"/>
    <w:basedOn w:val="Normlnatabuka"/>
    <w:uiPriority w:val="59"/>
    <w:rsid w:val="00FC165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1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FC165A"/>
    <w:pPr>
      <w:spacing w:line="240" w:lineRule="auto"/>
      <w:jc w:val="both"/>
    </w:pPr>
    <w:rPr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FC165A"/>
    <w:rPr>
      <w:rFonts w:ascii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343C6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3C64"/>
    <w:pPr>
      <w:spacing w:after="200" w:line="240" w:lineRule="auto"/>
    </w:pPr>
    <w:rPr>
      <w:rFonts w:asciiTheme="minorHAnsi" w:hAnsiTheme="minorHAns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43C64"/>
    <w:rPr>
      <w:rFonts w:cs="Times New Roman"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9D1E26"/>
    <w:pPr>
      <w:spacing w:line="240" w:lineRule="auto"/>
    </w:pPr>
    <w:rPr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9D1E26"/>
    <w:pPr>
      <w:spacing w:line="240" w:lineRule="auto"/>
    </w:pPr>
    <w:rPr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9D1E26"/>
    <w:rPr>
      <w:rFonts w:ascii="Times New Roman" w:hAnsi="Times New Roman" w:cs="Times New Roman"/>
      <w:sz w:val="24"/>
      <w:szCs w:val="24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122A8"/>
    <w:pPr>
      <w:spacing w:after="0"/>
    </w:pPr>
    <w:rPr>
      <w:rFonts w:ascii="Times New Roman" w:hAnsi="Times New Roman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122A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21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1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1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1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1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1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D0F84-ABD3-4AB0-87DC-690197D1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Filipova Viera</dc:creator>
  <cp:keywords/>
  <dc:description/>
  <cp:lastModifiedBy>Vuckovska Katarina</cp:lastModifiedBy>
  <cp:revision>2</cp:revision>
  <cp:lastPrinted>2021-07-27T10:32:00Z</cp:lastPrinted>
  <dcterms:created xsi:type="dcterms:W3CDTF">2021-08-18T08:34:00Z</dcterms:created>
  <dcterms:modified xsi:type="dcterms:W3CDTF">2021-08-18T08:34:00Z</dcterms:modified>
</cp:coreProperties>
</file>