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2AFA" w14:textId="77777777" w:rsidR="00EC495F" w:rsidRDefault="000976DD" w:rsidP="00EC495F">
      <w:pPr>
        <w:spacing w:after="0" w:line="240" w:lineRule="auto"/>
        <w:jc w:val="center"/>
        <w:rPr>
          <w:rFonts w:ascii="Times New Roman" w:hAnsi="Times New Roman" w:cs="Times New Roman"/>
          <w:b/>
          <w:bCs/>
          <w:caps/>
          <w:spacing w:val="30"/>
          <w:sz w:val="24"/>
          <w:szCs w:val="24"/>
          <w:lang w:val="sk-SK"/>
        </w:rPr>
      </w:pPr>
      <w:r>
        <w:rPr>
          <w:rFonts w:ascii="Times New Roman" w:hAnsi="Times New Roman" w:cs="Times New Roman"/>
          <w:b/>
          <w:bCs/>
          <w:caps/>
          <w:spacing w:val="30"/>
          <w:sz w:val="24"/>
          <w:szCs w:val="24"/>
          <w:lang w:val="sk-SK"/>
        </w:rPr>
        <w:t>Doložka zlučiteľnosti</w:t>
      </w:r>
    </w:p>
    <w:p w14:paraId="5FCBB9EC" w14:textId="77777777" w:rsidR="00EC495F" w:rsidRDefault="000976DD" w:rsidP="00EC495F">
      <w:pPr>
        <w:spacing w:after="0" w:line="240" w:lineRule="auto"/>
        <w:jc w:val="center"/>
        <w:rPr>
          <w:rFonts w:ascii="Times New Roman" w:hAnsi="Times New Roman" w:cs="Times New Roman"/>
          <w:b/>
          <w:bCs/>
          <w:sz w:val="24"/>
          <w:szCs w:val="24"/>
          <w:lang w:val="sk-SK"/>
        </w:rPr>
      </w:pPr>
      <w:r>
        <w:rPr>
          <w:rFonts w:ascii="Times New Roman" w:hAnsi="Times New Roman" w:cs="Times New Roman"/>
          <w:b/>
          <w:bCs/>
          <w:sz w:val="24"/>
          <w:szCs w:val="24"/>
          <w:lang w:val="sk-SK"/>
        </w:rPr>
        <w:t>právneho predpisu s právom Európskej únie </w:t>
      </w:r>
    </w:p>
    <w:p w14:paraId="25A86B60" w14:textId="77777777" w:rsidR="00EC495F" w:rsidRDefault="00EC495F" w:rsidP="00EC495F">
      <w:pPr>
        <w:spacing w:after="0" w:line="240" w:lineRule="auto"/>
        <w:rPr>
          <w:rFonts w:ascii="Times New Roman" w:hAnsi="Times New Roman" w:cs="Times New Roman"/>
          <w:sz w:val="24"/>
          <w:szCs w:val="24"/>
          <w:lang w:val="sk-SK"/>
        </w:rPr>
      </w:pPr>
    </w:p>
    <w:p w14:paraId="492C1725" w14:textId="77777777" w:rsidR="00EC495F" w:rsidRDefault="00EC495F" w:rsidP="00EC495F">
      <w:pPr>
        <w:spacing w:after="0" w:line="240" w:lineRule="auto"/>
        <w:rPr>
          <w:rFonts w:ascii="Times New Roman" w:hAnsi="Times New Roman" w:cs="Times New Roman"/>
          <w:sz w:val="24"/>
          <w:szCs w:val="24"/>
          <w:lang w:val="sk-SK"/>
        </w:rPr>
      </w:pPr>
    </w:p>
    <w:p w14:paraId="3B80B50B" w14:textId="77777777" w:rsidR="00EC495F" w:rsidRDefault="000976DD" w:rsidP="00EC495F">
      <w:pPr>
        <w:spacing w:after="0" w:line="240" w:lineRule="auto"/>
        <w:ind w:left="360" w:hanging="360"/>
        <w:rPr>
          <w:rFonts w:ascii="Times New Roman" w:hAnsi="Times New Roman" w:cs="Times New Roman"/>
          <w:b/>
          <w:bCs/>
          <w:sz w:val="24"/>
          <w:szCs w:val="24"/>
          <w:lang w:val="sk-SK"/>
        </w:rPr>
      </w:pPr>
      <w:r>
        <w:rPr>
          <w:rFonts w:ascii="Times New Roman" w:hAnsi="Times New Roman" w:cs="Times New Roman"/>
          <w:b/>
          <w:bCs/>
          <w:sz w:val="24"/>
          <w:szCs w:val="24"/>
          <w:lang w:val="sk-SK"/>
        </w:rPr>
        <w:t>1.</w:t>
      </w:r>
      <w:r>
        <w:rPr>
          <w:rFonts w:ascii="Times New Roman" w:hAnsi="Times New Roman" w:cs="Times New Roman"/>
          <w:b/>
          <w:bCs/>
          <w:sz w:val="24"/>
          <w:szCs w:val="24"/>
          <w:lang w:val="sk-SK"/>
        </w:rPr>
        <w:tab/>
        <w:t>Predkladateľ právneho predpisu:</w:t>
      </w:r>
      <w:r>
        <w:rPr>
          <w:rFonts w:ascii="Times New Roman" w:hAnsi="Times New Roman" w:cs="Times New Roman"/>
          <w:sz w:val="24"/>
          <w:szCs w:val="24"/>
          <w:lang w:val="sk-SK"/>
        </w:rPr>
        <w:t xml:space="preserve"> Poslanci Národnej rady Slovenskej republiky. </w:t>
      </w:r>
    </w:p>
    <w:p w14:paraId="53AE2F3A" w14:textId="77777777" w:rsidR="00EC495F" w:rsidRDefault="000976DD" w:rsidP="00EC495F">
      <w:pPr>
        <w:tabs>
          <w:tab w:val="left" w:pos="360"/>
        </w:tabs>
        <w:spacing w:after="0" w:line="240" w:lineRule="auto"/>
        <w:ind w:left="360"/>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14:paraId="5C56A1CE" w14:textId="5519A71F" w:rsidR="00C94975" w:rsidRPr="00E51D5F" w:rsidRDefault="00EC495F" w:rsidP="00C94975">
      <w:pPr>
        <w:spacing w:after="0"/>
        <w:jc w:val="both"/>
        <w:rPr>
          <w:rFonts w:ascii="Times New Roman" w:hAnsi="Times New Roman" w:cs="Times New Roman"/>
          <w:sz w:val="24"/>
          <w:szCs w:val="24"/>
          <w:lang w:val="sk-SK"/>
        </w:rPr>
      </w:pPr>
      <w:r>
        <w:rPr>
          <w:rFonts w:ascii="Times New Roman" w:hAnsi="Times New Roman" w:cs="Times New Roman"/>
          <w:b/>
          <w:bCs/>
          <w:sz w:val="24"/>
          <w:szCs w:val="24"/>
          <w:lang w:val="sk-SK"/>
        </w:rPr>
        <w:t>2.</w:t>
      </w:r>
      <w:r w:rsidR="00C94975">
        <w:rPr>
          <w:rFonts w:ascii="Times New Roman" w:hAnsi="Times New Roman" w:cs="Times New Roman"/>
          <w:b/>
          <w:bCs/>
          <w:sz w:val="24"/>
          <w:szCs w:val="24"/>
          <w:lang w:val="sk-SK"/>
        </w:rPr>
        <w:t xml:space="preserve">   </w:t>
      </w:r>
      <w:r>
        <w:rPr>
          <w:rFonts w:ascii="Times New Roman" w:hAnsi="Times New Roman" w:cs="Times New Roman"/>
          <w:b/>
          <w:bCs/>
          <w:sz w:val="24"/>
          <w:szCs w:val="24"/>
          <w:lang w:val="sk-SK"/>
        </w:rPr>
        <w:t xml:space="preserve">Názov návrhu právneho </w:t>
      </w:r>
      <w:r w:rsidRPr="004A2541">
        <w:rPr>
          <w:rFonts w:ascii="Times New Roman" w:hAnsi="Times New Roman" w:cs="Times New Roman"/>
          <w:b/>
          <w:bCs/>
          <w:sz w:val="24"/>
          <w:szCs w:val="24"/>
          <w:lang w:val="sk-SK"/>
        </w:rPr>
        <w:t>predpisu</w:t>
      </w:r>
      <w:r w:rsidRPr="00E51D5F">
        <w:rPr>
          <w:rFonts w:ascii="Times New Roman" w:hAnsi="Times New Roman" w:cs="Times New Roman"/>
          <w:b/>
          <w:bCs/>
          <w:sz w:val="24"/>
          <w:szCs w:val="24"/>
          <w:lang w:val="sk-SK"/>
        </w:rPr>
        <w:t>:</w:t>
      </w:r>
      <w:r w:rsidRPr="00E51D5F">
        <w:rPr>
          <w:rFonts w:ascii="Times New Roman" w:hAnsi="Times New Roman" w:cs="Times New Roman"/>
          <w:sz w:val="24"/>
          <w:szCs w:val="24"/>
          <w:lang w:val="sk-SK"/>
        </w:rPr>
        <w:t xml:space="preserve"> </w:t>
      </w:r>
      <w:r w:rsidR="0035211B" w:rsidRPr="00E51D5F">
        <w:rPr>
          <w:rFonts w:ascii="Times New Roman" w:hAnsi="Times New Roman" w:cs="Times New Roman"/>
          <w:sz w:val="24"/>
          <w:szCs w:val="24"/>
          <w:lang w:val="sk-SK"/>
        </w:rPr>
        <w:t xml:space="preserve"> </w:t>
      </w:r>
      <w:r w:rsidR="00E51D5F" w:rsidRPr="00E51D5F">
        <w:rPr>
          <w:rStyle w:val="awspan"/>
          <w:rFonts w:ascii="Times New Roman" w:hAnsi="Times New Roman" w:cs="Times New Roman"/>
          <w:color w:val="000000"/>
          <w:sz w:val="24"/>
          <w:szCs w:val="24"/>
        </w:rPr>
        <w:t>Návrh</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zákona,</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ktorým</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sa</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dopĺňa</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zákon</w:t>
      </w:r>
      <w:r w:rsidR="00E51D5F" w:rsidRPr="00E51D5F">
        <w:rPr>
          <w:rStyle w:val="awspan"/>
          <w:rFonts w:ascii="Times New Roman" w:hAnsi="Times New Roman" w:cs="Times New Roman"/>
          <w:color w:val="000000"/>
          <w:spacing w:val="-6"/>
          <w:sz w:val="24"/>
          <w:szCs w:val="24"/>
        </w:rPr>
        <w:t xml:space="preserve"> </w:t>
      </w:r>
      <w:r w:rsidR="006F03F9">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č.</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319/2002</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o obrane</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Slovenskej</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republiky v znení</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neskorších</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predpisov</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a ktorým</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sa</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dopĺňa</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zákon</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č.</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211/2000</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z.</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o slobodnom</w:t>
      </w:r>
      <w:r w:rsidR="00E51D5F" w:rsidRPr="00E51D5F">
        <w:rPr>
          <w:rStyle w:val="awspan"/>
          <w:rFonts w:ascii="Times New Roman" w:hAnsi="Times New Roman" w:cs="Times New Roman"/>
          <w:color w:val="000000"/>
          <w:spacing w:val="-6"/>
          <w:sz w:val="24"/>
          <w:szCs w:val="24"/>
        </w:rPr>
        <w:t xml:space="preserve"> </w:t>
      </w:r>
      <w:r w:rsidR="00E51D5F" w:rsidRPr="00E51D5F">
        <w:rPr>
          <w:rStyle w:val="awspan"/>
          <w:rFonts w:ascii="Times New Roman" w:hAnsi="Times New Roman" w:cs="Times New Roman"/>
          <w:color w:val="000000"/>
          <w:sz w:val="24"/>
          <w:szCs w:val="24"/>
        </w:rPr>
        <w:t>prístupe k informáciám</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a o zmene</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a doplnení</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niektorých</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zákonov</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(zákon</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o slobode</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informácií)</w:t>
      </w:r>
      <w:r w:rsidR="00E51D5F" w:rsidRPr="00E51D5F">
        <w:rPr>
          <w:rStyle w:val="awspan"/>
          <w:rFonts w:ascii="Times New Roman" w:hAnsi="Times New Roman" w:cs="Times New Roman"/>
          <w:color w:val="000000"/>
          <w:spacing w:val="1"/>
          <w:sz w:val="24"/>
          <w:szCs w:val="24"/>
        </w:rPr>
        <w:t xml:space="preserve"> </w:t>
      </w:r>
      <w:r w:rsidR="00E51D5F" w:rsidRPr="00E51D5F">
        <w:rPr>
          <w:rStyle w:val="awspan"/>
          <w:rFonts w:ascii="Times New Roman" w:hAnsi="Times New Roman" w:cs="Times New Roman"/>
          <w:color w:val="000000"/>
          <w:sz w:val="24"/>
          <w:szCs w:val="24"/>
        </w:rPr>
        <w:t>v znení neskorších</w:t>
      </w:r>
      <w:r w:rsidR="00E51D5F" w:rsidRPr="00E51D5F">
        <w:rPr>
          <w:rStyle w:val="awspan"/>
          <w:rFonts w:ascii="Times New Roman" w:hAnsi="Times New Roman" w:cs="Times New Roman"/>
          <w:color w:val="000000"/>
          <w:spacing w:val="48"/>
          <w:sz w:val="24"/>
          <w:szCs w:val="24"/>
        </w:rPr>
        <w:t xml:space="preserve"> </w:t>
      </w:r>
      <w:r w:rsidR="00E51D5F" w:rsidRPr="00E51D5F">
        <w:rPr>
          <w:rStyle w:val="awspan"/>
          <w:rFonts w:ascii="Times New Roman" w:hAnsi="Times New Roman" w:cs="Times New Roman"/>
          <w:color w:val="000000"/>
          <w:sz w:val="24"/>
          <w:szCs w:val="24"/>
        </w:rPr>
        <w:t>predpisov</w:t>
      </w:r>
    </w:p>
    <w:p w14:paraId="028A3E98" w14:textId="77777777" w:rsidR="004A2541" w:rsidRDefault="004A2541" w:rsidP="00C94975">
      <w:pPr>
        <w:spacing w:after="0" w:line="240" w:lineRule="auto"/>
        <w:ind w:left="360" w:hanging="360"/>
        <w:rPr>
          <w:rFonts w:ascii="Times New Roman" w:hAnsi="Times New Roman" w:cs="Times New Roman"/>
          <w:sz w:val="24"/>
          <w:szCs w:val="24"/>
          <w:lang w:val="sk-SK"/>
        </w:rPr>
      </w:pPr>
    </w:p>
    <w:p w14:paraId="0DC7A3B3" w14:textId="77777777" w:rsidR="00EC495F" w:rsidRDefault="000976DD" w:rsidP="00EC495F">
      <w:pPr>
        <w:spacing w:after="0" w:line="240" w:lineRule="auto"/>
        <w:ind w:left="360" w:hanging="360"/>
        <w:rPr>
          <w:rFonts w:ascii="Times New Roman" w:hAnsi="Times New Roman" w:cs="Times New Roman"/>
          <w:b/>
          <w:bCs/>
          <w:sz w:val="24"/>
          <w:szCs w:val="24"/>
          <w:lang w:val="sk-SK"/>
        </w:rPr>
      </w:pPr>
      <w:r>
        <w:rPr>
          <w:rFonts w:ascii="Times New Roman" w:hAnsi="Times New Roman" w:cs="Times New Roman"/>
          <w:b/>
          <w:bCs/>
          <w:sz w:val="24"/>
          <w:szCs w:val="24"/>
          <w:lang w:val="sk-SK"/>
        </w:rPr>
        <w:t>3.</w:t>
      </w:r>
      <w:r>
        <w:rPr>
          <w:rFonts w:ascii="Times New Roman" w:hAnsi="Times New Roman" w:cs="Times New Roman"/>
          <w:b/>
          <w:bCs/>
          <w:sz w:val="24"/>
          <w:szCs w:val="24"/>
          <w:lang w:val="sk-SK"/>
        </w:rPr>
        <w:tab/>
        <w:t>Problematika návrhu právneho predpisu:</w:t>
      </w:r>
    </w:p>
    <w:p w14:paraId="3EDFCF1A" w14:textId="77777777" w:rsidR="00EC495F" w:rsidRDefault="00EC495F" w:rsidP="00EC495F">
      <w:pPr>
        <w:spacing w:after="0" w:line="240" w:lineRule="auto"/>
        <w:ind w:firstLine="360"/>
        <w:rPr>
          <w:rFonts w:ascii="Times New Roman" w:hAnsi="Times New Roman" w:cs="Times New Roman"/>
          <w:sz w:val="24"/>
          <w:szCs w:val="24"/>
          <w:lang w:val="sk-SK"/>
        </w:rPr>
      </w:pPr>
    </w:p>
    <w:p w14:paraId="2B18F52C" w14:textId="77777777" w:rsidR="00EC495F" w:rsidRPr="00D73BB2" w:rsidRDefault="000976DD" w:rsidP="00EC495F">
      <w:pPr>
        <w:spacing w:after="0" w:line="240" w:lineRule="auto"/>
        <w:ind w:left="709" w:hanging="349"/>
        <w:rPr>
          <w:rFonts w:ascii="Times New Roman" w:hAnsi="Times New Roman" w:cs="Times New Roman"/>
          <w:sz w:val="24"/>
          <w:szCs w:val="24"/>
          <w:lang w:val="sk-SK"/>
        </w:rPr>
      </w:pPr>
      <w:r w:rsidRPr="00D73BB2">
        <w:rPr>
          <w:rFonts w:ascii="Times New Roman" w:hAnsi="Times New Roman" w:cs="Times New Roman"/>
          <w:sz w:val="24"/>
          <w:szCs w:val="24"/>
          <w:lang w:val="sk-SK"/>
        </w:rPr>
        <w:t>a)</w:t>
      </w:r>
      <w:r w:rsidRPr="00D73BB2">
        <w:rPr>
          <w:rFonts w:ascii="Times New Roman" w:hAnsi="Times New Roman" w:cs="Times New Roman"/>
          <w:sz w:val="24"/>
          <w:szCs w:val="24"/>
          <w:lang w:val="sk-SK"/>
        </w:rPr>
        <w:tab/>
        <w:t>nie je upravená v práve Európskej únie</w:t>
      </w:r>
    </w:p>
    <w:p w14:paraId="7782572C" w14:textId="77777777" w:rsidR="00EC495F" w:rsidRPr="00D73BB2" w:rsidRDefault="00EC495F" w:rsidP="00EC495F">
      <w:pPr>
        <w:spacing w:after="0" w:line="240" w:lineRule="auto"/>
        <w:ind w:left="709" w:hanging="349"/>
        <w:rPr>
          <w:rFonts w:ascii="Times New Roman" w:hAnsi="Times New Roman" w:cs="Times New Roman"/>
          <w:sz w:val="24"/>
          <w:szCs w:val="24"/>
          <w:lang w:val="sk-SK"/>
        </w:rPr>
      </w:pPr>
    </w:p>
    <w:p w14:paraId="5E572A0B" w14:textId="77777777" w:rsidR="00EC495F" w:rsidRDefault="000976DD" w:rsidP="00EC495F">
      <w:pPr>
        <w:spacing w:after="0" w:line="240" w:lineRule="auto"/>
        <w:ind w:left="709" w:hanging="349"/>
        <w:rPr>
          <w:rFonts w:ascii="Times New Roman" w:hAnsi="Times New Roman" w:cs="Times New Roman"/>
          <w:sz w:val="24"/>
          <w:szCs w:val="24"/>
          <w:lang w:val="sk-SK"/>
        </w:rPr>
      </w:pPr>
      <w:r w:rsidRPr="00D73BB2">
        <w:rPr>
          <w:rFonts w:ascii="Times New Roman" w:hAnsi="Times New Roman" w:cs="Times New Roman"/>
          <w:sz w:val="24"/>
          <w:szCs w:val="24"/>
          <w:lang w:val="sk-SK"/>
        </w:rPr>
        <w:t>b)</w:t>
      </w:r>
      <w:r w:rsidRPr="00D73BB2">
        <w:rPr>
          <w:rFonts w:ascii="Times New Roman" w:hAnsi="Times New Roman" w:cs="Times New Roman"/>
          <w:sz w:val="24"/>
          <w:szCs w:val="24"/>
          <w:lang w:val="sk-SK"/>
        </w:rPr>
        <w:tab/>
        <w:t>nie je obsiahnutá v judikatúre Súdneho dvora Európskej</w:t>
      </w:r>
      <w:r>
        <w:rPr>
          <w:rFonts w:ascii="Times New Roman" w:hAnsi="Times New Roman" w:cs="Times New Roman"/>
          <w:sz w:val="24"/>
          <w:szCs w:val="24"/>
          <w:lang w:val="sk-SK"/>
        </w:rPr>
        <w:t xml:space="preserve"> únie.</w:t>
      </w:r>
    </w:p>
    <w:p w14:paraId="50F4D9F6" w14:textId="77777777" w:rsidR="00EC495F" w:rsidRDefault="00EC495F" w:rsidP="00EC495F">
      <w:pPr>
        <w:spacing w:after="0" w:line="240" w:lineRule="auto"/>
        <w:ind w:left="709" w:hanging="349"/>
        <w:rPr>
          <w:rFonts w:ascii="Times New Roman" w:hAnsi="Times New Roman" w:cs="Times New Roman"/>
          <w:sz w:val="24"/>
          <w:szCs w:val="24"/>
          <w:lang w:val="sk-SK"/>
        </w:rPr>
      </w:pPr>
    </w:p>
    <w:p w14:paraId="5C5A96C5" w14:textId="77777777" w:rsidR="00EC495F" w:rsidRDefault="000976DD" w:rsidP="00EC495F">
      <w:pPr>
        <w:spacing w:after="0" w:line="240" w:lineRule="auto"/>
        <w:ind w:left="360" w:hanging="360"/>
        <w:rPr>
          <w:rFonts w:ascii="Times New Roman" w:hAnsi="Times New Roman" w:cs="Times New Roman"/>
          <w:b/>
          <w:bCs/>
          <w:sz w:val="24"/>
          <w:szCs w:val="24"/>
          <w:lang w:val="sk-SK"/>
        </w:rPr>
      </w:pPr>
      <w:r>
        <w:rPr>
          <w:rFonts w:ascii="Times New Roman" w:hAnsi="Times New Roman" w:cs="Times New Roman"/>
          <w:b/>
          <w:bCs/>
          <w:sz w:val="24"/>
          <w:szCs w:val="24"/>
          <w:lang w:val="sk-SK"/>
        </w:rPr>
        <w:t>4.</w:t>
      </w:r>
      <w:r>
        <w:rPr>
          <w:rFonts w:ascii="Times New Roman" w:hAnsi="Times New Roman" w:cs="Times New Roman"/>
          <w:b/>
          <w:bCs/>
          <w:sz w:val="24"/>
          <w:szCs w:val="24"/>
          <w:lang w:val="sk-SK"/>
        </w:rPr>
        <w:tab/>
        <w:t xml:space="preserve">Záväzky Slovenskej republiky vo vzťahu k Európskej únii: </w:t>
      </w:r>
    </w:p>
    <w:p w14:paraId="1A56ECB2" w14:textId="77777777" w:rsidR="00EC495F" w:rsidRDefault="00EC495F" w:rsidP="00EC495F">
      <w:pPr>
        <w:spacing w:after="0" w:line="240" w:lineRule="auto"/>
        <w:rPr>
          <w:rFonts w:ascii="Times New Roman" w:hAnsi="Times New Roman" w:cs="Times New Roman"/>
          <w:sz w:val="24"/>
          <w:szCs w:val="24"/>
          <w:lang w:val="sk-SK"/>
        </w:rPr>
      </w:pPr>
    </w:p>
    <w:p w14:paraId="13C31613" w14:textId="77777777" w:rsidR="00EC495F" w:rsidRDefault="000976DD" w:rsidP="00EC495F">
      <w:pPr>
        <w:spacing w:after="0" w:line="240" w:lineRule="auto"/>
        <w:ind w:firstLine="360"/>
        <w:rPr>
          <w:rFonts w:ascii="Times New Roman" w:hAnsi="Times New Roman" w:cs="Times New Roman"/>
          <w:sz w:val="24"/>
          <w:szCs w:val="24"/>
          <w:lang w:val="sk-SK"/>
        </w:rPr>
      </w:pPr>
      <w:r>
        <w:rPr>
          <w:rFonts w:ascii="Times New Roman" w:hAnsi="Times New Roman" w:cs="Times New Roman"/>
          <w:sz w:val="24"/>
          <w:szCs w:val="24"/>
          <w:lang w:val="sk-SK"/>
        </w:rPr>
        <w:t>bezpredmetné </w:t>
      </w:r>
    </w:p>
    <w:p w14:paraId="3E328D3A" w14:textId="77777777" w:rsidR="00EC495F" w:rsidRDefault="00EC495F" w:rsidP="00EC495F">
      <w:pPr>
        <w:spacing w:after="0" w:line="240" w:lineRule="auto"/>
        <w:ind w:firstLine="708"/>
        <w:rPr>
          <w:rFonts w:ascii="Times New Roman" w:hAnsi="Times New Roman" w:cs="Times New Roman"/>
          <w:sz w:val="24"/>
          <w:szCs w:val="24"/>
          <w:lang w:val="sk-SK"/>
        </w:rPr>
      </w:pPr>
    </w:p>
    <w:p w14:paraId="3460B7FF" w14:textId="77777777" w:rsidR="00EC495F" w:rsidRDefault="000976DD" w:rsidP="00EC495F">
      <w:pPr>
        <w:spacing w:after="0" w:line="240" w:lineRule="auto"/>
        <w:ind w:left="360" w:hanging="360"/>
        <w:rPr>
          <w:rFonts w:ascii="Times New Roman" w:hAnsi="Times New Roman" w:cs="Times New Roman"/>
          <w:b/>
          <w:bCs/>
          <w:sz w:val="24"/>
          <w:szCs w:val="24"/>
          <w:lang w:val="sk-SK"/>
        </w:rPr>
      </w:pPr>
      <w:r>
        <w:rPr>
          <w:rFonts w:ascii="Times New Roman" w:hAnsi="Times New Roman" w:cs="Times New Roman"/>
          <w:b/>
          <w:bCs/>
          <w:sz w:val="24"/>
          <w:szCs w:val="24"/>
          <w:lang w:val="sk-SK"/>
        </w:rPr>
        <w:t>5.</w:t>
      </w:r>
      <w:r>
        <w:rPr>
          <w:rFonts w:ascii="Times New Roman" w:hAnsi="Times New Roman" w:cs="Times New Roman"/>
          <w:b/>
          <w:bCs/>
          <w:sz w:val="24"/>
          <w:szCs w:val="24"/>
          <w:lang w:val="sk-SK"/>
        </w:rPr>
        <w:tab/>
        <w:t>Stupeň zlučiteľnosti návrhu právneho predpisu s právom Európskej únie:</w:t>
      </w:r>
    </w:p>
    <w:p w14:paraId="7D7F87E0" w14:textId="77777777" w:rsidR="00EC495F" w:rsidRDefault="00EC495F" w:rsidP="00EC495F">
      <w:pPr>
        <w:spacing w:after="0" w:line="240" w:lineRule="auto"/>
        <w:rPr>
          <w:rFonts w:ascii="Times New Roman" w:hAnsi="Times New Roman" w:cs="Times New Roman"/>
          <w:sz w:val="24"/>
          <w:szCs w:val="24"/>
          <w:lang w:val="sk-SK"/>
        </w:rPr>
      </w:pPr>
    </w:p>
    <w:p w14:paraId="208C9F34" w14:textId="77777777" w:rsidR="00EC495F" w:rsidRDefault="000976DD" w:rsidP="00EC495F">
      <w:pPr>
        <w:spacing w:after="0" w:line="240" w:lineRule="auto"/>
        <w:ind w:firstLine="360"/>
        <w:rPr>
          <w:rFonts w:ascii="Times New Roman" w:hAnsi="Times New Roman" w:cs="Times New Roman"/>
          <w:sz w:val="24"/>
          <w:szCs w:val="24"/>
          <w:lang w:val="sk-SK"/>
        </w:rPr>
      </w:pPr>
      <w:r>
        <w:rPr>
          <w:rFonts w:ascii="Times New Roman" w:hAnsi="Times New Roman" w:cs="Times New Roman"/>
          <w:sz w:val="24"/>
          <w:szCs w:val="24"/>
          <w:lang w:val="sk-SK"/>
        </w:rPr>
        <w:t>Stupeň zlučiteľnosti - úplný </w:t>
      </w:r>
    </w:p>
    <w:p w14:paraId="4DC4470F" w14:textId="77777777" w:rsidR="00EC495F" w:rsidRDefault="000976DD" w:rsidP="00EC495F">
      <w:pPr>
        <w:tabs>
          <w:tab w:val="left" w:pos="360"/>
        </w:tabs>
        <w:spacing w:after="0" w:line="240" w:lineRule="auto"/>
        <w:ind w:left="360"/>
        <w:rPr>
          <w:rFonts w:ascii="Times New Roman" w:hAnsi="Times New Roman" w:cs="Times New Roman"/>
          <w:sz w:val="24"/>
          <w:szCs w:val="24"/>
          <w:lang w:val="sk-SK"/>
        </w:rPr>
      </w:pPr>
      <w:r>
        <w:rPr>
          <w:rFonts w:ascii="Times New Roman" w:hAnsi="Times New Roman" w:cs="Times New Roman"/>
          <w:sz w:val="24"/>
          <w:szCs w:val="24"/>
          <w:lang w:val="sk-SK"/>
        </w:rPr>
        <w:br/>
      </w:r>
    </w:p>
    <w:p w14:paraId="7DE6FAFD" w14:textId="77777777" w:rsidR="00EC495F" w:rsidRDefault="00EC495F" w:rsidP="00EC495F">
      <w:pPr>
        <w:ind w:right="-108"/>
        <w:jc w:val="center"/>
        <w:outlineLvl w:val="0"/>
        <w:rPr>
          <w:rFonts w:ascii="Times New Roman" w:hAnsi="Times New Roman" w:cs="Times New Roman"/>
          <w:b/>
          <w:bCs/>
          <w:sz w:val="28"/>
          <w:szCs w:val="28"/>
          <w:lang w:val="sk-SK"/>
        </w:rPr>
      </w:pPr>
    </w:p>
    <w:p w14:paraId="2137B55F" w14:textId="77777777" w:rsidR="00EC495F" w:rsidRDefault="00EC495F" w:rsidP="00EC495F">
      <w:pPr>
        <w:ind w:right="-108"/>
        <w:jc w:val="center"/>
        <w:outlineLvl w:val="0"/>
        <w:rPr>
          <w:rFonts w:ascii="Times New Roman" w:hAnsi="Times New Roman" w:cs="Times New Roman"/>
          <w:b/>
          <w:bCs/>
          <w:sz w:val="28"/>
          <w:szCs w:val="28"/>
          <w:lang w:val="sk-SK"/>
        </w:rPr>
      </w:pPr>
    </w:p>
    <w:p w14:paraId="7135C1EB" w14:textId="77777777" w:rsidR="00EC495F" w:rsidRDefault="00EC495F" w:rsidP="00EC495F">
      <w:pPr>
        <w:ind w:right="-108"/>
        <w:jc w:val="center"/>
        <w:outlineLvl w:val="0"/>
        <w:rPr>
          <w:rFonts w:ascii="Times New Roman" w:hAnsi="Times New Roman" w:cs="Times New Roman"/>
          <w:b/>
          <w:bCs/>
          <w:sz w:val="28"/>
          <w:szCs w:val="28"/>
          <w:lang w:val="sk-SK"/>
        </w:rPr>
      </w:pPr>
    </w:p>
    <w:p w14:paraId="365D4E5B" w14:textId="77777777" w:rsidR="00EC495F" w:rsidRDefault="00EC495F" w:rsidP="00EC495F">
      <w:pPr>
        <w:ind w:right="-108"/>
        <w:jc w:val="center"/>
        <w:outlineLvl w:val="0"/>
        <w:rPr>
          <w:rFonts w:ascii="Times New Roman" w:hAnsi="Times New Roman" w:cs="Times New Roman"/>
          <w:b/>
          <w:bCs/>
          <w:sz w:val="28"/>
          <w:szCs w:val="28"/>
          <w:lang w:val="sk-SK"/>
        </w:rPr>
      </w:pPr>
    </w:p>
    <w:p w14:paraId="3493C7CF" w14:textId="77777777" w:rsidR="00EC495F" w:rsidRDefault="00EC495F" w:rsidP="00EC495F">
      <w:pPr>
        <w:ind w:right="-108"/>
        <w:jc w:val="center"/>
        <w:outlineLvl w:val="0"/>
        <w:rPr>
          <w:rFonts w:ascii="Times New Roman" w:hAnsi="Times New Roman" w:cs="Times New Roman"/>
          <w:b/>
          <w:bCs/>
          <w:sz w:val="28"/>
          <w:szCs w:val="28"/>
          <w:lang w:val="sk-SK"/>
        </w:rPr>
      </w:pPr>
    </w:p>
    <w:p w14:paraId="2465265E" w14:textId="77777777" w:rsidR="00EC495F" w:rsidRDefault="00EC495F" w:rsidP="00EC495F">
      <w:pPr>
        <w:ind w:right="-108"/>
        <w:jc w:val="center"/>
        <w:outlineLvl w:val="0"/>
        <w:rPr>
          <w:rFonts w:ascii="Times New Roman" w:hAnsi="Times New Roman" w:cs="Times New Roman"/>
          <w:b/>
          <w:bCs/>
          <w:sz w:val="28"/>
          <w:szCs w:val="28"/>
          <w:lang w:val="sk-SK"/>
        </w:rPr>
      </w:pPr>
    </w:p>
    <w:p w14:paraId="577DB9A4" w14:textId="77777777" w:rsidR="00EC495F" w:rsidRDefault="00EC495F" w:rsidP="00EC495F">
      <w:pPr>
        <w:ind w:right="-108"/>
        <w:jc w:val="center"/>
        <w:outlineLvl w:val="0"/>
        <w:rPr>
          <w:rFonts w:ascii="Times New Roman" w:hAnsi="Times New Roman" w:cs="Times New Roman"/>
          <w:b/>
          <w:bCs/>
          <w:sz w:val="28"/>
          <w:szCs w:val="28"/>
          <w:lang w:val="sk-SK"/>
        </w:rPr>
      </w:pPr>
    </w:p>
    <w:p w14:paraId="0D47AC16" w14:textId="77777777" w:rsidR="00EC495F" w:rsidRDefault="00EC495F" w:rsidP="00EC495F">
      <w:pPr>
        <w:ind w:right="-108"/>
        <w:jc w:val="center"/>
        <w:outlineLvl w:val="0"/>
        <w:rPr>
          <w:rFonts w:ascii="Times New Roman" w:hAnsi="Times New Roman" w:cs="Times New Roman"/>
          <w:b/>
          <w:bCs/>
          <w:sz w:val="28"/>
          <w:szCs w:val="28"/>
          <w:lang w:val="sk-SK"/>
        </w:rPr>
      </w:pPr>
    </w:p>
    <w:p w14:paraId="11A183DD" w14:textId="77777777" w:rsidR="00EC495F" w:rsidRDefault="00EC495F" w:rsidP="00EC495F">
      <w:pPr>
        <w:ind w:right="-108"/>
        <w:jc w:val="center"/>
        <w:outlineLvl w:val="0"/>
        <w:rPr>
          <w:rFonts w:ascii="Times New Roman" w:hAnsi="Times New Roman" w:cs="Times New Roman"/>
          <w:b/>
          <w:bCs/>
          <w:sz w:val="28"/>
          <w:szCs w:val="28"/>
          <w:lang w:val="sk-SK"/>
        </w:rPr>
      </w:pPr>
    </w:p>
    <w:p w14:paraId="7C4C6DC7" w14:textId="77777777" w:rsidR="00EC495F" w:rsidRDefault="00EC495F" w:rsidP="00EC495F">
      <w:pPr>
        <w:ind w:right="-108"/>
        <w:jc w:val="center"/>
        <w:outlineLvl w:val="0"/>
        <w:rPr>
          <w:rFonts w:ascii="Times New Roman" w:hAnsi="Times New Roman" w:cs="Times New Roman"/>
          <w:b/>
          <w:bCs/>
          <w:sz w:val="28"/>
          <w:szCs w:val="28"/>
          <w:lang w:val="sk-SK"/>
        </w:rPr>
      </w:pPr>
    </w:p>
    <w:p w14:paraId="1B1C69D9" w14:textId="1ECAC61B" w:rsidR="00EC495F" w:rsidRDefault="00EC495F" w:rsidP="00EC495F">
      <w:pPr>
        <w:ind w:right="-108"/>
        <w:jc w:val="center"/>
        <w:outlineLvl w:val="0"/>
        <w:rPr>
          <w:rFonts w:ascii="Times New Roman" w:hAnsi="Times New Roman" w:cs="Times New Roman"/>
          <w:b/>
          <w:bCs/>
          <w:sz w:val="28"/>
          <w:szCs w:val="28"/>
          <w:lang w:val="sk-SK"/>
        </w:rPr>
      </w:pPr>
    </w:p>
    <w:sectPr w:rsidR="00EC495F" w:rsidSect="0020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5F"/>
    <w:rsid w:val="00005128"/>
    <w:rsid w:val="00094DB7"/>
    <w:rsid w:val="000976DD"/>
    <w:rsid w:val="0011122B"/>
    <w:rsid w:val="00122611"/>
    <w:rsid w:val="00143DA6"/>
    <w:rsid w:val="001917A5"/>
    <w:rsid w:val="00207304"/>
    <w:rsid w:val="00277DDF"/>
    <w:rsid w:val="002E0639"/>
    <w:rsid w:val="003241B5"/>
    <w:rsid w:val="00342BC1"/>
    <w:rsid w:val="0035211B"/>
    <w:rsid w:val="0035432F"/>
    <w:rsid w:val="0038780A"/>
    <w:rsid w:val="003F0FD3"/>
    <w:rsid w:val="00462C77"/>
    <w:rsid w:val="004A2541"/>
    <w:rsid w:val="004A7EDC"/>
    <w:rsid w:val="00510D8A"/>
    <w:rsid w:val="00534F7F"/>
    <w:rsid w:val="005527B4"/>
    <w:rsid w:val="00561D54"/>
    <w:rsid w:val="0057676F"/>
    <w:rsid w:val="005C1450"/>
    <w:rsid w:val="005E2159"/>
    <w:rsid w:val="00697425"/>
    <w:rsid w:val="006F03F9"/>
    <w:rsid w:val="00700036"/>
    <w:rsid w:val="00836256"/>
    <w:rsid w:val="008D7A8D"/>
    <w:rsid w:val="008E5829"/>
    <w:rsid w:val="008F21A7"/>
    <w:rsid w:val="00903A4E"/>
    <w:rsid w:val="009A4220"/>
    <w:rsid w:val="00A43788"/>
    <w:rsid w:val="00A940D2"/>
    <w:rsid w:val="00AA2869"/>
    <w:rsid w:val="00C006B3"/>
    <w:rsid w:val="00C057D3"/>
    <w:rsid w:val="00C94975"/>
    <w:rsid w:val="00D326D1"/>
    <w:rsid w:val="00D73BB2"/>
    <w:rsid w:val="00E51D5F"/>
    <w:rsid w:val="00E96F91"/>
    <w:rsid w:val="00EC495F"/>
    <w:rsid w:val="00F77767"/>
    <w:rsid w:val="00FB4E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66A67"/>
  <w15:docId w15:val="{2689F5B2-0EFD-44C6-AF86-9E70674C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495F"/>
    <w:pPr>
      <w:widowControl w:val="0"/>
      <w:adjustRightInd w:val="0"/>
      <w:spacing w:after="200" w:line="276" w:lineRule="auto"/>
    </w:pPr>
    <w:rPr>
      <w:rFonts w:cs="Calibri"/>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EC495F"/>
    <w:pPr>
      <w:widowControl/>
      <w:adjustRightInd/>
      <w:spacing w:after="120" w:line="240" w:lineRule="auto"/>
    </w:pPr>
    <w:rPr>
      <w:sz w:val="24"/>
      <w:szCs w:val="24"/>
      <w:lang w:val="sk-SK" w:eastAsia="sk-SK"/>
    </w:rPr>
  </w:style>
  <w:style w:type="character" w:customStyle="1" w:styleId="ZkladntextChar">
    <w:name w:val="Základný text Char"/>
    <w:link w:val="Zkladntext"/>
    <w:uiPriority w:val="99"/>
    <w:semiHidden/>
    <w:locked/>
    <w:rsid w:val="00EC495F"/>
    <w:rPr>
      <w:rFonts w:ascii="Calibri" w:hAnsi="Calibri" w:cs="Calibri"/>
      <w:sz w:val="24"/>
      <w:szCs w:val="24"/>
      <w:rtl w:val="0"/>
      <w:cs w:val="0"/>
      <w:lang w:val="x-none" w:eastAsia="sk-SK"/>
    </w:rPr>
  </w:style>
  <w:style w:type="paragraph" w:styleId="Zkladntext2">
    <w:name w:val="Body Text 2"/>
    <w:basedOn w:val="Normlny"/>
    <w:link w:val="Zkladntext2Char1"/>
    <w:uiPriority w:val="99"/>
    <w:semiHidden/>
    <w:unhideWhenUsed/>
    <w:rsid w:val="00EC495F"/>
    <w:pPr>
      <w:widowControl/>
      <w:adjustRightInd/>
      <w:spacing w:after="120" w:line="480" w:lineRule="auto"/>
    </w:pPr>
    <w:rPr>
      <w:rFonts w:ascii="Times New Roman" w:hAnsi="Times New Roman" w:cs="Times New Roman"/>
      <w:sz w:val="24"/>
      <w:szCs w:val="24"/>
      <w:lang w:eastAsia="sk-SK"/>
    </w:rPr>
  </w:style>
  <w:style w:type="character" w:customStyle="1" w:styleId="Zkladntext2Char">
    <w:name w:val="Základný text 2 Char"/>
    <w:uiPriority w:val="99"/>
    <w:semiHidden/>
    <w:locked/>
    <w:rsid w:val="00EC495F"/>
    <w:rPr>
      <w:rFonts w:ascii="Calibri" w:hAnsi="Calibri" w:cs="Calibri"/>
      <w:rtl w:val="0"/>
      <w:cs w:val="0"/>
      <w:lang w:val="en-US" w:eastAsia="x-none"/>
    </w:rPr>
  </w:style>
  <w:style w:type="character" w:customStyle="1" w:styleId="Zkladntext2Char1">
    <w:name w:val="Základný text 2 Char1"/>
    <w:link w:val="Zkladntext2"/>
    <w:uiPriority w:val="99"/>
    <w:semiHidden/>
    <w:locked/>
    <w:rsid w:val="00EC495F"/>
    <w:rPr>
      <w:rFonts w:ascii="Times New Roman" w:hAnsi="Times New Roman" w:cs="Times New Roman"/>
      <w:sz w:val="24"/>
      <w:szCs w:val="24"/>
      <w:rtl w:val="0"/>
      <w:cs w:val="0"/>
      <w:lang w:val="x-none" w:eastAsia="sk-SK"/>
    </w:rPr>
  </w:style>
  <w:style w:type="paragraph" w:customStyle="1" w:styleId="titulok">
    <w:name w:val="titulok"/>
    <w:basedOn w:val="Normlny"/>
    <w:rsid w:val="002E0639"/>
    <w:pPr>
      <w:widowControl/>
      <w:adjustRightInd/>
      <w:spacing w:before="100" w:beforeAutospacing="1" w:after="100" w:afterAutospacing="1" w:line="240" w:lineRule="auto"/>
      <w:jc w:val="center"/>
    </w:pPr>
    <w:rPr>
      <w:rFonts w:ascii="Arial" w:eastAsia="Times New Roman" w:hAnsi="Arial" w:cs="Arial"/>
      <w:b/>
      <w:bCs/>
      <w:color w:val="007060"/>
      <w:sz w:val="24"/>
      <w:szCs w:val="24"/>
      <w:lang w:val="sk-SK" w:eastAsia="sk-SK"/>
    </w:rPr>
  </w:style>
  <w:style w:type="character" w:customStyle="1" w:styleId="awspan">
    <w:name w:val="awspan"/>
    <w:basedOn w:val="Predvolenpsmoodseku"/>
    <w:rsid w:val="00E5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7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lac_0585-dolozka_zlucitelnosti"/>
    <f:field ref="objsubject" par="" edit="true" text=""/>
    <f:field ref="objcreatedby" par="" text="Hrivňáková, Simona"/>
    <f:field ref="objcreatedat" par="" text="6.8.2021 12:18:26"/>
    <f:field ref="objchangedby" par="" text="Administrator, System"/>
    <f:field ref="objmodifiedat" par="" text="6.8.2021 12:18: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Andrej Pitonak</cp:lastModifiedBy>
  <cp:revision>8</cp:revision>
  <cp:lastPrinted>2016-04-21T19:13:00Z</cp:lastPrinted>
  <dcterms:created xsi:type="dcterms:W3CDTF">2021-07-08T14:00:00Z</dcterms:created>
  <dcterms:modified xsi:type="dcterms:W3CDTF">2021-07-08T14:05:00Z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style="margin: 0cm 0cm 0pt;"&gt;Vzhľadom na skutočnosť, že ide o poslanecký návrh zákona, verejnosť sa na jeho príprave nepodieľala.&lt;/p&gt;</vt:lpwstr>
  </property>
  <property name="FSC#SKEDITIONSLOVLEX@103.510:typpredpis" pid="3" fmtid="{D5CDD505-2E9C-101B-9397-08002B2CF9AE}">
    <vt:lpwstr>Poslanecký návrh - 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Bezpečnosť a obrana štátu</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Simona Hrivňáková</vt:lpwstr>
  </property>
  <property name="FSC#SKEDITIONSLOVLEX@103.510:zodppredkladatel" pid="12" fmtid="{D5CDD505-2E9C-101B-9397-08002B2CF9AE}">
    <vt:lpwstr>Jaroslav Naď</vt:lpwstr>
  </property>
  <property name="FSC#SKEDITIONSLOVLEX@103.510:dalsipredkladatel" pid="13" fmtid="{D5CDD505-2E9C-101B-9397-08002B2CF9AE}">
    <vt:lpwstr/>
  </property>
  <property name="FSC#SKEDITIONSLOVLEX@103.510:nazovpredpis" pid="14"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nazovpredpis1" pid="15" fmtid="{D5CDD505-2E9C-101B-9397-08002B2CF9AE}">
    <vt:lpwstr>kon č. 211/2000 Z. z. o slobodnom prístupe k informáciám a o zmene a doplnení niektorých zákonov (zákon o slobode informácií) v znení neskorších predpisov (tlač 585)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obrany Slovenskej republiky</vt:lpwstr>
  </property>
  <property name="FSC#SKEDITIONSLOVLEX@103.510:pripomienkovatelia" pid="20"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21" fmtid="{D5CDD505-2E9C-101B-9397-08002B2CF9AE}">
    <vt:lpwstr/>
  </property>
  <property name="FSC#SKEDITIONSLOVLEX@103.510:podnetpredpis" pid="22" fmtid="{D5CDD505-2E9C-101B-9397-08002B2CF9AE}">
    <vt:lpwstr>§ 70 ods. 2 zákona NR SR č. 350/1996 Z. z. o rokovacom poriadku Národnej rady Slovenskej republiky v znení zákona č. 399/2015 Z. z.</vt:lpwstr>
  </property>
  <property name="FSC#SKEDITIONSLOVLEX@103.510:plnynazovpredpis" pid="23"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plnynazovpredpis1" pid="24" fmtid="{D5CDD505-2E9C-101B-9397-08002B2CF9AE}">
    <vt:lpwstr>kon č. 211/2000 Z. z. o slobodnom prístupe k informáciám a o zmene a doplnení niektorých zákonov (zákon o slobode informácií) v znení neskorších predpisov (tlač 585)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SELPOdL-249-1/2021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LP/2021/434</vt:lpwstr>
  </property>
  <property name="FSC#SKEDITIONSLOVLEX@103.510:typsprievdok" pid="37" fmtid="{D5CDD505-2E9C-101B-9397-08002B2CF9AE}">
    <vt:lpwstr>Doložka zlučiteľnosti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užívateľ</vt:lpwstr>
  </property>
  <property name="FSC#SKEDITIONSLOVLEX@103.510:funkciaPredAkuzativ" pid="139" fmtid="{D5CDD505-2E9C-101B-9397-08002B2CF9AE}">
    <vt:lpwstr>užívateľa</vt:lpwstr>
  </property>
  <property name="FSC#SKEDITIONSLOVLEX@103.510:funkciaPredDativ" pid="140" fmtid="{D5CDD505-2E9C-101B-9397-08002B2CF9AE}">
    <vt:lpwstr>užívateľovi</vt:lpwstr>
  </property>
  <property name="FSC#SKEDITIONSLOVLEX@103.510:funkciaZodpPred" pid="141" fmtid="{D5CDD505-2E9C-101B-9397-08002B2CF9AE}">
    <vt:lpwstr>minister obrany</vt:lpwstr>
  </property>
  <property name="FSC#SKEDITIONSLOVLEX@103.510:funkciaZodpPredAkuzativ" pid="142" fmtid="{D5CDD505-2E9C-101B-9397-08002B2CF9AE}">
    <vt:lpwstr>ministra obrany Slovenskej republiky</vt:lpwstr>
  </property>
  <property name="FSC#SKEDITIONSLOVLEX@103.510:funkciaZodpPredDativ" pid="143" fmtid="{D5CDD505-2E9C-101B-9397-08002B2CF9AE}">
    <vt:lpwstr>ministrovi obrany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Jaroslav Naď_x000d__x000a_minister obrany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justify;"&gt;&amp;nbsp;&amp;nbsp;&amp;nbsp;&amp;nbsp;&amp;nbsp;&amp;nbsp;&amp;nbsp;&amp;nbsp;&amp;nbsp;&amp;nbsp; Podľa § 70 ods. 2 zákona Národnej rady Slovenskej republiky č. 350/1996 Z. z. o&amp;nbsp;rokovacom poriadku Národnej rady Slovenskej republiky v&amp;nbsp;znení zákona č. 399/2015 Z. z. predkladá Ministerstvo obrany Slovenskej republiky na rokovanie vlády Slovenskej republiky materiál „Návrh poslancov Národnej rady Slovenskej republiky Anny Zemanovej, Juraja Krúpu, Petra Pčolinského a Jána Benčíka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585)“.&lt;/p&gt;&lt;p style="text-align: justify;"&gt;&lt;strong&gt;Všeobecne&lt;/strong&gt;&lt;/p&gt;&lt;p style="text-align: justify;"&gt;&amp;nbsp;&amp;nbsp;&amp;nbsp;&amp;nbsp;&amp;nbsp;&amp;nbsp;&amp;nbsp;&amp;nbsp;&amp;nbsp;&amp;nbsp;&amp;nbsp; Poslanci Národnej rady Slovenskej republiky &amp;nbsp;predložili na rokovanie Národnej rady Slovenskej republiky návrh na vydanie zákona, ktorým sa dopĺňa zákon č. 319/2002 Z. z. o obrane Slovenskej republiky v znení neskorších predpisov a ktorým sa dopĺňa zákon č. 211/2000 Z. z.&amp;nbsp;o slobodnom prístupe k informáciám a o zmene a doplnení niektorých zákonov (zákon o slobode informácií) v znení neskorších predpisov, ktorého cieľom je ochrániť objekty obrannej infraštruktúry a&amp;nbsp;jadrové zariadenia pred nežiaducim únikom vysoko citlivých informácií o&amp;nbsp;technických detailoch ich stavebno-technického vyhotovenia. Zo zneprístupnenia sa majú vylúčiť tie časti projektovej dokumentácie, ktoré sú nositeľom informácie o&amp;nbsp;vplyve danej stavby na životné prostredie. Ostatné časti projektovej dokumentácie, vrátane výkresovej časti, ktorá obsahuje nákresy a&amp;nbsp;popisy podlaží, hrúbky a&amp;nbsp;materiály stien, vchody, východy, prechody, pozdĺžne a&amp;nbsp;priečne rezy, usporiadanie miestností, presvetlenie, technické vybavenie a&amp;nbsp;iné obdobné detaily o&amp;nbsp;stavebno-technickom vyhotovení danej stavby sa zverejňovať nebudú. Návrhom zákona sa reaguje na množiace sa žiadosti rôznych osôb z&amp;nbsp;radov verejnosti o&amp;nbsp;prístup k&amp;nbsp;takýmto druhom dokumentov v&amp;nbsp;rámci rôznych povoľovacích konaní, ako aj prostredníctvom podávania žiadostí o&amp;nbsp;sprístupnenie informácií podľa zákona o&amp;nbsp;slobode informácií.&lt;/p&gt;&lt;p style="text-align: justify;"&gt;&amp;nbsp;&amp;nbsp;&amp;nbsp;&amp;nbsp;&amp;nbsp;&amp;nbsp;&amp;nbsp;&amp;nbsp;&amp;nbsp;&amp;nbsp;&amp;nbsp; Predložený poslanecký návrh zákona bude mať pozitívny vplyv na podnikateľské prostredie a&amp;nbsp;bude mať pozitívne sociálne vplyvy. Návrh zákona nebude mať vplyv na rozpočet verejnej správy, životné prostredie, informatizáciu spoločnosti, služby pre občana a&amp;nbsp;ani na manželstvo, rodičovstvo a&amp;nbsp;rodinu.&lt;/p&gt;&lt;p style="text-align: justify;"&gt;&amp;nbsp;&amp;nbsp;&amp;nbsp;&amp;nbsp;&amp;nbsp;&amp;nbsp;&amp;nbsp;&amp;nbsp;&amp;nbsp;&amp;nbsp;&amp;nbsp; Podľa navrhovateľov je poslanecký návrh zákona v súlade s Ústavou Slovenskej republiky, ústavnými zákonmi, medzinárodnými zmluvami, ktorými je Slovenská republika viazaná, zákonmi a ostatnými všeobecne záväznými právnymi predpismi.&lt;/p&gt;&lt;p style="text-align: justify;"&gt;&amp;nbsp;&amp;nbsp;&amp;nbsp;&amp;nbsp;&amp;nbsp;&amp;nbsp;&amp;nbsp;&amp;nbsp;&amp;nbsp;&amp;nbsp;&amp;nbsp;&lt;strong&gt;Stanovisko Ministerstva obrany Slovenskej republiky&lt;/strong&gt;&lt;/p&gt;&lt;p style="text-align: justify;"&gt;&amp;nbsp;&amp;nbsp;&amp;nbsp;&amp;nbsp;&amp;nbsp;&amp;nbsp;&amp;nbsp;&amp;nbsp;&amp;nbsp;&amp;nbsp;&amp;nbsp; Ministerstvo obrany Slovenskej republiky (ďalej len „ministerstvo“) zaujíma&amp;nbsp;k predloženému návrhu poslancov Národnej rady Slovenskej republiky Anny Zemanovej, Juraja Krúpu, Petra Pčolinského a Jána Benčíka na vydanie zákona, ktorým sa dopĺňa zákon&amp;nbsp;č. 319/2002 Z. z. o obrane Slovenskej republiky v znení neskorších predpisov a ktorým sa dopĺňa zákon č. 211/2000 Z. z. o slobodnom prístupe k informáciám a o zmene a doplnení niektorých zákonov (zákon o slobode informácií) v znení neskorších predpisov, toto stanovisko:&lt;/p&gt;&lt;p style="text-align: justify;"&gt;&amp;nbsp;&amp;nbsp;&amp;nbsp;&amp;nbsp;&amp;nbsp;&amp;nbsp;&amp;nbsp;&amp;nbsp;&amp;nbsp; V Čl. I&amp;nbsp;poslaneckého návrhu zákona sa navrhuje v&amp;nbsp;zákone č. 319/2002 Z. z. o obrane Slovenskej republiky v znení neskorších predpisov (ďalej len „zákon &amp;nbsp;&amp;nbsp;č.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 mierovom využívaní jadrovej energie (atómový zákon) a o zmene a doplnení niektorých zákonov v znení neskorších predpisov (ďalej len „atómový zákon“) nezverejňuje a neposkytuje k nahliadnutiu iným účastníkom konania, s výnimkou častí tejto dokumentácie o vplyvoch stavby na životné prostredie. K&amp;nbsp;navrhovaným úpravám zákona č. 319/2002 Z. z. ministerstvo uplatňuje nasledovné pripomienky.&lt;/p&gt;&lt;p style="text-align: justify;"&gt;&amp;nbsp;&amp;nbsp;&amp;nbsp;&amp;nbsp;&amp;nbsp;&amp;nbsp;&amp;nbsp;&amp;nbsp;&amp;nbsp; Navrhovaný odsek 8 § 27 zákona č. 319/2002 Z. z. predstavuje nepriamu novelizáciu stavebného zákona, ktorá je podľa § 6 ods. 1 zákona č. 400/2015 Z. z. o tvorbe právnych predpisov a o Zbierke zákonov Slovenskej republiky a o zmene a doplnení niektorých zákonov v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zákone.&lt;/p&gt;&lt;p style="text-align: justify;"&gt;&amp;nbsp;&amp;nbsp;&amp;nbsp;&amp;nbsp;&amp;nbsp;&amp;nbsp;&amp;nbsp;&amp;nbsp;&amp;nbsp; Pri výklade pojmov „nahliadnutie“ a „iní účastníci konania“ môže dôjsť k&amp;nbsp;interpretačným nejasnostiam, a to v súvislosti s používaním odlišných pojmov v rámci stavebného zákona, na ktorý navrhovaný&amp;nbsp;odsek 8 § 27 zákona č. 319/2001 Z. z. odkazuje.&lt;/p&gt;&lt;p style="text-align: justify;"&gt;&amp;nbsp;&amp;nbsp;&amp;nbsp;&amp;nbsp;&amp;nbsp;&amp;nbsp;&amp;nbsp;&amp;nbsp;&amp;nbsp; 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„nazeranie"&amp;nbsp;do administratívneho spisu je v stavebnom zákone upravené iba v § 100&amp;nbsp;písm.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plánovania&amp;nbsp;a stavebných úradov umožniť fyzickým osobám a právnickým osobám, ktoré preukážu odôvodnenosť svojej požiadavky nazerať do tejto dokumentácie a robiť si z nej výpisy, a tiež&amp;nbsp;v § 140a v súvislosti s právom dotknutého orgánu nazerať do spisov v rámci konaní vedených podľa stavebného zákona. Nazeranie do spisu v rámci konaní vedených podľa stavebného zákona sa navyše subsidiárne spravuje ustanovením § 23 zákona č. 71/1967 Zb. o správnom konaní (správny poriadok) v znení neskorších predpisov (ďalej len „správny poriadok“).&lt;/p&gt;&lt;p style="text-align: justify;"&gt;&amp;nbsp;&amp;nbsp;&amp;nbsp;&amp;nbsp;&amp;nbsp;&amp;nbsp;&amp;nbsp;&amp;nbsp; Vzhľadom na skutočnosť, že v stavebnom zákone sa rozlišuje medzi „verejným nahliadaním“ a „nazeraním“ do spisu, resp. do územnoplánovacej dokumentácie alebo dokumentácie stavieb, nie je jasné, ako treba interpretovať pojem „nahliadanie“ v súvislosti&amp;nbsp;s projektovou dokumentáciou objektov osobitnej dôležitosti a ďalších dôležitých objektov. Predovšetkým nie je zrejmé, či sa tento pojem má interpretovať extenzívne, t. j. v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postihnutím&amp;nbsp;v súvislosti s výkonom ich pôsobnosti umožňuje nazerať do spisu iba vtedy, ak tieto osoby preukážu odôvodnenosť svojej požiadavky.&lt;/p&gt;&lt;p style="text-align: justify;"&gt;&amp;nbsp;&amp;nbsp;&amp;nbsp;&amp;nbsp;&amp;nbsp;&amp;nbsp;&amp;nbsp;&amp;nbsp;&amp;nbsp; 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definuje.&lt;/p&gt;&lt;p style="text-align: justify;"&gt;&amp;nbsp;&amp;nbsp;&amp;nbsp;&amp;nbsp;&amp;nbsp;&amp;nbsp;&amp;nbsp;&amp;nbsp;&amp;nbsp; 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 doplnení niektorých zákonov (zákon o slobode informácií) v znení neskorších predpisov (ďalej len „zákon o slobode informácií“) nepodlieha sprístupneniu dotknutej verejnosti v rámci konaní o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zákona&lt;br /&gt;č.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vzťahov.&lt;/p&gt;&lt;p style="text-align: justify;"&gt;&amp;nbsp;&amp;nbsp;&amp;nbsp;&amp;nbsp;&amp;nbsp;&amp;nbsp;&amp;nbsp;&amp;nbsp;&amp;nbsp; 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zákona&amp;nbsp;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Aarhuského dohovoru umožňuje zamietnuť žiadosť o informáciu o životnom prostredí, ak by jej zverejnenie nepriaznivo ovplyvnilo medzinárodné vzťahy, obranu štátu alebo bezpečnosť verejnosti.&lt;/p&gt;&lt;p style="text-align: justify;"&gt;&amp;nbsp;&amp;nbsp;&amp;nbsp;&amp;nbsp;&amp;nbsp;&amp;nbsp;&amp;nbsp;&amp;nbsp;&amp;nbsp; K Čl. II poslaneckého návrhu zákona tiež treba podotknúť, že platné znenie zákona o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dokumentácie&amp;nbsp;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ministerstva k rovnakej výnimke, upravenej v druhej vete navrhovaného odseku 8 § 27 zákona č. 319/2002 Z. z.&lt;/p&gt;&lt;p style="text-align: justify;"&gt;&amp;nbsp;&amp;nbsp;&amp;nbsp;&amp;nbsp;&amp;nbsp;&amp;nbsp;&amp;nbsp;&amp;nbsp;&amp;nbsp;&amp;nbsp;&amp;nbsp; Odporúčame poslancom Národnej rady Slovenskej republiky upraviť poslanecký návrh v&amp;nbsp;súlade s&amp;nbsp;uvedenými pripomienkami.&lt;/p&gt;&lt;p style="text-align: justify;"&gt;&amp;nbsp;&lt;strong&gt;Záver&lt;/strong&gt;&lt;/p&gt;&lt;p style="text-align: justify;"&gt;&amp;nbsp;&amp;nbsp;&amp;nbsp;&amp;nbsp;&amp;nbsp;&amp;nbsp;&amp;nbsp;&amp;nbsp;&amp;nbsp;&amp;nbsp;&amp;nbsp; Ministerstvo obrany Slovenskej republiky, vzhľadom na uvedené, odporúča vláde Slovenskej republiky &lt;strong&gt;vysloviť&lt;/strong&gt; s&amp;nbsp; návrhom poslancov Národnej rady Slovenskej republiky Anny Zemanovej, Juraja Krúpu, Petra Pčolinského a Jána Benčíka na vydanie zákona, ktorým sa dopĺňa zákon č. 319/2002 Z. z.&amp;nbsp; o obrane Slovenskej republiky v znení neskorších predpisov a ktorým sa dopĺňa zákon č. 211/2000 Z. z. o slobodnom prístupe k informáciám a o zmene a doplnení niektorých zákonov (zákon o slobode informácií) v znení neskorších predpisov (tlač 585) &lt;strong&gt;po zohľadnení uplatnených pripomienok&lt;/strong&gt; &lt;strong&gt;súhlas&lt;/strong&gt;.&lt;/p&gt;</vt:lpwstr>
  </property>
  <property name="FSC#SKEDITIONSLOVLEX@103.510:vytvorenedna" pid="150" fmtid="{D5CDD505-2E9C-101B-9397-08002B2CF9AE}">
    <vt:lpwstr>6. 8. 2021</vt:lpwstr>
  </property>
  <property name="FSC#COOSYSTEM@1.1:Container" pid="151" fmtid="{D5CDD505-2E9C-101B-9397-08002B2CF9AE}">
    <vt:lpwstr>COO.2145.1000.3.4497082</vt:lpwstr>
  </property>
  <property name="FSC#FSCFOLIO@1.1001:docpropproject" pid="152" fmtid="{D5CDD505-2E9C-101B-9397-08002B2CF9AE}">
    <vt:lpwstr/>
  </property>
</Properties>
</file>