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08C" w:rsidRDefault="0081708C" w:rsidP="0081708C">
      <w:pPr>
        <w:jc w:val="center"/>
        <w:rPr>
          <w:rFonts w:ascii="Times New Roman" w:hAnsi="Times New Roman"/>
          <w:sz w:val="24"/>
          <w:szCs w:val="24"/>
          <w:lang w:val="en-US"/>
        </w:rPr>
      </w:pPr>
      <w:r>
        <w:rPr>
          <w:noProof/>
          <w:szCs w:val="24"/>
        </w:rPr>
        <w:drawing>
          <wp:inline distT="0" distB="0" distL="0" distR="0">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rsidTr="008073D9">
        <w:trPr>
          <w:tblCellSpacing w:w="15" w:type="dxa"/>
        </w:trPr>
        <w:tc>
          <w:tcPr>
            <w:tcW w:w="0" w:type="auto"/>
            <w:tcMar>
              <w:top w:w="15" w:type="dxa"/>
              <w:left w:w="15" w:type="dxa"/>
              <w:bottom w:w="15" w:type="dxa"/>
              <w:right w:w="15" w:type="dxa"/>
            </w:tcMar>
            <w:vAlign w:val="center"/>
            <w:hideMark/>
          </w:tcPr>
          <w:p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rsidTr="008073D9">
        <w:trPr>
          <w:tblCellSpacing w:w="15" w:type="dxa"/>
        </w:trPr>
        <w:tc>
          <w:tcPr>
            <w:tcW w:w="0" w:type="auto"/>
            <w:tcMar>
              <w:top w:w="15" w:type="dxa"/>
              <w:left w:w="15" w:type="dxa"/>
              <w:bottom w:w="15" w:type="dxa"/>
              <w:right w:w="15" w:type="dxa"/>
            </w:tcMar>
            <w:vAlign w:val="center"/>
            <w:hideMark/>
          </w:tcPr>
          <w:p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565"/>
            </w:tblGrid>
            <w:tr w:rsidR="0081708C" w:rsidRPr="00DC50CF" w:rsidTr="008073D9">
              <w:trPr>
                <w:tblCellSpacing w:w="15" w:type="dxa"/>
                <w:jc w:val="center"/>
              </w:trPr>
              <w:tc>
                <w:tcPr>
                  <w:tcW w:w="0" w:type="auto"/>
                  <w:noWrap/>
                  <w:tcMar>
                    <w:top w:w="15" w:type="dxa"/>
                    <w:left w:w="15" w:type="dxa"/>
                    <w:bottom w:w="15" w:type="dxa"/>
                    <w:right w:w="15" w:type="dxa"/>
                  </w:tcMar>
                  <w:vAlign w:val="center"/>
                  <w:hideMark/>
                </w:tcPr>
                <w:p w:rsidR="0081708C" w:rsidRPr="00DC50CF" w:rsidRDefault="0081708C" w:rsidP="008073D9">
                  <w:pPr>
                    <w:spacing w:line="276" w:lineRule="auto"/>
                    <w:jc w:val="center"/>
                    <w:rPr>
                      <w:rFonts w:ascii="Times New Roman" w:hAnsi="Times New Roman" w:cs="Times New Roman"/>
                      <w:b/>
                      <w:bCs/>
                      <w:sz w:val="28"/>
                      <w:szCs w:val="28"/>
                    </w:rPr>
                  </w:pPr>
                  <w:r w:rsidRPr="00DC50CF">
                    <w:rPr>
                      <w:rFonts w:ascii="Times New Roman" w:hAnsi="Times New Roman" w:cs="Times New Roman"/>
                      <w:b/>
                      <w:bCs/>
                      <w:sz w:val="28"/>
                      <w:szCs w:val="28"/>
                    </w:rPr>
                    <w:t>č. ...</w:t>
                  </w:r>
                </w:p>
              </w:tc>
            </w:tr>
            <w:tr w:rsidR="0081708C" w:rsidRPr="00DC50CF" w:rsidTr="008073D9">
              <w:trPr>
                <w:tblCellSpacing w:w="15" w:type="dxa"/>
                <w:jc w:val="center"/>
              </w:trPr>
              <w:tc>
                <w:tcPr>
                  <w:tcW w:w="0" w:type="auto"/>
                  <w:tcMar>
                    <w:top w:w="15" w:type="dxa"/>
                    <w:left w:w="15" w:type="dxa"/>
                    <w:bottom w:w="15" w:type="dxa"/>
                    <w:right w:w="15" w:type="dxa"/>
                  </w:tcMar>
                  <w:vAlign w:val="center"/>
                  <w:hideMark/>
                </w:tcPr>
                <w:p w:rsidR="0081708C" w:rsidRPr="00DC50CF" w:rsidRDefault="0081708C" w:rsidP="008073D9">
                  <w:pPr>
                    <w:spacing w:line="276" w:lineRule="auto"/>
                    <w:jc w:val="center"/>
                    <w:rPr>
                      <w:rFonts w:ascii="Times New Roman" w:hAnsi="Times New Roman" w:cs="Times New Roman"/>
                      <w:bCs/>
                      <w:sz w:val="28"/>
                      <w:szCs w:val="28"/>
                    </w:rPr>
                  </w:pPr>
                  <w:r w:rsidRPr="00DC50CF">
                    <w:rPr>
                      <w:rFonts w:ascii="Times New Roman" w:hAnsi="Times New Roman" w:cs="Times New Roman"/>
                      <w:bCs/>
                      <w:sz w:val="28"/>
                      <w:szCs w:val="28"/>
                    </w:rPr>
                    <w:t>z ...</w:t>
                  </w:r>
                </w:p>
              </w:tc>
            </w:tr>
          </w:tbl>
          <w:p w:rsidR="0081708C" w:rsidRDefault="0081708C" w:rsidP="008073D9">
            <w:pPr>
              <w:widowControl/>
              <w:autoSpaceDE/>
              <w:autoSpaceDN/>
              <w:adjustRightInd/>
              <w:spacing w:line="276" w:lineRule="auto"/>
              <w:jc w:val="center"/>
              <w:rPr>
                <w:sz w:val="22"/>
                <w:szCs w:val="22"/>
              </w:rPr>
            </w:pPr>
          </w:p>
        </w:tc>
      </w:tr>
      <w:tr w:rsidR="0081708C"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rsidTr="008073D9">
              <w:trPr>
                <w:trHeight w:val="54"/>
                <w:tblCellSpacing w:w="15" w:type="dxa"/>
                <w:jc w:val="center"/>
              </w:trPr>
              <w:tc>
                <w:tcPr>
                  <w:tcW w:w="0" w:type="auto"/>
                  <w:tcMar>
                    <w:top w:w="15" w:type="dxa"/>
                    <w:left w:w="15" w:type="dxa"/>
                    <w:bottom w:w="15" w:type="dxa"/>
                    <w:right w:w="15" w:type="dxa"/>
                  </w:tcMar>
                  <w:hideMark/>
                </w:tcPr>
                <w:p w:rsidR="00DC50CF" w:rsidRDefault="00DC50CF" w:rsidP="00DC50CF">
                  <w:pPr>
                    <w:jc w:val="center"/>
                    <w:rPr>
                      <w:rFonts w:ascii="Times New Roman" w:hAnsi="Times New Roman" w:cs="Times New Roman"/>
                      <w:b/>
                      <w:bCs/>
                      <w:sz w:val="28"/>
                      <w:szCs w:val="28"/>
                    </w:rPr>
                  </w:pPr>
                  <w:r>
                    <w:rPr>
                      <w:rFonts w:ascii="Times New Roman" w:hAnsi="Times New Roman" w:cs="Times New Roman"/>
                      <w:b/>
                      <w:bCs/>
                      <w:sz w:val="28"/>
                      <w:szCs w:val="28"/>
                    </w:rPr>
                    <w:t xml:space="preserve">k návrhu poslancov </w:t>
                  </w:r>
                  <w:r w:rsidRPr="00DC50CF">
                    <w:rPr>
                      <w:rFonts w:ascii="Times New Roman" w:hAnsi="Times New Roman" w:cs="Times New Roman"/>
                      <w:b/>
                      <w:bCs/>
                      <w:sz w:val="28"/>
                      <w:szCs w:val="28"/>
                    </w:rPr>
                    <w:t>Národne</w:t>
                  </w:r>
                  <w:r>
                    <w:rPr>
                      <w:rFonts w:ascii="Times New Roman" w:hAnsi="Times New Roman" w:cs="Times New Roman"/>
                      <w:b/>
                      <w:bCs/>
                      <w:sz w:val="28"/>
                      <w:szCs w:val="28"/>
                    </w:rPr>
                    <w:t>j rady Slovenskej republiky Anny Zemanovej</w:t>
                  </w:r>
                  <w:r w:rsidRPr="00DC50CF">
                    <w:rPr>
                      <w:rFonts w:ascii="Times New Roman" w:hAnsi="Times New Roman" w:cs="Times New Roman"/>
                      <w:b/>
                      <w:bCs/>
                      <w:sz w:val="28"/>
                      <w:szCs w:val="28"/>
                    </w:rPr>
                    <w:t>, Juraj</w:t>
                  </w:r>
                  <w:r>
                    <w:rPr>
                      <w:rFonts w:ascii="Times New Roman" w:hAnsi="Times New Roman" w:cs="Times New Roman"/>
                      <w:b/>
                      <w:bCs/>
                      <w:sz w:val="28"/>
                      <w:szCs w:val="28"/>
                    </w:rPr>
                    <w:t>a</w:t>
                  </w:r>
                  <w:r w:rsidRPr="00DC50CF">
                    <w:rPr>
                      <w:rFonts w:ascii="Times New Roman" w:hAnsi="Times New Roman" w:cs="Times New Roman"/>
                      <w:b/>
                      <w:bCs/>
                      <w:sz w:val="28"/>
                      <w:szCs w:val="28"/>
                    </w:rPr>
                    <w:t xml:space="preserve"> Krúp</w:t>
                  </w:r>
                  <w:r>
                    <w:rPr>
                      <w:rFonts w:ascii="Times New Roman" w:hAnsi="Times New Roman" w:cs="Times New Roman"/>
                      <w:b/>
                      <w:bCs/>
                      <w:sz w:val="28"/>
                      <w:szCs w:val="28"/>
                    </w:rPr>
                    <w:t xml:space="preserve">u, Petra </w:t>
                  </w:r>
                  <w:proofErr w:type="spellStart"/>
                  <w:r>
                    <w:rPr>
                      <w:rFonts w:ascii="Times New Roman" w:hAnsi="Times New Roman" w:cs="Times New Roman"/>
                      <w:b/>
                      <w:bCs/>
                      <w:sz w:val="28"/>
                      <w:szCs w:val="28"/>
                    </w:rPr>
                    <w:t>Pčolinského</w:t>
                  </w:r>
                  <w:proofErr w:type="spellEnd"/>
                  <w:r w:rsidRPr="00DC50CF">
                    <w:rPr>
                      <w:rFonts w:ascii="Times New Roman" w:hAnsi="Times New Roman" w:cs="Times New Roman"/>
                      <w:b/>
                      <w:bCs/>
                      <w:sz w:val="28"/>
                      <w:szCs w:val="28"/>
                    </w:rPr>
                    <w:t xml:space="preserve"> a Ján</w:t>
                  </w:r>
                  <w:r>
                    <w:rPr>
                      <w:rFonts w:ascii="Times New Roman" w:hAnsi="Times New Roman" w:cs="Times New Roman"/>
                      <w:b/>
                      <w:bCs/>
                      <w:sz w:val="28"/>
                      <w:szCs w:val="28"/>
                    </w:rPr>
                    <w:t>a</w:t>
                  </w:r>
                  <w:r w:rsidRPr="00DC50CF">
                    <w:rPr>
                      <w:rFonts w:ascii="Times New Roman" w:hAnsi="Times New Roman" w:cs="Times New Roman"/>
                      <w:b/>
                      <w:bCs/>
                      <w:sz w:val="28"/>
                      <w:szCs w:val="28"/>
                    </w:rPr>
                    <w:t xml:space="preserve"> </w:t>
                  </w:r>
                  <w:proofErr w:type="spellStart"/>
                  <w:r w:rsidRPr="00DC50CF">
                    <w:rPr>
                      <w:rFonts w:ascii="Times New Roman" w:hAnsi="Times New Roman" w:cs="Times New Roman"/>
                      <w:b/>
                      <w:bCs/>
                      <w:sz w:val="28"/>
                      <w:szCs w:val="28"/>
                    </w:rPr>
                    <w:t>Benčík</w:t>
                  </w:r>
                  <w:r>
                    <w:rPr>
                      <w:rFonts w:ascii="Times New Roman" w:hAnsi="Times New Roman" w:cs="Times New Roman"/>
                      <w:b/>
                      <w:bCs/>
                      <w:sz w:val="28"/>
                      <w:szCs w:val="28"/>
                    </w:rPr>
                    <w:t>a</w:t>
                  </w:r>
                  <w:proofErr w:type="spellEnd"/>
                  <w:r w:rsidRPr="00DC50CF">
                    <w:rPr>
                      <w:rFonts w:ascii="Times New Roman" w:hAnsi="Times New Roman" w:cs="Times New Roman"/>
                      <w:b/>
                      <w:bCs/>
                      <w:sz w:val="28"/>
                      <w:szCs w:val="28"/>
                    </w:rPr>
                    <w:t xml:space="preserve"> na vydanie zákona, ktorým sa dopĺňa zákon č. 319/2002 Z. z. o obrane Slovenskej republiky </w:t>
                  </w:r>
                  <w:r>
                    <w:rPr>
                      <w:rFonts w:ascii="Times New Roman" w:hAnsi="Times New Roman" w:cs="Times New Roman"/>
                      <w:b/>
                      <w:bCs/>
                      <w:sz w:val="28"/>
                      <w:szCs w:val="28"/>
                    </w:rPr>
                    <w:br/>
                  </w:r>
                  <w:r w:rsidRPr="00DC50CF">
                    <w:rPr>
                      <w:rFonts w:ascii="Times New Roman" w:hAnsi="Times New Roman" w:cs="Times New Roman"/>
                      <w:b/>
                      <w:bCs/>
                      <w:sz w:val="28"/>
                      <w:szCs w:val="28"/>
                    </w:rPr>
                    <w:t xml:space="preserve">v znení neskorších predpisov a ktorým sa dopĺňa zákon č. 211/2000 Z. z. </w:t>
                  </w:r>
                  <w:r>
                    <w:rPr>
                      <w:rFonts w:ascii="Times New Roman" w:hAnsi="Times New Roman" w:cs="Times New Roman"/>
                      <w:b/>
                      <w:bCs/>
                      <w:sz w:val="28"/>
                      <w:szCs w:val="28"/>
                    </w:rPr>
                    <w:br/>
                  </w:r>
                  <w:r w:rsidRPr="00DC50CF">
                    <w:rPr>
                      <w:rFonts w:ascii="Times New Roman" w:hAnsi="Times New Roman" w:cs="Times New Roman"/>
                      <w:b/>
                      <w:bCs/>
                      <w:sz w:val="28"/>
                      <w:szCs w:val="28"/>
                    </w:rPr>
                    <w:t xml:space="preserve">o slobodnom prístupe k informáciám a o zmene a doplnení niektorých zákonov (zákon o slobode informácií) v znení neskorších predpisov </w:t>
                  </w:r>
                </w:p>
                <w:p w:rsidR="00DC50CF" w:rsidRDefault="00DC50CF" w:rsidP="00DC50CF">
                  <w:pPr>
                    <w:jc w:val="center"/>
                    <w:rPr>
                      <w:rFonts w:ascii="Times New Roman" w:hAnsi="Times New Roman" w:cs="Times New Roman"/>
                      <w:b/>
                      <w:bCs/>
                      <w:sz w:val="28"/>
                      <w:szCs w:val="28"/>
                    </w:rPr>
                  </w:pPr>
                  <w:r w:rsidRPr="00DC50CF">
                    <w:rPr>
                      <w:rFonts w:ascii="Times New Roman" w:hAnsi="Times New Roman" w:cs="Times New Roman"/>
                      <w:b/>
                      <w:bCs/>
                      <w:sz w:val="28"/>
                      <w:szCs w:val="28"/>
                    </w:rPr>
                    <w:t>(tlač 585)</w:t>
                  </w:r>
                </w:p>
                <w:p w:rsidR="0081708C" w:rsidRPr="00CA6E29" w:rsidRDefault="0081708C" w:rsidP="004B350A">
                  <w:pPr>
                    <w:jc w:val="center"/>
                    <w:rPr>
                      <w:rFonts w:ascii="Times New Roman" w:hAnsi="Times New Roman" w:cs="Times New Roman"/>
                      <w:b/>
                      <w:sz w:val="28"/>
                      <w:szCs w:val="28"/>
                    </w:rPr>
                  </w:pPr>
                </w:p>
              </w:tc>
            </w:tr>
          </w:tbl>
          <w:p w:rsidR="0081708C" w:rsidRDefault="0081708C" w:rsidP="008073D9">
            <w:pPr>
              <w:widowControl/>
              <w:autoSpaceDE/>
              <w:autoSpaceDN/>
              <w:adjustRightInd/>
              <w:spacing w:line="276" w:lineRule="auto"/>
              <w:jc w:val="center"/>
              <w:rPr>
                <w:sz w:val="22"/>
                <w:szCs w:val="22"/>
              </w:rPr>
            </w:pPr>
          </w:p>
        </w:tc>
      </w:tr>
    </w:tbl>
    <w:p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rsidTr="008073D9">
        <w:trPr>
          <w:tblCellSpacing w:w="15" w:type="dxa"/>
        </w:trPr>
        <w:tc>
          <w:tcPr>
            <w:tcW w:w="1697" w:type="dxa"/>
            <w:hideMark/>
          </w:tcPr>
          <w:p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rsidR="0081708C" w:rsidRPr="00CA6E29" w:rsidRDefault="0081708C" w:rsidP="008073D9">
            <w:pPr>
              <w:rPr>
                <w:rFonts w:ascii="Times New Roman" w:hAnsi="Times New Roman" w:cs="Times New Roman"/>
                <w:sz w:val="25"/>
                <w:szCs w:val="25"/>
              </w:rPr>
            </w:pPr>
          </w:p>
        </w:tc>
      </w:tr>
      <w:tr w:rsidR="0081708C" w:rsidTr="008073D9">
        <w:trPr>
          <w:tblCellSpacing w:w="15" w:type="dxa"/>
        </w:trPr>
        <w:tc>
          <w:tcPr>
            <w:tcW w:w="1697" w:type="dxa"/>
            <w:hideMark/>
          </w:tcPr>
          <w:p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rsidR="0081708C" w:rsidRPr="00ED412E" w:rsidRDefault="00DC50CF" w:rsidP="00000627">
            <w:pPr>
              <w:rPr>
                <w:rFonts w:ascii="Times New Roman" w:hAnsi="Times New Roman" w:cs="Times New Roman"/>
                <w:sz w:val="25"/>
                <w:szCs w:val="25"/>
              </w:rPr>
            </w:pPr>
            <w:r>
              <w:rPr>
                <w:rFonts w:ascii="Times New Roman" w:hAnsi="Times New Roman" w:cs="Times New Roman"/>
                <w:sz w:val="25"/>
                <w:szCs w:val="25"/>
              </w:rPr>
              <w:fldChar w:fldCharType="begin"/>
            </w:r>
            <w:r>
              <w:rPr>
                <w:rFonts w:ascii="Times New Roman" w:hAnsi="Times New Roman" w:cs="Times New Roman"/>
                <w:sz w:val="25"/>
                <w:szCs w:val="25"/>
              </w:rPr>
              <w:instrText xml:space="preserve"> DOCPROPERTY  FSC#SKEDITIONSLOVLEX@103.510:funkciaZodpPred\* MERGEFORMAT </w:instrText>
            </w:r>
            <w:r>
              <w:rPr>
                <w:rFonts w:ascii="Times New Roman" w:hAnsi="Times New Roman" w:cs="Times New Roman"/>
                <w:sz w:val="25"/>
                <w:szCs w:val="25"/>
              </w:rPr>
              <w:fldChar w:fldCharType="separate"/>
            </w:r>
            <w:r w:rsidR="00000627">
              <w:rPr>
                <w:rFonts w:ascii="Times New Roman" w:hAnsi="Times New Roman" w:cs="Times New Roman"/>
                <w:sz w:val="25"/>
                <w:szCs w:val="25"/>
              </w:rPr>
              <w:t>minister obrany Slovenskej republiky</w:t>
            </w:r>
            <w:r>
              <w:rPr>
                <w:rFonts w:ascii="Times New Roman" w:hAnsi="Times New Roman" w:cs="Times New Roman"/>
                <w:sz w:val="25"/>
                <w:szCs w:val="25"/>
              </w:rPr>
              <w:fldChar w:fldCharType="end"/>
            </w:r>
          </w:p>
        </w:tc>
      </w:tr>
    </w:tbl>
    <w:p w:rsidR="0081708C" w:rsidRDefault="00DB346C" w:rsidP="0081708C">
      <w:r>
        <w:pict>
          <v:rect id="_x0000_i1025" style="width:0;height:1.5pt" o:hralign="center" o:hrstd="t" o:hr="t" fillcolor="gray" stroked="f"/>
        </w:pict>
      </w:r>
    </w:p>
    <w:p w:rsidR="0081708C" w:rsidRDefault="0081708C" w:rsidP="0081708C"/>
    <w:p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tbl>
      <w:tblPr>
        <w:tblW w:w="5000" w:type="pct"/>
        <w:jc w:val="center"/>
        <w:tblCellMar>
          <w:top w:w="120" w:type="dxa"/>
          <w:left w:w="120" w:type="dxa"/>
          <w:bottom w:w="120" w:type="dxa"/>
          <w:right w:w="120" w:type="dxa"/>
        </w:tblCellMar>
        <w:tblLook w:val="04A0" w:firstRow="1" w:lastRow="0" w:firstColumn="1" w:lastColumn="0" w:noHBand="0" w:noVBand="1"/>
      </w:tblPr>
      <w:tblGrid>
        <w:gridCol w:w="771"/>
        <w:gridCol w:w="772"/>
        <w:gridCol w:w="8103"/>
      </w:tblGrid>
      <w:tr w:rsidR="001A56CF">
        <w:trPr>
          <w:divId w:val="568341982"/>
          <w:trHeight w:val="450"/>
          <w:jc w:val="center"/>
        </w:trPr>
        <w:tc>
          <w:tcPr>
            <w:tcW w:w="400" w:type="pct"/>
            <w:tcBorders>
              <w:top w:val="nil"/>
              <w:left w:val="nil"/>
              <w:bottom w:val="nil"/>
              <w:right w:val="nil"/>
            </w:tcBorders>
            <w:hideMark/>
          </w:tcPr>
          <w:p w:rsidR="001A56CF" w:rsidRDefault="001A56CF">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rsidR="001A56CF" w:rsidRDefault="001A56CF">
            <w:pPr>
              <w:rPr>
                <w:rFonts w:ascii="Times" w:hAnsi="Times" w:cs="Times"/>
                <w:b/>
                <w:bCs/>
                <w:sz w:val="28"/>
                <w:szCs w:val="28"/>
              </w:rPr>
            </w:pPr>
            <w:r>
              <w:rPr>
                <w:rFonts w:ascii="Times" w:hAnsi="Times" w:cs="Times"/>
                <w:b/>
                <w:bCs/>
                <w:sz w:val="28"/>
                <w:szCs w:val="28"/>
              </w:rPr>
              <w:t>súhlasí</w:t>
            </w:r>
          </w:p>
        </w:tc>
      </w:tr>
      <w:tr w:rsidR="001A56CF">
        <w:trPr>
          <w:divId w:val="568341982"/>
          <w:trHeight w:val="450"/>
          <w:jc w:val="center"/>
        </w:trPr>
        <w:tc>
          <w:tcPr>
            <w:tcW w:w="400" w:type="pct"/>
            <w:tcBorders>
              <w:top w:val="nil"/>
              <w:left w:val="nil"/>
              <w:bottom w:val="nil"/>
              <w:right w:val="nil"/>
            </w:tcBorders>
            <w:hideMark/>
          </w:tcPr>
          <w:p w:rsidR="001A56CF" w:rsidRDefault="001A56CF">
            <w:pPr>
              <w:rPr>
                <w:rFonts w:ascii="Times" w:hAnsi="Times" w:cs="Times"/>
                <w:b/>
                <w:bCs/>
                <w:sz w:val="28"/>
                <w:szCs w:val="28"/>
              </w:rPr>
            </w:pPr>
          </w:p>
        </w:tc>
        <w:tc>
          <w:tcPr>
            <w:tcW w:w="400" w:type="pct"/>
            <w:tcBorders>
              <w:top w:val="nil"/>
              <w:left w:val="nil"/>
              <w:bottom w:val="nil"/>
              <w:right w:val="nil"/>
            </w:tcBorders>
            <w:hideMark/>
          </w:tcPr>
          <w:p w:rsidR="001A56CF" w:rsidRDefault="001A56CF">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rsidR="001A56CF" w:rsidRDefault="00DC50CF" w:rsidP="00DC50CF">
            <w:pPr>
              <w:jc w:val="both"/>
              <w:rPr>
                <w:rFonts w:ascii="Times" w:hAnsi="Times" w:cs="Times"/>
                <w:sz w:val="25"/>
                <w:szCs w:val="25"/>
              </w:rPr>
            </w:pPr>
            <w:r>
              <w:rPr>
                <w:rFonts w:ascii="Times" w:hAnsi="Times" w:cs="Times"/>
                <w:sz w:val="25"/>
                <w:szCs w:val="25"/>
              </w:rPr>
              <w:t xml:space="preserve">s návrhom </w:t>
            </w:r>
            <w:r w:rsidRPr="00DC50CF">
              <w:rPr>
                <w:rFonts w:ascii="Times" w:hAnsi="Times" w:cs="Times"/>
                <w:sz w:val="25"/>
                <w:szCs w:val="25"/>
              </w:rPr>
              <w:t xml:space="preserve">poslancov Národnej rady Slovenskej republiky Anny Zemanovej, Juraja Krúpu, Petra </w:t>
            </w:r>
            <w:proofErr w:type="spellStart"/>
            <w:r w:rsidRPr="00DC50CF">
              <w:rPr>
                <w:rFonts w:ascii="Times" w:hAnsi="Times" w:cs="Times"/>
                <w:sz w:val="25"/>
                <w:szCs w:val="25"/>
              </w:rPr>
              <w:t>Pčolinského</w:t>
            </w:r>
            <w:proofErr w:type="spellEnd"/>
            <w:r w:rsidRPr="00DC50CF">
              <w:rPr>
                <w:rFonts w:ascii="Times" w:hAnsi="Times" w:cs="Times"/>
                <w:sz w:val="25"/>
                <w:szCs w:val="25"/>
              </w:rPr>
              <w:t xml:space="preserve"> a Jána </w:t>
            </w:r>
            <w:proofErr w:type="spellStart"/>
            <w:r w:rsidRPr="00DC50CF">
              <w:rPr>
                <w:rFonts w:ascii="Times" w:hAnsi="Times" w:cs="Times"/>
                <w:sz w:val="25"/>
                <w:szCs w:val="25"/>
              </w:rPr>
              <w:t>Benčíka</w:t>
            </w:r>
            <w:proofErr w:type="spellEnd"/>
            <w:r w:rsidRPr="00DC50CF">
              <w:rPr>
                <w:rFonts w:ascii="Times" w:hAnsi="Times" w:cs="Times"/>
                <w:sz w:val="25"/>
                <w:szCs w:val="25"/>
              </w:rPr>
              <w:t xml:space="preserve"> na vydanie zákona, ktorým sa dopĺňa zákon č. 319/2002 Z. z. o obrane Slovenskej republiky v znení </w:t>
            </w:r>
            <w:r>
              <w:rPr>
                <w:rFonts w:ascii="Times" w:hAnsi="Times" w:cs="Times"/>
                <w:sz w:val="25"/>
                <w:szCs w:val="25"/>
              </w:rPr>
              <w:t>n</w:t>
            </w:r>
            <w:r w:rsidRPr="00DC50CF">
              <w:rPr>
                <w:rFonts w:ascii="Times" w:hAnsi="Times" w:cs="Times"/>
                <w:sz w:val="25"/>
                <w:szCs w:val="25"/>
              </w:rPr>
              <w:t>eskorších predpisov a ktorým sa</w:t>
            </w:r>
            <w:r>
              <w:rPr>
                <w:rFonts w:ascii="Times" w:hAnsi="Times" w:cs="Times"/>
                <w:sz w:val="25"/>
                <w:szCs w:val="25"/>
              </w:rPr>
              <w:t xml:space="preserve"> dopĺňa zákon č. 211/2000 Z. z. </w:t>
            </w:r>
            <w:r w:rsidRPr="00DC50CF">
              <w:rPr>
                <w:rFonts w:ascii="Times" w:hAnsi="Times" w:cs="Times"/>
                <w:sz w:val="25"/>
                <w:szCs w:val="25"/>
              </w:rPr>
              <w:t>o slobodnom prístupe k informáciám a o zmene a doplnení niektorých zákonov (zákon o slobode informácií) v znení neskorších predpisov (tlač 585)</w:t>
            </w:r>
            <w:r w:rsidR="00DB346C">
              <w:rPr>
                <w:rFonts w:ascii="Times" w:hAnsi="Times" w:cs="Times"/>
                <w:sz w:val="25"/>
                <w:szCs w:val="25"/>
              </w:rPr>
              <w:t xml:space="preserve"> s pripomienkami</w:t>
            </w:r>
            <w:r w:rsidR="008503D4">
              <w:rPr>
                <w:rFonts w:ascii="Times" w:hAnsi="Times" w:cs="Times"/>
                <w:sz w:val="25"/>
                <w:szCs w:val="25"/>
              </w:rPr>
              <w:t>;</w:t>
            </w:r>
            <w:bookmarkStart w:id="0" w:name="_GoBack"/>
            <w:bookmarkEnd w:id="0"/>
          </w:p>
        </w:tc>
      </w:tr>
      <w:tr w:rsidR="001A56CF">
        <w:trPr>
          <w:divId w:val="568341982"/>
          <w:trHeight w:val="450"/>
          <w:jc w:val="center"/>
        </w:trPr>
        <w:tc>
          <w:tcPr>
            <w:tcW w:w="400" w:type="pct"/>
            <w:tcBorders>
              <w:top w:val="nil"/>
              <w:left w:val="nil"/>
              <w:bottom w:val="nil"/>
              <w:right w:val="nil"/>
            </w:tcBorders>
            <w:hideMark/>
          </w:tcPr>
          <w:p w:rsidR="001A56CF" w:rsidRDefault="001A56CF">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rsidR="001A56CF" w:rsidRDefault="001A56CF">
            <w:pPr>
              <w:rPr>
                <w:rFonts w:ascii="Times" w:hAnsi="Times" w:cs="Times"/>
                <w:b/>
                <w:bCs/>
                <w:sz w:val="28"/>
                <w:szCs w:val="28"/>
              </w:rPr>
            </w:pPr>
            <w:r>
              <w:rPr>
                <w:rFonts w:ascii="Times" w:hAnsi="Times" w:cs="Times"/>
                <w:b/>
                <w:bCs/>
                <w:sz w:val="28"/>
                <w:szCs w:val="28"/>
              </w:rPr>
              <w:t>poveruje</w:t>
            </w:r>
          </w:p>
        </w:tc>
      </w:tr>
      <w:tr w:rsidR="001A56CF">
        <w:trPr>
          <w:divId w:val="568341982"/>
          <w:trHeight w:val="450"/>
          <w:jc w:val="center"/>
        </w:trPr>
        <w:tc>
          <w:tcPr>
            <w:tcW w:w="400" w:type="pct"/>
            <w:tcBorders>
              <w:top w:val="nil"/>
              <w:left w:val="nil"/>
              <w:bottom w:val="nil"/>
              <w:right w:val="nil"/>
            </w:tcBorders>
            <w:hideMark/>
          </w:tcPr>
          <w:p w:rsidR="001A56CF" w:rsidRDefault="001A56CF">
            <w:pPr>
              <w:rPr>
                <w:rFonts w:ascii="Times" w:hAnsi="Times" w:cs="Times"/>
                <w:b/>
                <w:bCs/>
                <w:sz w:val="28"/>
                <w:szCs w:val="28"/>
              </w:rPr>
            </w:pPr>
          </w:p>
        </w:tc>
        <w:tc>
          <w:tcPr>
            <w:tcW w:w="4600" w:type="pct"/>
            <w:gridSpan w:val="2"/>
            <w:tcBorders>
              <w:top w:val="nil"/>
              <w:left w:val="nil"/>
              <w:bottom w:val="nil"/>
              <w:right w:val="nil"/>
            </w:tcBorders>
            <w:hideMark/>
          </w:tcPr>
          <w:p w:rsidR="001A56CF" w:rsidRDefault="001A56CF">
            <w:pPr>
              <w:rPr>
                <w:rFonts w:ascii="Times" w:hAnsi="Times" w:cs="Times"/>
                <w:b/>
                <w:bCs/>
                <w:sz w:val="25"/>
                <w:szCs w:val="25"/>
              </w:rPr>
            </w:pPr>
            <w:r>
              <w:rPr>
                <w:rFonts w:ascii="Times" w:hAnsi="Times" w:cs="Times"/>
                <w:b/>
                <w:bCs/>
                <w:sz w:val="25"/>
                <w:szCs w:val="25"/>
              </w:rPr>
              <w:t>predsedu vlády Slovenskej republiky</w:t>
            </w:r>
          </w:p>
        </w:tc>
      </w:tr>
      <w:tr w:rsidR="001A56CF">
        <w:trPr>
          <w:divId w:val="568341982"/>
          <w:trHeight w:val="450"/>
          <w:jc w:val="center"/>
        </w:trPr>
        <w:tc>
          <w:tcPr>
            <w:tcW w:w="400" w:type="pct"/>
            <w:tcBorders>
              <w:top w:val="nil"/>
              <w:left w:val="nil"/>
              <w:bottom w:val="nil"/>
              <w:right w:val="nil"/>
            </w:tcBorders>
            <w:hideMark/>
          </w:tcPr>
          <w:p w:rsidR="001A56CF" w:rsidRDefault="001A56CF">
            <w:pPr>
              <w:rPr>
                <w:rFonts w:ascii="Times" w:hAnsi="Times" w:cs="Times"/>
                <w:b/>
                <w:bCs/>
                <w:sz w:val="25"/>
                <w:szCs w:val="25"/>
              </w:rPr>
            </w:pPr>
          </w:p>
        </w:tc>
        <w:tc>
          <w:tcPr>
            <w:tcW w:w="400" w:type="pct"/>
            <w:tcBorders>
              <w:top w:val="nil"/>
              <w:left w:val="nil"/>
              <w:bottom w:val="nil"/>
              <w:right w:val="nil"/>
            </w:tcBorders>
            <w:hideMark/>
          </w:tcPr>
          <w:p w:rsidR="001A56CF" w:rsidRDefault="001A56CF">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rsidR="001A56CF" w:rsidRDefault="001A56CF" w:rsidP="001655FD">
            <w:pPr>
              <w:rPr>
                <w:rFonts w:ascii="Times" w:hAnsi="Times" w:cs="Times"/>
                <w:sz w:val="25"/>
                <w:szCs w:val="25"/>
              </w:rPr>
            </w:pPr>
            <w:r>
              <w:rPr>
                <w:rFonts w:ascii="Times" w:hAnsi="Times" w:cs="Times"/>
                <w:sz w:val="25"/>
                <w:szCs w:val="25"/>
              </w:rPr>
              <w:t xml:space="preserve">predložiť stanovisko vlády Slovenskej republiky predsedovi </w:t>
            </w:r>
            <w:r w:rsidRPr="00B4274B">
              <w:rPr>
                <w:rFonts w:ascii="Times" w:hAnsi="Times" w:cs="Times"/>
                <w:sz w:val="25"/>
                <w:szCs w:val="25"/>
              </w:rPr>
              <w:t>N</w:t>
            </w:r>
            <w:r w:rsidR="001655FD" w:rsidRPr="00B4274B">
              <w:rPr>
                <w:rFonts w:ascii="Times" w:hAnsi="Times" w:cs="Times"/>
                <w:sz w:val="25"/>
                <w:szCs w:val="25"/>
              </w:rPr>
              <w:t>árodnej</w:t>
            </w:r>
            <w:r>
              <w:rPr>
                <w:rFonts w:ascii="Times" w:hAnsi="Times" w:cs="Times"/>
                <w:sz w:val="25"/>
                <w:szCs w:val="25"/>
              </w:rPr>
              <w:t xml:space="preserve"> rady Slovenskej republiky.</w:t>
            </w:r>
          </w:p>
        </w:tc>
      </w:tr>
    </w:tbl>
    <w:p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rsidTr="005E1E88">
        <w:trPr>
          <w:cantSplit/>
        </w:trPr>
        <w:tc>
          <w:tcPr>
            <w:tcW w:w="1668" w:type="dxa"/>
          </w:tcPr>
          <w:p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rsidR="00557779" w:rsidRPr="00557779" w:rsidRDefault="001A56CF" w:rsidP="001A56CF">
            <w:r>
              <w:rPr>
                <w:rFonts w:ascii="Times" w:hAnsi="Times" w:cs="Times"/>
                <w:sz w:val="25"/>
                <w:szCs w:val="25"/>
              </w:rPr>
              <w:t>predseda vlády Slovenskej republiky</w:t>
            </w:r>
          </w:p>
        </w:tc>
      </w:tr>
      <w:tr w:rsidR="00557779" w:rsidTr="005E1E88">
        <w:trPr>
          <w:cantSplit/>
        </w:trPr>
        <w:tc>
          <w:tcPr>
            <w:tcW w:w="1668" w:type="dxa"/>
          </w:tcPr>
          <w:p w:rsidR="00557779" w:rsidRPr="00557779" w:rsidRDefault="00557779" w:rsidP="0081708C">
            <w:pPr>
              <w:rPr>
                <w:rFonts w:ascii="Times New Roman" w:hAnsi="Times New Roman" w:cs="Times New Roman"/>
                <w:b/>
                <w:sz w:val="25"/>
                <w:szCs w:val="25"/>
              </w:rPr>
            </w:pPr>
          </w:p>
        </w:tc>
        <w:tc>
          <w:tcPr>
            <w:tcW w:w="7878" w:type="dxa"/>
          </w:tcPr>
          <w:p w:rsidR="00557779" w:rsidRDefault="00557779" w:rsidP="0081708C"/>
        </w:tc>
      </w:tr>
      <w:tr w:rsidR="00557779" w:rsidTr="005E1E88">
        <w:trPr>
          <w:cantSplit/>
        </w:trPr>
        <w:tc>
          <w:tcPr>
            <w:tcW w:w="1668" w:type="dxa"/>
          </w:tcPr>
          <w:p w:rsidR="00557779" w:rsidRPr="0010780A" w:rsidRDefault="001A56CF" w:rsidP="001A56CF">
            <w:pPr>
              <w:rPr>
                <w:rFonts w:ascii="Times New Roman" w:hAnsi="Times New Roman" w:cs="Times New Roman"/>
                <w:b/>
                <w:sz w:val="10"/>
                <w:szCs w:val="10"/>
              </w:rPr>
            </w:pPr>
            <w:r>
              <w:rPr>
                <w:rFonts w:ascii="Times" w:hAnsi="Times" w:cs="Times"/>
                <w:b/>
                <w:bCs/>
                <w:sz w:val="25"/>
                <w:szCs w:val="25"/>
              </w:rPr>
              <w:t>Na vedomie:</w:t>
            </w:r>
          </w:p>
        </w:tc>
        <w:tc>
          <w:tcPr>
            <w:tcW w:w="7878" w:type="dxa"/>
          </w:tcPr>
          <w:p w:rsidR="00557779" w:rsidRDefault="001A56CF" w:rsidP="001A56CF">
            <w:r>
              <w:rPr>
                <w:rFonts w:ascii="Times" w:hAnsi="Times" w:cs="Times"/>
                <w:sz w:val="25"/>
                <w:szCs w:val="25"/>
              </w:rPr>
              <w:t>predseda Národnej rady Slovenskej republiky</w:t>
            </w:r>
          </w:p>
        </w:tc>
      </w:tr>
    </w:tbl>
    <w:p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2"/>
  </w:compat>
  <w:rsids>
    <w:rsidRoot w:val="00E22B67"/>
    <w:rsid w:val="00000627"/>
    <w:rsid w:val="00061FED"/>
    <w:rsid w:val="00074658"/>
    <w:rsid w:val="000B34D9"/>
    <w:rsid w:val="0010780A"/>
    <w:rsid w:val="001655FD"/>
    <w:rsid w:val="00175B8A"/>
    <w:rsid w:val="001A56CF"/>
    <w:rsid w:val="001C429F"/>
    <w:rsid w:val="001D495F"/>
    <w:rsid w:val="00266B00"/>
    <w:rsid w:val="002B0D08"/>
    <w:rsid w:val="00356199"/>
    <w:rsid w:val="00372BCE"/>
    <w:rsid w:val="00376D2B"/>
    <w:rsid w:val="00402F32"/>
    <w:rsid w:val="004316EE"/>
    <w:rsid w:val="00456D57"/>
    <w:rsid w:val="004B350A"/>
    <w:rsid w:val="005151A4"/>
    <w:rsid w:val="00557779"/>
    <w:rsid w:val="00596D02"/>
    <w:rsid w:val="005B50D2"/>
    <w:rsid w:val="005E1E88"/>
    <w:rsid w:val="005E4BAF"/>
    <w:rsid w:val="006740F9"/>
    <w:rsid w:val="006A2A39"/>
    <w:rsid w:val="006B6F58"/>
    <w:rsid w:val="006F2EA0"/>
    <w:rsid w:val="006F3C1D"/>
    <w:rsid w:val="006F6506"/>
    <w:rsid w:val="007C2AD6"/>
    <w:rsid w:val="0081708C"/>
    <w:rsid w:val="008462F5"/>
    <w:rsid w:val="008503D4"/>
    <w:rsid w:val="008C3A96"/>
    <w:rsid w:val="0092640A"/>
    <w:rsid w:val="00976A51"/>
    <w:rsid w:val="009964F3"/>
    <w:rsid w:val="009C4F6D"/>
    <w:rsid w:val="00A3474E"/>
    <w:rsid w:val="00B07CB6"/>
    <w:rsid w:val="00B4274B"/>
    <w:rsid w:val="00BD2459"/>
    <w:rsid w:val="00BD562D"/>
    <w:rsid w:val="00BE47B1"/>
    <w:rsid w:val="00C0662A"/>
    <w:rsid w:val="00C604FB"/>
    <w:rsid w:val="00C82652"/>
    <w:rsid w:val="00C858E5"/>
    <w:rsid w:val="00CC3A18"/>
    <w:rsid w:val="00D26F72"/>
    <w:rsid w:val="00D30B43"/>
    <w:rsid w:val="00D912E3"/>
    <w:rsid w:val="00D97F1F"/>
    <w:rsid w:val="00DB346C"/>
    <w:rsid w:val="00DC50CF"/>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A44AC2-9F87-4376-8EAA-95E1C731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97F1F"/>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rsid w:val="00D97F1F"/>
    <w:pPr>
      <w:outlineLvl w:val="0"/>
    </w:pPr>
  </w:style>
  <w:style w:type="paragraph" w:styleId="Nadpis2">
    <w:name w:val="heading 2"/>
    <w:basedOn w:val="Normlny"/>
    <w:link w:val="Nadpis2Char"/>
    <w:uiPriority w:val="99"/>
    <w:qFormat/>
    <w:rsid w:val="00D97F1F"/>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97F1F"/>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sid w:val="00D97F1F"/>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3121">
      <w:bodyDiv w:val="1"/>
      <w:marLeft w:val="0"/>
      <w:marRight w:val="0"/>
      <w:marTop w:val="0"/>
      <w:marBottom w:val="0"/>
      <w:divBdr>
        <w:top w:val="none" w:sz="0" w:space="0" w:color="auto"/>
        <w:left w:val="none" w:sz="0" w:space="0" w:color="auto"/>
        <w:bottom w:val="none" w:sz="0" w:space="0" w:color="auto"/>
        <w:right w:val="none" w:sz="0" w:space="0" w:color="auto"/>
      </w:divBdr>
    </w:div>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214513690">
      <w:bodyDiv w:val="1"/>
      <w:marLeft w:val="0"/>
      <w:marRight w:val="0"/>
      <w:marTop w:val="0"/>
      <w:marBottom w:val="0"/>
      <w:divBdr>
        <w:top w:val="none" w:sz="0" w:space="0" w:color="auto"/>
        <w:left w:val="none" w:sz="0" w:space="0" w:color="auto"/>
        <w:bottom w:val="none" w:sz="0" w:space="0" w:color="auto"/>
        <w:right w:val="none" w:sz="0" w:space="0" w:color="auto"/>
      </w:divBdr>
    </w:div>
    <w:div w:id="444274378">
      <w:bodyDiv w:val="1"/>
      <w:marLeft w:val="0"/>
      <w:marRight w:val="0"/>
      <w:marTop w:val="0"/>
      <w:marBottom w:val="0"/>
      <w:divBdr>
        <w:top w:val="none" w:sz="0" w:space="0" w:color="auto"/>
        <w:left w:val="none" w:sz="0" w:space="0" w:color="auto"/>
        <w:bottom w:val="none" w:sz="0" w:space="0" w:color="auto"/>
        <w:right w:val="none" w:sz="0" w:space="0" w:color="auto"/>
      </w:divBdr>
    </w:div>
    <w:div w:id="568341982">
      <w:bodyDiv w:val="1"/>
      <w:marLeft w:val="0"/>
      <w:marRight w:val="0"/>
      <w:marTop w:val="0"/>
      <w:marBottom w:val="0"/>
      <w:divBdr>
        <w:top w:val="none" w:sz="0" w:space="0" w:color="auto"/>
        <w:left w:val="none" w:sz="0" w:space="0" w:color="auto"/>
        <w:bottom w:val="none" w:sz="0" w:space="0" w:color="auto"/>
        <w:right w:val="none" w:sz="0" w:space="0" w:color="auto"/>
      </w:divBdr>
    </w:div>
    <w:div w:id="1752197772">
      <w:bodyDiv w:val="1"/>
      <w:marLeft w:val="0"/>
      <w:marRight w:val="0"/>
      <w:marTop w:val="0"/>
      <w:marBottom w:val="0"/>
      <w:divBdr>
        <w:top w:val="none" w:sz="0" w:space="0" w:color="auto"/>
        <w:left w:val="none" w:sz="0" w:space="0" w:color="auto"/>
        <w:bottom w:val="none" w:sz="0" w:space="0" w:color="auto"/>
        <w:right w:val="none" w:sz="0" w:space="0" w:color="auto"/>
      </w:divBdr>
      <w:divsChild>
        <w:div w:id="2057392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Návrh-uznesenia"/>
    <f:field ref="objsubject" par="" edit="true" text=""/>
    <f:field ref="objcreatedby" par="" text="Hrivňáková, Simona"/>
    <f:field ref="objcreatedat" par="" text="6.8.2021 12:22:58"/>
    <f:field ref="objchangedby" par="" text="Administrator, System"/>
    <f:field ref="objmodifiedat" par="" text="6.8.2021 12:22:5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DBE0098-8432-4089-A6C3-89B31F21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205</Words>
  <Characters>1172</Characters>
  <Application>Microsoft Office Word</Application>
  <DocSecurity>0</DocSecurity>
  <Lines>9</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SPILAROVA Zuzana</cp:lastModifiedBy>
  <cp:revision>10</cp:revision>
  <cp:lastPrinted>2021-08-02T07:23:00Z</cp:lastPrinted>
  <dcterms:created xsi:type="dcterms:W3CDTF">2021-04-23T13:00:00Z</dcterms:created>
  <dcterms:modified xsi:type="dcterms:W3CDTF">2021-08-02T07:23:00Z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COO.2145.1000.3.4497098</vt:lpwstr>
  </property>
  <property name="FSC#FSCFOLIO@1.1001:docpropproject" pid="3" fmtid="{D5CDD505-2E9C-101B-9397-08002B2CF9AE}">
    <vt:lpwstr/>
  </property>
  <property name="FSC#SKEDITIONSLOVLEX@103.510:typpredpis" pid="4" fmtid="{D5CDD505-2E9C-101B-9397-08002B2CF9AE}">
    <vt:lpwstr>Poslanecký návrh - zákon</vt:lpwstr>
  </property>
  <property name="FSC#SKEDITIONSLOVLEX@103.510:stavpredpis" pid="5" fmtid="{D5CDD505-2E9C-101B-9397-08002B2CF9AE}">
    <vt:lpwstr>Medzirezortné pripomienkové konanie</vt:lpwstr>
  </property>
  <property name="FSC#SKEDITIONSLOVLEX@103.510:povodpredpis" pid="6" fmtid="{D5CDD505-2E9C-101B-9397-08002B2CF9AE}">
    <vt:lpwstr>Slovlex (eLeg)</vt:lpwstr>
  </property>
  <property name="FSC#SKEDITIONSLOVLEX@103.510:legoblast" pid="7" fmtid="{D5CDD505-2E9C-101B-9397-08002B2CF9AE}">
    <vt:lpwstr>Bezpečnosť a obrana štátu</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Simona Hrivňáková</vt:lpwstr>
  </property>
  <property name="FSC#SKEDITIONSLOVLEX@103.510:zodppredkladatel" pid="11" fmtid="{D5CDD505-2E9C-101B-9397-08002B2CF9AE}">
    <vt:lpwstr>Jaroslav Naď</vt:lpwstr>
  </property>
  <property name="FSC#SKEDITIONSLOVLEX@103.510:nazovpredpis" pid="12"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cislopredpis" pid="13" fmtid="{D5CDD505-2E9C-101B-9397-08002B2CF9AE}">
    <vt:lpwstr/>
  </property>
  <property name="FSC#SKEDITIONSLOVLEX@103.510:zodpinstitucia" pid="14" fmtid="{D5CDD505-2E9C-101B-9397-08002B2CF9AE}">
    <vt:lpwstr>Ministerstvo obrany Slovenskej republiky</vt:lpwstr>
  </property>
  <property name="FSC#SKEDITIONSLOVLEX@103.510:pripomienkovatelia" pid="15" fmtid="{D5CDD505-2E9C-101B-9397-08002B2CF9AE}">
    <vt:lpwstr>Ministerstvo obrany Slovenskej republiky, Ministerstvo obrany Slovenskej republiky, Ministerstvo obrany Slovenskej republiky, Ministerstvo obrany Slovenskej republiky, Ministerstvo obrany Slovenskej republiky</vt:lpwstr>
  </property>
  <property name="FSC#SKEDITIONSLOVLEX@103.510:autorpredpis" pid="16" fmtid="{D5CDD505-2E9C-101B-9397-08002B2CF9AE}">
    <vt:lpwstr/>
  </property>
  <property name="FSC#SKEDITIONSLOVLEX@103.510:podnetpredpis" pid="17" fmtid="{D5CDD505-2E9C-101B-9397-08002B2CF9AE}">
    <vt:lpwstr>§ 70 ods. 2 zákona NR SR č. 350/1996 Z. z. o rokovacom poriadku Národnej rady Slovenskej republiky v znení zákona č. 399/2015 Z. z.</vt:lpwstr>
  </property>
  <property name="FSC#SKEDITIONSLOVLEX@103.510:plnynazovpredpis" pid="18" fmtid="{D5CDD505-2E9C-101B-9397-08002B2CF9AE}">
    <vt:lpwstr> Návrh poslancov Národnej rady Slovenskej republiky Anny ZEMANOVEJ, Juraja KRÚPU, Petra PČOLINSKÉHO a Jána BENČÍKA na vydanie zákona, ktorým sa dopĺňa zákon č. 319/2002 Z. z. o obrane Slovenskej republiky v znení neskorších predpisov a ktorým sa dopĺňa zá</vt:lpwstr>
  </property>
  <property name="FSC#SKEDITIONSLOVLEX@103.510:rezortcislopredpis" pid="19" fmtid="{D5CDD505-2E9C-101B-9397-08002B2CF9AE}">
    <vt:lpwstr>SELPOdL-249-1/2021</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LP/2021/434</vt:lpwstr>
  </property>
  <property name="FSC#SKEDITIONSLOVLEX@103.510:typsprievdok" pid="29" fmtid="{D5CDD505-2E9C-101B-9397-08002B2CF9AE}">
    <vt:lpwstr>Návrh uznesenia vlády Slovenskej republiky</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
  </property>
  <property name="FSC#SKEDITIONSLOVLEX@103.510:AttrStrDocPropVplyvPodnikatelskeProstr" pid="53" fmtid="{D5CDD505-2E9C-101B-9397-08002B2CF9AE}">
    <vt:lpwstr/>
  </property>
  <property name="FSC#SKEDITIONSLOVLEX@103.510:AttrStrDocPropVplyvSocialny" pid="54" fmtid="{D5CDD505-2E9C-101B-9397-08002B2CF9AE}">
    <vt:lpwstr/>
  </property>
  <property name="FSC#SKEDITIONSLOVLEX@103.510:AttrStrDocPropVplyvNaZivotProstr" pid="55" fmtid="{D5CDD505-2E9C-101B-9397-08002B2CF9AE}">
    <vt:lpwstr/>
  </property>
  <property name="FSC#SKEDITIONSLOVLEX@103.510:AttrStrDocPropVplyvNaInformatizaciu" pid="56" fmtid="{D5CDD505-2E9C-101B-9397-08002B2CF9AE}">
    <vt:lpwstr/>
  </property>
  <property name="FSC#SKEDITIONSLOVLEX@103.510:AttrStrListDocPropPoznamkaVplyv" pid="57" fmtid="{D5CDD505-2E9C-101B-9397-08002B2CF9AE}">
    <vt:lpwstr/>
  </property>
  <property name="FSC#SKEDITIONSLOVLEX@103.510:AttrStrListDocPropAltRiesenia" pid="58" fmtid="{D5CDD505-2E9C-101B-9397-08002B2CF9AE}">
    <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justify;"&gt;&amp;nbsp;&amp;nbsp;&amp;nbsp;&amp;nbsp;&amp;nbsp;&amp;nbsp;&amp;nbsp;&amp;nbsp;&amp;nbsp;&amp;nbsp; Podľa § 70 ods. 2 zákona Národnej rady Slovenskej republiky č. 350/1996 Z. z. o&amp;nbsp;rokovacom poriadku Národnej rady Slovenskej republiky v&amp;nbsp;znení zákona č. 399/2015 Z. z. predkladá Ministerstvo obrany Slovenskej republiky na rokovanie vlády Slovenskej republiky materiál „Návrh poslancov Národnej rady Slovenskej republiky Anny Zemanovej, Juraja Krúpu, Petra Pčolinského a Jána Benčíka na vydanie zákona, ktorým sa dopĺňa zákon č. 319/2002 Z. z. o obrane Slovenskej republiky v znení neskorších predpisov a ktorým sa dopĺňa zákon č. 211/2000 Z. z. o slobodnom prístupe k informáciám a o zmene a doplnení niektorých zákonov (zákon o slobode informácií) v znení neskorších predpisov (tlač 585)“.&lt;/p&gt;&lt;p style="text-align: justify;"&gt;&lt;strong&gt;Všeobecne&lt;/strong&gt;&lt;/p&gt;&lt;p style="text-align: justify;"&gt;&amp;nbsp;&amp;nbsp;&amp;nbsp;&amp;nbsp;&amp;nbsp;&amp;nbsp;&amp;nbsp;&amp;nbsp;&amp;nbsp;&amp;nbsp;&amp;nbsp; Poslanci Národnej rady Slovenskej republiky &amp;nbsp;predložili na rokovanie Národnej rady Slovenskej republiky návrh na vydanie zákona, ktorým sa dopĺňa zákon č. 319/2002 Z. z. o obrane Slovenskej republiky v znení neskorších predpisov a ktorým sa dopĺňa zákon č. 211/2000 Z. z.&amp;nbsp;o slobodnom prístupe k informáciám a o zmene a doplnení niektorých zákonov (zákon o slobode informácií) v znení neskorších predpisov, ktorého cieľom je ochrániť objekty obrannej infraštruktúry a&amp;nbsp;jadrové zariadenia pred nežiaducim únikom vysoko citlivých informácií o&amp;nbsp;technických detailoch ich stavebno-technického vyhotovenia. Zo zneprístupnenia sa majú vylúčiť tie časti projektovej dokumentácie, ktoré sú nositeľom informácie o&amp;nbsp;vplyve danej stavby na životné prostredie. Ostatné časti projektovej dokumentácie, vrátane výkresovej časti, ktorá obsahuje nákresy a&amp;nbsp;popisy podlaží, hrúbky a&amp;nbsp;materiály stien, vchody, východy, prechody, pozdĺžne a&amp;nbsp;priečne rezy, usporiadanie miestností, presvetlenie, technické vybavenie a&amp;nbsp;iné obdobné detaily o&amp;nbsp;stavebno-technickom vyhotovení danej stavby sa zverejňovať nebudú. Návrhom zákona sa reaguje na množiace sa žiadosti rôznych osôb z&amp;nbsp;radov verejnosti o&amp;nbsp;prístup k&amp;nbsp;takýmto druhom dokumentov v&amp;nbsp;rámci rôznych povoľovacích konaní, ako aj prostredníctvom podávania žiadostí o&amp;nbsp;sprístupnenie informácií podľa zákona o&amp;nbsp;slobode informácií.&lt;/p&gt;&lt;p style="text-align: justify;"&gt;&amp;nbsp;&amp;nbsp;&amp;nbsp;&amp;nbsp;&amp;nbsp;&amp;nbsp;&amp;nbsp;&amp;nbsp;&amp;nbsp;&amp;nbsp;&amp;nbsp; Predložený poslanecký návrh zákona bude mať pozitívny vplyv na podnikateľské prostredie a&amp;nbsp;bude mať pozitívne sociálne vplyvy. Návrh zákona nebude mať vplyv na rozpočet verejnej správy, životné prostredie, informatizáciu spoločnosti, služby pre občana a&amp;nbsp;ani na manželstvo, rodičovstvo a&amp;nbsp;rodinu.&lt;/p&gt;&lt;p style="text-align: justify;"&gt;&amp;nbsp;&amp;nbsp;&amp;nbsp;&amp;nbsp;&amp;nbsp;&amp;nbsp;&amp;nbsp;&amp;nbsp;&amp;nbsp;&amp;nbsp;&amp;nbsp; Podľa navrhovateľov je poslanecký návrh zákona v súlade s Ústavou Slovenskej republiky, ústavnými zákonmi, medzinárodnými zmluvami, ktorými je Slovenská republika viazaná, zákonmi a ostatnými všeobecne záväznými právnymi predpismi.&lt;/p&gt;&lt;p style="text-align: justify;"&gt;&amp;nbsp;&amp;nbsp;&amp;nbsp;&amp;nbsp;&amp;nbsp;&amp;nbsp;&amp;nbsp;&amp;nbsp;&amp;nbsp;&amp;nbsp;&amp;nbsp;&lt;strong&gt;Stanovisko Ministerstva obrany Slovenskej republiky&lt;/strong&gt;&lt;/p&gt;&lt;p style="text-align: justify;"&gt;&amp;nbsp;&amp;nbsp;&amp;nbsp;&amp;nbsp;&amp;nbsp;&amp;nbsp;&amp;nbsp;&amp;nbsp;&amp;nbsp;&amp;nbsp;&amp;nbsp; Ministerstvo obrany Slovenskej republiky (ďalej len „ministerstvo“) zaujíma&amp;nbsp;k predloženému návrhu poslancov Národnej rady Slovenskej republiky Anny Zemanovej, Juraja Krúpu, Petra Pčolinského a Jána Benčíka na vydanie zákona, ktorým sa dopĺňa zákon&amp;nbsp;č. 319/2002 Z. z. o obrane Slovenskej republiky v znení neskorších predpisov a ktorým sa dopĺňa zákon č. 211/2000 Z. z. o slobodnom prístupe k informáciám a o zmene a doplnení niektorých zákonov (zákon o slobode informácií) v znení neskorších predpisov, toto stanovisko:&lt;/p&gt;&lt;p style="text-align: justify;"&gt;&amp;nbsp;&amp;nbsp;&amp;nbsp;&amp;nbsp;&amp;nbsp;&amp;nbsp;&amp;nbsp;&amp;nbsp;&amp;nbsp; V Čl. I&amp;nbsp;poslaneckého návrhu zákona sa navrhuje v&amp;nbsp;zákone č. 319/2002 Z. z. o obrane Slovenskej republiky v znení neskorších predpisov (ďalej len „zákon &amp;nbsp;&amp;nbsp;č. 319/2002 Z. z.“) doplniť do § 27 odsek 8, na základe ktorého sa projektová dokumentácia vrátane výkresovej dokumentácie objektov osobitnej dôležitosti a ďalších dôležitých objektov vo vybraných konaniach podľa zákona č. 50/1976 Zb. o územnom plánovaní a stavebnom poriadku (stavebný zákon) v znení neskorších predpisov (ďalej len „stavebný zákon“) a zákona č. 541/2004 Z. z. o mierovom využívaní jadrovej energie (atómový zákon) a o zmene a doplnení niektorých zákonov v znení neskorších predpisov (ďalej len „atómový zákon“) nezverejňuje a neposkytuje k nahliadnutiu iným účastníkom konania, s výnimkou častí tejto dokumentácie o vplyvoch stavby na životné prostredie. K&amp;nbsp;navrhovaným úpravám zákona č. 319/2002 Z. z. ministerstvo uplatňuje nasledovné pripomienky.&lt;/p&gt;&lt;p style="text-align: justify;"&gt;&amp;nbsp;&amp;nbsp;&amp;nbsp;&amp;nbsp;&amp;nbsp;&amp;nbsp;&amp;nbsp;&amp;nbsp;&amp;nbsp; Navrhovaný odsek 8 § 27 zákona č. 319/2002 Z. z. predstavuje nepriamu novelizáciu stavebného zákona, ktorá je podľa § 6 ods. 1 zákona č. 400/2015 Z. z. o tvorbe právnych predpisov a o Zbierke zákonov Slovenskej republiky a o zmene a doplnení niektorých zákonov v znení neskorších predpisov neprípustná. Nepriamou novelizáciou sa pritom rozumie zmena alebo doplnenie iného právneho predpisu ustanoveniami navrhovaného právneho predpisu bez uvedenia úplnej citácie jeho názvu v samostatnom článku. Podstatou nepriamej novelizácie v tomto prípade je, že obsah navrhovaného odseku 8 § 27 zákona č. 319/2002 Z. z. zasahuje do úpravy stavebného zákona. Problematiku zverejňovania a poskytovania projektovej dokumentácie objektov osobitnej dôležitosti a ďalších dôležitých objektov je preto nutné upraviť priamo v stavebnom zákone.&lt;/p&gt;&lt;p style="text-align: justify;"&gt;&amp;nbsp;&amp;nbsp;&amp;nbsp;&amp;nbsp;&amp;nbsp;&amp;nbsp;&amp;nbsp;&amp;nbsp;&amp;nbsp; Pri výklade pojmov „nahliadnutie“ a „iní účastníci konania“ môže dôjsť k&amp;nbsp;interpretačným nejasnostiam, a to v súvislosti s používaním odlišných pojmov v rámci stavebného zákona, na ktorý navrhovaný&amp;nbsp;odsek 8 § 27 zákona č. 319/2001 Z. z. odkazuje.&lt;/p&gt;&lt;p style="text-align: justify;"&gt;&amp;nbsp;&amp;nbsp;&amp;nbsp;&amp;nbsp;&amp;nbsp;&amp;nbsp;&amp;nbsp;&amp;nbsp;&amp;nbsp; Problematika „nahliadania“ do administratívneho spisu je v stavebnom zákone upravená iba v súvislosti s obstarávaním územnoplánovacej dokumentácie, konkrétne vo forme verejného nahliadnutia do zadania územného plánu (§ 20 ods. 3 stavebného zákona), verejného nahliadnutia do konceptu územnoplánovacej dokumentácie (§ 21 ods. 3 stavebného zákona) a verejného nahliadnutia do návrhu územnoplánovacej dokumentácie (§ 22 ods. 1 stavebného zákona). Naproti tomu „nazeranie"&amp;nbsp;do administratívneho spisu je v stavebnom zákone upravené iba v § 100&amp;nbsp;písm. a) v súvislosti s povinnosťou stavebníka, oprávnenej osoby alebo právnickej osoby uskutočňujúcej alebo odstraňujúcej stavbu umožniť orgánom štátneho stavebného dozoru nazerať do ich dokumentácie, ďalej v § 133 v súvislosti s povinnosťou orgánov územného plánovania&amp;nbsp;a stavebných úradov umožniť fyzickým osobám a právnickým osobám, ktoré preukážu odôvodnenosť svojej požiadavky nazerať do tejto dokumentácie a robiť si z nej výpisy, a tiež&amp;nbsp;v § 140a v súvislosti s právom dotknutého orgánu nazerať do spisov v rámci konaní vedených podľa stavebného zákona. Nazeranie do spisu v rámci konaní vedených podľa stavebného zákona sa navyše subsidiárne spravuje ustanovením § 23 zákona č. 71/1967 Zb. o správnom konaní (správny poriadok) v znení neskorších predpisov (ďalej len „správny poriadok“).&lt;/p&gt;&lt;p style="text-align: justify;"&gt;&amp;nbsp;&amp;nbsp;&amp;nbsp;&amp;nbsp;&amp;nbsp;&amp;nbsp;&amp;nbsp;&amp;nbsp; Vzhľadom na skutočnosť, že v stavebnom zákone sa rozlišuje medzi „verejným nahliadaním“ a „nazeraním“ do spisu, resp. do územnoplánovacej dokumentácie alebo dokumentácie stavieb, nie je jasné, ako treba interpretovať pojem „nahliadanie“ v súvislosti&amp;nbsp;s projektovou dokumentáciou objektov osobitnej dôležitosti a ďalších dôležitých objektov. Predovšetkým nie je zrejmé, či sa tento pojem má interpretovať extenzívne, t. j. v zmysle verejného nahliadania do tejto dokumentácie zo strany bližšie neurčeného okruhu osôb, alebo ho treba interpretovať reštriktívne, t. j. v zmysle režimu nazerania do spisu podľa správneho poriadku, ktorý iným osobám než účastníkom konania, ich zástupcom, zúčastneným osobám, verejnému ochrancovi práv, komisárovi pre deti a komisárovi pre osoby so zdravotným postihnutím&amp;nbsp;v súvislosti s výkonom ich pôsobnosti umožňuje nazerať do spisu iba vtedy, ak tieto osoby preukážu odôvodnenosť svojej požiadavky.&lt;/p&gt;&lt;p style="text-align: justify;"&gt;&amp;nbsp;&amp;nbsp;&amp;nbsp;&amp;nbsp;&amp;nbsp;&amp;nbsp;&amp;nbsp;&amp;nbsp;&amp;nbsp; Pokiaľ potom ide o pojem „iní účastníci konania“, nie je zrejmé, ktoré subjekty predkladateľ návrhu novely pod tento pojem zahŕňa. Stavebný zákon totiž rozlišuje niekoľko rôznych definícií účastníkov konaní, a to napríklad pre potreby stavebného konania (§ 59 ods. 1 stavebného zákona) alebo kolaudačného konania (§ 78 ods. 1 a 2 stavebného konania). V tejto súvislosti je potom mätúca najmä skutočnosť, že nie je jasné kto by mal byť „iným účastníkom konania“, keď účastníkov jednotlivých konaní podľa stavebného zákona tento predpis priamo definuje.&lt;/p&gt;&lt;p style="text-align: justify;"&gt;&amp;nbsp;&amp;nbsp;&amp;nbsp;&amp;nbsp;&amp;nbsp;&amp;nbsp;&amp;nbsp;&amp;nbsp;&amp;nbsp; Ďalej tiež treba poukázať na skutočnosť, že navrhovaný odsek 8 § 27 zákona č. 319/2002 Z. z. je nadbytočný, pretože projektová dokumentácia objektov osobitnej dôležitosti a ďalších dôležitých objektov podlieha utajeniu podľa zákona č. 215/2004 Z. z. o ochrane utajovaných skutočností a o zmene a doplnení niektorých zákonov v znení neskorších predpisov, a ako taká potom v zmysle ustanovenia § 125 ods. 5 stavebného zákona a s ohľadom na ustanovenie § 11 ods. 1 písm. i) zákona č. 211/2000 Z. z. o slobodnom prístupe k informáciám a o zmene a doplnení niektorých zákonov (zákon o slobode informácií) v znení neskorších predpisov (ďalej len „zákon o slobode informácií“) nepodlieha sprístupneniu dotknutej verejnosti v rámci konaní o posúdenie vplyvu stavby na životné prostredie podľa zákona č. 24/2006 Z. z. o posudzovaní vplyvov na životné prostredie a o zmene a doplnení niektorých zákonov v znení neskorších predpisov, pretože ich sprístupnenie by mohlo nepriaznivo ovplyvniť bezpečnosť verejnosti. Pokiaľ teda ide o zamedzenie prístupu nepovolaných osôb k projektovej dokumentácii objektov osobitnej dôležitosti a ďalších dôležitých objektov, navrhované ustanovenie § 27 ods. 8 zákona&lt;br /&gt;č. 319/2002 Z. z. sleduje ten istý cieľ ako ustanovenie § 125 ods. 5 stavebného zákona a § 11 ods. 1 písm. i) zákona o slobode informácií, a preto by jeho doplnenie do zákona č. 319/2002 Z. z. malo za následok vytvorenie duplicitnej právnej úpravy tých istých právnych vzťahov.&lt;/p&gt;&lt;p style="text-align: justify;"&gt;&amp;nbsp;&amp;nbsp;&amp;nbsp;&amp;nbsp;&amp;nbsp;&amp;nbsp;&amp;nbsp;&amp;nbsp;&amp;nbsp; Navyše pokiaľ ide o výnimku z tohto pravidla, ktorá je upravená v druhej vete navrhovaného odseku 8 § 27 zákona č. 319/2002 Z. z. a podľa ktorej sa účastníkom konania môžu zverejniť alebo poskytnúť časti projektovej dokumentácie o vplyve stavby na životné prostredie, táto nežiaducim spôsobom vytvára priestor pre obídenie ustanovenia § 125 ods. 5 stavebného zákona. Podľa ustanovenia § 125 ods. 5 stavebného zákona totiž stavebný úrad projektovú dokumentáciu odmietne sprístupniť, ak by jej sprístupnenie mohlo nepriaznivo ovplyvniť bezpečnosť verejnosti. Druhá veta navrhovaného odseku 8 § 27 zákona&amp;nbsp; č. 319/2002 Z. z. však neupravuje možnosť odmietnuť sprístupniť projektovú dokumentáciu, ak by jej sprístupnenie mohlo nepriaznivo ovplyvniť bezpečnosť verejnosti. Stavebný úrad by tak v zákone č. 319/2002 Z. z. nemal žiadnu oporu pre zdôvodnenie prípadného zamietavého rozhodnutia, ktorým by účastníkom konania alebo dotknutej verejnosti projektovú dokumentáciu odmietol sprístupniť. Úpravu podmienok, za akých stavebný úrad môže odmietnuť sprístupniť projektovú dokumentáciu, pritom treba považovať za viac než žiaducu, pretože aj čl. 4 ods. 4 písm. b) Aarhuského dohovoru umožňuje zamietnuť žiadosť o informáciu o životnom prostredí, ak by jej zverejnenie nepriaznivo ovplyvnilo medzinárodné vzťahy, obranu štátu alebo bezpečnosť verejnosti.&lt;/p&gt;&lt;p style="text-align: justify;"&gt;&amp;nbsp;&amp;nbsp;&amp;nbsp;&amp;nbsp;&amp;nbsp;&amp;nbsp;&amp;nbsp;&amp;nbsp;&amp;nbsp; K Čl. II poslaneckého návrhu zákona tiež treba podotknúť, že platné znenie zákona o slobode informácií už v § 11 ods. 1 písm. i) povinnej osobe ukladá povinnosť obmedziť sprístupnenie informácie alebo informáciu nesprístupniť, ak ide o dokumentáciu, ktorá obsahuje informácie, ktorých zverejnenie by sa mohlo použiť na plánovanie a vykonanie činností s cieľom spôsobiť narušenie alebo zničenie jadrového zariadenia alebo objektov osobitnej dôležitosti a ďalších dôležitých objektov podľa osobitných predpisov. Všeobecný pojem „dokumentácia“ pritom zahŕňa aj projektovú dokumentáciu podľa stavebného zákona, a preto možno na základe citovaného ustanovenia zákona o slobode informácií obmedziť sprístupnenie projektovej dokumentácie&amp;nbsp; jadrového zariadenia alebo objektov osobitnej dôležitosti a ďalších dôležitých objektov alebo ju úplne nesprístupniť. Doplnenie písmena j) do § 11 ods. 1 zákona o slobode informácií, ktorý vo svojich základoch sleduje rovnaký účel ako § 11 ods. 1 písm. i), je preto nadbytočné z dôvodu vytvárania duplicitnej úpravy tých istých právnych vzťahov. V prípade výnimky z postupu podľa navrhovaného § 11 ods. 1 písm. j), umožňujúcej zverejnenie časti projektovej dokumentácie o vplyvoch na životné prostredie, platí vyššie uvedené stanovisko ministerstva k rovnakej výnimke, upravenej v druhej vete navrhovaného odseku 8 § 27 zákona č. 319/2002 Z. z.&lt;/p&gt;&lt;p style="text-align: justify;"&gt;&amp;nbsp;&amp;nbsp;&amp;nbsp;&amp;nbsp;&amp;nbsp;&amp;nbsp;&amp;nbsp;&amp;nbsp;&amp;nbsp;&amp;nbsp;&amp;nbsp; Odporúčame poslancom Národnej rady Slovenskej republiky upraviť poslanecký návrh v&amp;nbsp;súlade s&amp;nbsp;uvedenými pripomienkami.&lt;/p&gt;&lt;p style="text-align: justify;"&gt;&amp;nbsp;&lt;strong&gt;Záver&lt;/strong&gt;&lt;/p&gt;&lt;p style="text-align: justify;"&gt;&amp;nbsp;&amp;nbsp;&amp;nbsp;&amp;nbsp;&amp;nbsp;&amp;nbsp;&amp;nbsp;&amp;nbsp;&amp;nbsp;&amp;nbsp;&amp;nbsp; Ministerstvo obrany Slovenskej republiky, vzhľadom na uvedené, odporúča vláde Slovenskej republiky &lt;strong&gt;vysloviť&lt;/strong&gt; s&amp;nbsp; návrhom poslancov Národnej rady Slovenskej republiky Anny Zemanovej, Juraja Krúpu, Petra Pčolinského a Jána Benčíka na vydanie zákona, ktorým sa dopĺňa zákon č. 319/2002 Z. z.&amp;nbsp; o obrane Slovenskej republiky v znení neskorších predpisov a ktorým sa dopĺňa zákon č. 211/2000 Z. z. o slobodnom prístupe k informáciám a o zmene a doplnení niektorých zákonov (zákon o slobode informácií) v znení neskorších predpisov (tlač 585) &lt;strong&gt;po zohľadnení uplatnených pripomienok&lt;/strong&gt; &lt;strong&gt;súhlas&lt;/strong&gt;.&lt;/p&gt;</vt:lpwstr>
  </property>
  <property name="FSC#SKEDITIONSLOVLEX@103.510:dalsipredkladatel" pid="132" fmtid="{D5CDD505-2E9C-101B-9397-08002B2CF9AE}">
    <vt:lpwstr/>
  </property>
  <property name="FSC#SKEDITIONSLOVLEX@103.510:funkciaPred" pid="133" fmtid="{D5CDD505-2E9C-101B-9397-08002B2CF9AE}">
    <vt:lpwstr>užívateľ</vt:lpwstr>
  </property>
  <property name="FSC#SKEDITIONSLOVLEX@103.510:funkciaPredAkuzativ" pid="134" fmtid="{D5CDD505-2E9C-101B-9397-08002B2CF9AE}">
    <vt:lpwstr>užívateľa</vt:lpwstr>
  </property>
  <property name="FSC#SKEDITIONSLOVLEX@103.510:funkciaPredDativ" pid="135" fmtid="{D5CDD505-2E9C-101B-9397-08002B2CF9AE}">
    <vt:lpwstr>užívateľovi</vt:lpwstr>
  </property>
  <property name="FSC#SKEDITIONSLOVLEX@103.510:funkciaZodpPred" pid="136" fmtid="{D5CDD505-2E9C-101B-9397-08002B2CF9AE}">
    <vt:lpwstr>minister obrany</vt:lpwstr>
  </property>
  <property name="FSC#SKEDITIONSLOVLEX@103.510:funkciaZodpPredAkuzativ" pid="137" fmtid="{D5CDD505-2E9C-101B-9397-08002B2CF9AE}">
    <vt:lpwstr>ministra obrany Slovenskej republiky</vt:lpwstr>
  </property>
  <property name="FSC#SKEDITIONSLOVLEX@103.510:funkciaZodpPredDativ" pid="138" fmtid="{D5CDD505-2E9C-101B-9397-08002B2CF9AE}">
    <vt:lpwstr>ministrovi obrany Slovenskej republiky</vt:lpwstr>
  </property>
  <property name="FSC#SKEDITIONSLOVLEX@103.510:funkciaDalsiPred" pid="139" fmtid="{D5CDD505-2E9C-101B-9397-08002B2CF9AE}">
    <vt:lpwstr/>
  </property>
  <property name="FSC#SKEDITIONSLOVLEX@103.510:funkciaDalsiPredAkuzativ" pid="140" fmtid="{D5CDD505-2E9C-101B-9397-08002B2CF9AE}">
    <vt:lpwstr/>
  </property>
  <property name="FSC#SKEDITIONSLOVLEX@103.510:funkciaDalsiPredDativ" pid="141" fmtid="{D5CDD505-2E9C-101B-9397-08002B2CF9AE}">
    <vt:lpwstr/>
  </property>
  <property name="FSC#SKEDITIONSLOVLEX@103.510:predkladateliaObalSD" pid="142" fmtid="{D5CDD505-2E9C-101B-9397-08002B2CF9AE}">
    <vt:lpwstr>Jaroslav Naď_x000d__x000a_minister obrany</vt:lpwstr>
  </property>
  <property name="FSC#SKEDITIONSLOVLEX@103.510:spravaucastverej" pid="143" fmtid="{D5CDD505-2E9C-101B-9397-08002B2CF9AE}">
    <vt:lpwstr>&lt;p style="margin: 0cm 0cm 0pt;"&gt;Vzhľadom na skutočnosť, že ide o poslanecký návrh zákona, verejnosť sa na jeho príprave nepodieľala.&lt;/p&gt;</vt:lpwstr>
  </property>
  <property name="FSC#SKEDITIONSLOVLEX@103.510:cisloparlamenttlac" pid="144" fmtid="{D5CDD505-2E9C-101B-9397-08002B2CF9AE}">
    <vt:lpwstr/>
  </property>
  <property name="FSC#SKEDITIONSLOVLEX@103.510:nazovpredpis1" pid="145" fmtid="{D5CDD505-2E9C-101B-9397-08002B2CF9AE}">
    <vt:lpwstr>kon č. 211/2000 Z. z. o slobodnom prístupe k informáciám a o zmene a doplnení niektorých zákonov (zákon o slobode informácií) v znení neskorších predpisov (tlač 585)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kon č. 211/2000 Z. z. o slobodnom prístupe k informáciám a o zmene a doplnení niektorých zákonov (zákon o slobode informácií) v znení neskorších predpisov (tlač 585)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2021</vt:lpwstr>
  </property>
  <property name="FSC#SKEDITIONSLOVLEX@103.510:vytvorenedna" pid="152" fmtid="{D5CDD505-2E9C-101B-9397-08002B2CF9AE}">
    <vt:lpwstr>6. 8. 2021</vt:lpwstr>
  </property>
</Properties>
</file>