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13" w:rsidRDefault="00591613" w:rsidP="00591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591613" w:rsidRDefault="00591613" w:rsidP="00591613">
      <w:pPr>
        <w:contextualSpacing/>
        <w:jc w:val="both"/>
        <w:rPr>
          <w:b/>
        </w:rPr>
      </w:pPr>
    </w:p>
    <w:p w:rsidR="00591613" w:rsidRPr="00591613" w:rsidRDefault="00591613" w:rsidP="00591613">
      <w:pPr>
        <w:pStyle w:val="Odsekzoznamu"/>
        <w:numPr>
          <w:ilvl w:val="0"/>
          <w:numId w:val="2"/>
        </w:numPr>
        <w:contextualSpacing/>
        <w:jc w:val="both"/>
        <w:rPr>
          <w:b/>
        </w:rPr>
      </w:pPr>
      <w:r w:rsidRPr="00591613">
        <w:rPr>
          <w:b/>
        </w:rPr>
        <w:t>Osobitná časť</w:t>
      </w:r>
    </w:p>
    <w:p w:rsidR="00591613" w:rsidRPr="00511D7F" w:rsidRDefault="00591613" w:rsidP="00591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91613" w:rsidRPr="00511D7F" w:rsidRDefault="00591613" w:rsidP="00591613">
      <w:pPr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11D7F">
        <w:rPr>
          <w:rFonts w:ascii="Times New Roman" w:hAnsi="Times New Roman"/>
          <w:b/>
          <w:sz w:val="24"/>
          <w:szCs w:val="24"/>
        </w:rPr>
        <w:t> čl. I</w:t>
      </w:r>
    </w:p>
    <w:p w:rsidR="00591613" w:rsidRPr="00F11A32" w:rsidRDefault="00591613" w:rsidP="00591613">
      <w:pPr>
        <w:spacing w:after="0"/>
        <w:jc w:val="both"/>
        <w:rPr>
          <w:rFonts w:ascii="Times New Roman" w:hAnsi="Times New Roman"/>
          <w:b/>
          <w:strike/>
          <w:sz w:val="24"/>
          <w:szCs w:val="24"/>
        </w:rPr>
      </w:pPr>
      <w:r w:rsidRPr="00F11A32">
        <w:rPr>
          <w:rFonts w:ascii="Times New Roman" w:hAnsi="Times New Roman"/>
          <w:b/>
          <w:sz w:val="24"/>
          <w:szCs w:val="24"/>
        </w:rPr>
        <w:t xml:space="preserve">K bodu 1 </w:t>
      </w:r>
    </w:p>
    <w:p w:rsidR="00591613" w:rsidRPr="00F11A32" w:rsidRDefault="00591613" w:rsidP="00591613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F11A32">
        <w:rPr>
          <w:rFonts w:ascii="Times New Roman" w:hAnsi="Times New Roman"/>
          <w:sz w:val="24"/>
          <w:szCs w:val="24"/>
        </w:rPr>
        <w:t xml:space="preserve">Na základe smernice (EÚ) 2019/1834 </w:t>
      </w:r>
      <w:r w:rsidRPr="00F11A32">
        <w:rPr>
          <w:rStyle w:val="Siln"/>
          <w:b w:val="0"/>
          <w:bCs/>
          <w:iCs/>
          <w:sz w:val="24"/>
          <w:szCs w:val="24"/>
        </w:rPr>
        <w:t>z 24. októbra 2019</w:t>
      </w:r>
      <w:r w:rsidRPr="00F11A32">
        <w:rPr>
          <w:rFonts w:ascii="Times New Roman" w:hAnsi="Times New Roman"/>
          <w:sz w:val="24"/>
          <w:szCs w:val="24"/>
        </w:rPr>
        <w:t xml:space="preserve">, ktorou sa menia prílohy II a IV </w:t>
      </w:r>
      <w:r w:rsidRPr="00F11A32">
        <w:rPr>
          <w:rFonts w:ascii="Times New Roman" w:hAnsi="Times New Roman"/>
          <w:sz w:val="24"/>
          <w:szCs w:val="24"/>
        </w:rPr>
        <w:br/>
        <w:t>k smernici 92/29/EHS v platnom znení, pokiaľ ide o čisto technické úpravy</w:t>
      </w:r>
      <w:r w:rsidRPr="00F11A32">
        <w:rPr>
          <w:rStyle w:val="Siln"/>
          <w:bCs/>
          <w:iCs/>
          <w:sz w:val="24"/>
          <w:szCs w:val="24"/>
        </w:rPr>
        <w:t xml:space="preserve"> </w:t>
      </w:r>
      <w:r w:rsidRPr="00F11A32">
        <w:rPr>
          <w:rFonts w:ascii="Times New Roman" w:hAnsi="Times New Roman"/>
          <w:sz w:val="24"/>
          <w:szCs w:val="24"/>
        </w:rPr>
        <w:t>sa nahrádza príloha</w:t>
      </w:r>
      <w:r w:rsidR="002E5CB1">
        <w:rPr>
          <w:rFonts w:ascii="Times New Roman" w:hAnsi="Times New Roman"/>
          <w:sz w:val="24"/>
          <w:szCs w:val="24"/>
        </w:rPr>
        <w:t xml:space="preserve"> č.</w:t>
      </w:r>
      <w:r w:rsidRPr="00F11A32">
        <w:rPr>
          <w:rFonts w:ascii="Times New Roman" w:hAnsi="Times New Roman"/>
          <w:sz w:val="24"/>
          <w:szCs w:val="24"/>
        </w:rPr>
        <w:t xml:space="preserve"> 2 v súčasnosti platného nariadenia vlády, pričom dochádza k nahradeniu alebo vypusteniu nasledujúcich druhov liekov a zdravotníckeho vybavenia v týchto bodoch:</w:t>
      </w:r>
    </w:p>
    <w:p w:rsidR="00591613" w:rsidRDefault="00591613" w:rsidP="0059161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/>
          <w:strike/>
          <w:sz w:val="24"/>
          <w:szCs w:val="24"/>
        </w:rPr>
      </w:pPr>
      <w:r w:rsidRPr="00F11A32">
        <w:rPr>
          <w:rFonts w:ascii="Times New Roman" w:hAnsi="Times New Roman"/>
          <w:b/>
          <w:sz w:val="24"/>
          <w:szCs w:val="24"/>
        </w:rPr>
        <w:t>V časti I- Lieky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F11A32">
        <w:rPr>
          <w:rFonts w:ascii="Times New Roman" w:hAnsi="Times New Roman"/>
          <w:sz w:val="24"/>
          <w:szCs w:val="24"/>
        </w:rPr>
        <w:t>- 1. Kardiovaskulárne lieky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F11A32">
        <w:rPr>
          <w:rFonts w:ascii="Times New Roman" w:hAnsi="Times New Roman"/>
          <w:sz w:val="24"/>
          <w:szCs w:val="24"/>
        </w:rPr>
        <w:t xml:space="preserve">- 2. </w:t>
      </w:r>
      <w:proofErr w:type="spellStart"/>
      <w:r w:rsidRPr="00F11A32">
        <w:rPr>
          <w:rFonts w:ascii="Times New Roman" w:hAnsi="Times New Roman"/>
          <w:sz w:val="24"/>
          <w:szCs w:val="24"/>
        </w:rPr>
        <w:t>Gastrointestinány</w:t>
      </w:r>
      <w:proofErr w:type="spellEnd"/>
      <w:r w:rsidRPr="00F11A32">
        <w:rPr>
          <w:rFonts w:ascii="Times New Roman" w:hAnsi="Times New Roman"/>
          <w:sz w:val="24"/>
          <w:szCs w:val="24"/>
        </w:rPr>
        <w:t xml:space="preserve"> systém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F11A32">
        <w:rPr>
          <w:rFonts w:ascii="Times New Roman" w:hAnsi="Times New Roman"/>
          <w:sz w:val="24"/>
          <w:szCs w:val="24"/>
        </w:rPr>
        <w:t xml:space="preserve">- 5. </w:t>
      </w:r>
      <w:proofErr w:type="spellStart"/>
      <w:r w:rsidRPr="00F11A32">
        <w:rPr>
          <w:rFonts w:ascii="Times New Roman" w:hAnsi="Times New Roman"/>
          <w:sz w:val="24"/>
          <w:szCs w:val="24"/>
        </w:rPr>
        <w:t>Antialergiká</w:t>
      </w:r>
      <w:proofErr w:type="spellEnd"/>
      <w:r w:rsidRPr="00F11A3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11A32">
        <w:rPr>
          <w:rFonts w:ascii="Times New Roman" w:hAnsi="Times New Roman"/>
          <w:sz w:val="24"/>
          <w:szCs w:val="24"/>
        </w:rPr>
        <w:t>antianafylaktiká</w:t>
      </w:r>
      <w:proofErr w:type="spellEnd"/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</w:rPr>
        <w:t xml:space="preserve">- 7. </w:t>
      </w:r>
      <w:proofErr w:type="spellStart"/>
      <w:r w:rsidRPr="00F11A32">
        <w:rPr>
          <w:rFonts w:ascii="Times New Roman" w:hAnsi="Times New Roman"/>
          <w:sz w:val="24"/>
          <w:szCs w:val="24"/>
          <w:shd w:val="clear" w:color="auto" w:fill="FFFFFF"/>
        </w:rPr>
        <w:t>Antiinfektíva</w:t>
      </w:r>
      <w:proofErr w:type="spellEnd"/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>- 9. Lieky na vonkajšie použitie</w:t>
      </w:r>
    </w:p>
    <w:p w:rsidR="00591613" w:rsidRDefault="00591613" w:rsidP="0059161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b/>
          <w:sz w:val="24"/>
          <w:szCs w:val="24"/>
          <w:shd w:val="clear" w:color="auto" w:fill="FFFFFF"/>
        </w:rPr>
        <w:t>V časti II- Zdravotnícke zariadenie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>- 1. Resuscitačné zariadenie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>- 2. Obväzy a vybavenie na šitie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>- 3. Nástroje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>- 4. Vyšetrovacie a monitorovacie zariadenie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 xml:space="preserve">- 5. Zariadenie na podávanie injekcií, </w:t>
      </w:r>
      <w:proofErr w:type="spellStart"/>
      <w:r w:rsidRPr="00F11A32">
        <w:rPr>
          <w:rFonts w:ascii="Times New Roman" w:hAnsi="Times New Roman"/>
          <w:sz w:val="24"/>
          <w:szCs w:val="24"/>
          <w:shd w:val="clear" w:color="auto" w:fill="FFFFFF"/>
        </w:rPr>
        <w:t>perfúziu</w:t>
      </w:r>
      <w:proofErr w:type="spellEnd"/>
      <w:r w:rsidRPr="00F11A32">
        <w:rPr>
          <w:rFonts w:ascii="Times New Roman" w:hAnsi="Times New Roman"/>
          <w:sz w:val="24"/>
          <w:szCs w:val="24"/>
          <w:shd w:val="clear" w:color="auto" w:fill="FFFFFF"/>
        </w:rPr>
        <w:t>, punkciu a </w:t>
      </w:r>
      <w:proofErr w:type="spellStart"/>
      <w:r w:rsidRPr="00F11A32">
        <w:rPr>
          <w:rFonts w:ascii="Times New Roman" w:hAnsi="Times New Roman"/>
          <w:sz w:val="24"/>
          <w:szCs w:val="24"/>
          <w:shd w:val="clear" w:color="auto" w:fill="FFFFFF"/>
        </w:rPr>
        <w:t>katetrizáciu</w:t>
      </w:r>
      <w:proofErr w:type="spellEnd"/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bCs/>
          <w:strike/>
          <w:sz w:val="24"/>
          <w:szCs w:val="24"/>
          <w:shd w:val="clear" w:color="auto" w:fill="FFFFFF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>- 6. Všeobecné zdravotnícke zariadenie</w:t>
      </w:r>
    </w:p>
    <w:p w:rsidR="00591613" w:rsidRPr="00F11A32" w:rsidRDefault="00591613" w:rsidP="00591613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F11A32">
        <w:rPr>
          <w:rFonts w:ascii="Times New Roman" w:hAnsi="Times New Roman"/>
          <w:sz w:val="24"/>
          <w:szCs w:val="24"/>
          <w:shd w:val="clear" w:color="auto" w:fill="FFFFFF"/>
        </w:rPr>
        <w:t xml:space="preserve">- 7. Znehybňujúce a </w:t>
      </w:r>
      <w:proofErr w:type="spellStart"/>
      <w:r w:rsidRPr="00F11A32">
        <w:rPr>
          <w:rFonts w:ascii="Times New Roman" w:hAnsi="Times New Roman"/>
          <w:sz w:val="24"/>
          <w:szCs w:val="24"/>
          <w:shd w:val="clear" w:color="auto" w:fill="FFFFFF"/>
        </w:rPr>
        <w:t>fixovacie</w:t>
      </w:r>
      <w:proofErr w:type="spellEnd"/>
      <w:r w:rsidRPr="00F11A32">
        <w:rPr>
          <w:rFonts w:ascii="Times New Roman" w:hAnsi="Times New Roman"/>
          <w:sz w:val="24"/>
          <w:szCs w:val="24"/>
          <w:shd w:val="clear" w:color="auto" w:fill="FFFFFF"/>
        </w:rPr>
        <w:t xml:space="preserve"> zariadenia</w:t>
      </w:r>
    </w:p>
    <w:p w:rsidR="00591613" w:rsidRPr="00F11A32" w:rsidRDefault="00591613" w:rsidP="00591613">
      <w:pPr>
        <w:spacing w:after="0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591613" w:rsidRPr="00F11A32" w:rsidRDefault="00591613" w:rsidP="00591613">
      <w:pPr>
        <w:spacing w:after="0"/>
        <w:jc w:val="both"/>
        <w:rPr>
          <w:rFonts w:ascii="Times New Roman" w:hAnsi="Times New Roman"/>
          <w:b/>
          <w:strike/>
          <w:sz w:val="24"/>
          <w:szCs w:val="24"/>
        </w:rPr>
      </w:pPr>
      <w:r w:rsidRPr="00F11A32">
        <w:rPr>
          <w:rFonts w:ascii="Times New Roman" w:hAnsi="Times New Roman"/>
          <w:b/>
          <w:sz w:val="24"/>
          <w:szCs w:val="24"/>
        </w:rPr>
        <w:t xml:space="preserve">K bodu 2 </w:t>
      </w:r>
    </w:p>
    <w:p w:rsidR="00591613" w:rsidRPr="00F11A32" w:rsidRDefault="00591613" w:rsidP="00591613">
      <w:pPr>
        <w:pStyle w:val="Normlnywebov"/>
        <w:spacing w:line="276" w:lineRule="auto"/>
        <w:jc w:val="both"/>
        <w:rPr>
          <w:b w:val="0"/>
          <w:bCs w:val="0"/>
          <w:sz w:val="24"/>
          <w:szCs w:val="24"/>
          <w:lang w:val="sk-SK" w:eastAsia="sk-SK"/>
        </w:rPr>
      </w:pPr>
      <w:r w:rsidRPr="00F11A32">
        <w:rPr>
          <w:b w:val="0"/>
          <w:bCs w:val="0"/>
          <w:sz w:val="24"/>
          <w:szCs w:val="24"/>
          <w:lang w:val="sk-SK" w:eastAsia="sk-SK"/>
        </w:rPr>
        <w:t>V súvislosti so zmenou prílohy</w:t>
      </w:r>
      <w:r w:rsidR="00120312">
        <w:rPr>
          <w:b w:val="0"/>
          <w:bCs w:val="0"/>
          <w:sz w:val="24"/>
          <w:szCs w:val="24"/>
          <w:lang w:val="sk-SK" w:eastAsia="sk-SK"/>
        </w:rPr>
        <w:t xml:space="preserve"> č.</w:t>
      </w:r>
      <w:r w:rsidRPr="00F11A32">
        <w:rPr>
          <w:b w:val="0"/>
          <w:bCs w:val="0"/>
          <w:sz w:val="24"/>
          <w:szCs w:val="24"/>
          <w:lang w:val="sk-SK" w:eastAsia="sk-SK"/>
        </w:rPr>
        <w:t xml:space="preserve"> 2 v súčasnosti platného nariadenia vlády sa mení príloha</w:t>
      </w:r>
      <w:r w:rsidR="003A47E9">
        <w:rPr>
          <w:b w:val="0"/>
          <w:bCs w:val="0"/>
          <w:sz w:val="24"/>
          <w:szCs w:val="24"/>
          <w:lang w:val="sk-SK" w:eastAsia="sk-SK"/>
        </w:rPr>
        <w:t xml:space="preserve"> </w:t>
      </w:r>
      <w:r w:rsidR="00A63334">
        <w:rPr>
          <w:b w:val="0"/>
          <w:bCs w:val="0"/>
          <w:sz w:val="24"/>
          <w:szCs w:val="24"/>
          <w:lang w:val="sk-SK" w:eastAsia="sk-SK"/>
        </w:rPr>
        <w:br/>
      </w:r>
      <w:r w:rsidR="003A47E9">
        <w:rPr>
          <w:b w:val="0"/>
          <w:bCs w:val="0"/>
          <w:sz w:val="24"/>
          <w:szCs w:val="24"/>
          <w:lang w:val="sk-SK" w:eastAsia="sk-SK"/>
        </w:rPr>
        <w:t>č.</w:t>
      </w:r>
      <w:r w:rsidRPr="00F11A32">
        <w:rPr>
          <w:b w:val="0"/>
          <w:bCs w:val="0"/>
          <w:sz w:val="24"/>
          <w:szCs w:val="24"/>
          <w:lang w:val="sk-SK" w:eastAsia="sk-SK"/>
        </w:rPr>
        <w:t xml:space="preserve"> 4, ktorá predstavuje kontrolný zoznam zdravotníckeho vybavenia a ako taká úzko súvisí </w:t>
      </w:r>
      <w:r w:rsidR="00A63334">
        <w:rPr>
          <w:b w:val="0"/>
          <w:bCs w:val="0"/>
          <w:sz w:val="24"/>
          <w:szCs w:val="24"/>
          <w:lang w:val="sk-SK" w:eastAsia="sk-SK"/>
        </w:rPr>
        <w:br/>
      </w:r>
      <w:bookmarkStart w:id="0" w:name="_GoBack"/>
      <w:bookmarkEnd w:id="0"/>
      <w:r w:rsidRPr="00F11A32">
        <w:rPr>
          <w:b w:val="0"/>
          <w:bCs w:val="0"/>
          <w:sz w:val="24"/>
          <w:szCs w:val="24"/>
          <w:lang w:val="sk-SK" w:eastAsia="sk-SK"/>
        </w:rPr>
        <w:t xml:space="preserve">s prílohou II smernice a preberá jej obsah na účely kontrol. </w:t>
      </w:r>
    </w:p>
    <w:p w:rsidR="00591613" w:rsidRDefault="00591613" w:rsidP="00591613">
      <w:pPr>
        <w:pStyle w:val="Normlnywebov"/>
        <w:spacing w:line="276" w:lineRule="auto"/>
        <w:jc w:val="both"/>
        <w:rPr>
          <w:bCs w:val="0"/>
          <w:sz w:val="24"/>
          <w:szCs w:val="24"/>
          <w:lang w:val="sk-SK" w:eastAsia="sk-SK"/>
        </w:rPr>
      </w:pPr>
    </w:p>
    <w:p w:rsidR="00591613" w:rsidRPr="00F11A32" w:rsidRDefault="00591613" w:rsidP="00591613">
      <w:pPr>
        <w:pStyle w:val="Normlnywebov"/>
        <w:spacing w:line="276" w:lineRule="auto"/>
        <w:jc w:val="both"/>
        <w:rPr>
          <w:bCs w:val="0"/>
          <w:sz w:val="24"/>
          <w:szCs w:val="24"/>
          <w:lang w:val="sk-SK" w:eastAsia="sk-SK"/>
        </w:rPr>
      </w:pPr>
      <w:r w:rsidRPr="00F11A32">
        <w:rPr>
          <w:bCs w:val="0"/>
          <w:sz w:val="24"/>
          <w:szCs w:val="24"/>
          <w:lang w:val="sk-SK" w:eastAsia="sk-SK"/>
        </w:rPr>
        <w:t>K bodu 3</w:t>
      </w:r>
    </w:p>
    <w:p w:rsidR="00591613" w:rsidRPr="00F11A32" w:rsidRDefault="00591613" w:rsidP="00591613">
      <w:pPr>
        <w:pStyle w:val="Normlnywebov"/>
        <w:spacing w:line="276" w:lineRule="auto"/>
        <w:jc w:val="both"/>
        <w:rPr>
          <w:b w:val="0"/>
          <w:bCs w:val="0"/>
          <w:sz w:val="24"/>
          <w:szCs w:val="24"/>
          <w:lang w:val="sk-SK" w:eastAsia="sk-SK"/>
        </w:rPr>
      </w:pPr>
      <w:r w:rsidRPr="00F11A32">
        <w:rPr>
          <w:b w:val="0"/>
          <w:bCs w:val="0"/>
          <w:sz w:val="24"/>
          <w:szCs w:val="24"/>
          <w:lang w:val="sk-SK" w:eastAsia="sk-SK"/>
        </w:rPr>
        <w:t>Dochádza k zmene</w:t>
      </w:r>
      <w:r w:rsidRPr="00F11A32">
        <w:rPr>
          <w:bCs w:val="0"/>
          <w:sz w:val="24"/>
          <w:szCs w:val="24"/>
          <w:lang w:val="sk-SK" w:eastAsia="sk-SK"/>
        </w:rPr>
        <w:t xml:space="preserve"> t</w:t>
      </w:r>
      <w:r w:rsidRPr="00F11A32">
        <w:rPr>
          <w:b w:val="0"/>
          <w:bCs w:val="0"/>
          <w:sz w:val="24"/>
          <w:szCs w:val="24"/>
          <w:lang w:val="sk-SK" w:eastAsia="sk-SK"/>
        </w:rPr>
        <w:t xml:space="preserve">extu, keďže  poskytovanie zdravotnej starostlivosti na palubách námorných lodí upravuje taktiež smernica (EÚ) 2019/1834. </w:t>
      </w:r>
    </w:p>
    <w:p w:rsidR="00591613" w:rsidRPr="00F11A32" w:rsidRDefault="00591613" w:rsidP="00591613">
      <w:pPr>
        <w:pStyle w:val="Normlnywebov"/>
        <w:spacing w:line="276" w:lineRule="auto"/>
        <w:jc w:val="both"/>
        <w:rPr>
          <w:bCs w:val="0"/>
          <w:sz w:val="24"/>
          <w:szCs w:val="24"/>
          <w:lang w:val="sk-SK" w:eastAsia="sk-SK"/>
        </w:rPr>
      </w:pPr>
    </w:p>
    <w:p w:rsidR="00591613" w:rsidRPr="00F11A32" w:rsidRDefault="00591613" w:rsidP="00591613">
      <w:pPr>
        <w:pStyle w:val="Normlnywebov"/>
        <w:spacing w:line="276" w:lineRule="auto"/>
        <w:jc w:val="both"/>
        <w:rPr>
          <w:bCs w:val="0"/>
          <w:sz w:val="24"/>
          <w:szCs w:val="24"/>
          <w:lang w:val="sk-SK" w:eastAsia="sk-SK"/>
        </w:rPr>
      </w:pPr>
      <w:r w:rsidRPr="00F11A32">
        <w:rPr>
          <w:bCs w:val="0"/>
          <w:sz w:val="24"/>
          <w:szCs w:val="24"/>
          <w:lang w:val="sk-SK" w:eastAsia="sk-SK"/>
        </w:rPr>
        <w:t>K bodu 4</w:t>
      </w:r>
    </w:p>
    <w:p w:rsidR="00591613" w:rsidRPr="00F11A32" w:rsidRDefault="00591613" w:rsidP="00591613">
      <w:pPr>
        <w:pStyle w:val="Normlnywebov"/>
        <w:spacing w:line="276" w:lineRule="auto"/>
        <w:jc w:val="both"/>
        <w:rPr>
          <w:b w:val="0"/>
          <w:bCs w:val="0"/>
          <w:sz w:val="24"/>
          <w:szCs w:val="24"/>
          <w:lang w:val="sk-SK" w:eastAsia="sk-SK"/>
        </w:rPr>
      </w:pPr>
      <w:r w:rsidRPr="00F11A32">
        <w:rPr>
          <w:b w:val="0"/>
          <w:bCs w:val="0"/>
          <w:sz w:val="24"/>
          <w:szCs w:val="24"/>
          <w:lang w:val="sk-SK" w:eastAsia="sk-SK"/>
        </w:rPr>
        <w:t xml:space="preserve">Popis smernice </w:t>
      </w:r>
      <w:r w:rsidRPr="00F11A32">
        <w:rPr>
          <w:b w:val="0"/>
          <w:sz w:val="24"/>
          <w:szCs w:val="24"/>
        </w:rPr>
        <w:t>92/29/EHS</w:t>
      </w:r>
      <w:r w:rsidRPr="00F11A32">
        <w:rPr>
          <w:b w:val="0"/>
          <w:sz w:val="24"/>
          <w:szCs w:val="24"/>
          <w:lang w:val="sk-SK"/>
        </w:rPr>
        <w:t xml:space="preserve"> v platnom znení sa u</w:t>
      </w:r>
      <w:r w:rsidRPr="00F11A32">
        <w:rPr>
          <w:b w:val="0"/>
          <w:bCs w:val="0"/>
          <w:sz w:val="24"/>
          <w:szCs w:val="24"/>
          <w:lang w:val="sk-SK" w:eastAsia="sk-SK"/>
        </w:rPr>
        <w:t>pravuje v znení Legislatívnych pravidiel vlády Slovenskej republiky v platnom znení. Zároveň sa do prílohy dopĺňa smernica (EÚ) 2019/1834.</w:t>
      </w:r>
    </w:p>
    <w:p w:rsidR="00591613" w:rsidRPr="00F11A32" w:rsidRDefault="00591613" w:rsidP="00591613">
      <w:pPr>
        <w:pStyle w:val="Normlnywebov"/>
        <w:spacing w:line="276" w:lineRule="auto"/>
        <w:jc w:val="both"/>
        <w:rPr>
          <w:b w:val="0"/>
          <w:bCs w:val="0"/>
          <w:sz w:val="24"/>
          <w:szCs w:val="24"/>
          <w:lang w:val="sk-SK" w:eastAsia="sk-SK"/>
        </w:rPr>
      </w:pPr>
    </w:p>
    <w:p w:rsidR="00591613" w:rsidRPr="00F11A32" w:rsidRDefault="00591613" w:rsidP="00591613">
      <w:pPr>
        <w:spacing w:after="0"/>
        <w:jc w:val="both"/>
        <w:rPr>
          <w:rFonts w:ascii="Times New Roman" w:hAnsi="Times New Roman"/>
          <w:b/>
          <w:strike/>
          <w:sz w:val="24"/>
          <w:szCs w:val="24"/>
        </w:rPr>
      </w:pPr>
      <w:r w:rsidRPr="00F11A32">
        <w:rPr>
          <w:rFonts w:ascii="Times New Roman" w:hAnsi="Times New Roman"/>
          <w:b/>
          <w:sz w:val="24"/>
          <w:szCs w:val="24"/>
        </w:rPr>
        <w:t>K čl. II</w:t>
      </w:r>
    </w:p>
    <w:p w:rsidR="006E218E" w:rsidRPr="00591613" w:rsidRDefault="00591613" w:rsidP="005916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Navrhuje sa, aby toto nariadenie vlády Slovenskej republiky nadobudlo účinnosť </w:t>
      </w:r>
      <w:r w:rsidRPr="001C4D6B">
        <w:rPr>
          <w:rFonts w:ascii="Times New Roman" w:hAnsi="Times New Roman"/>
          <w:sz w:val="24"/>
          <w:szCs w:val="24"/>
        </w:rPr>
        <w:t>20. novembra 2021,</w:t>
      </w:r>
      <w:r>
        <w:rPr>
          <w:rFonts w:ascii="Times New Roman" w:hAnsi="Times New Roman"/>
          <w:sz w:val="24"/>
          <w:szCs w:val="24"/>
        </w:rPr>
        <w:t xml:space="preserve"> a to</w:t>
      </w:r>
      <w:r w:rsidRPr="001C4D6B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nadväznosti</w:t>
      </w:r>
      <w:r w:rsidRPr="001C4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1C4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stanovený</w:t>
      </w:r>
      <w:r w:rsidRPr="001C4D6B">
        <w:rPr>
          <w:rFonts w:ascii="Times New Roman" w:hAnsi="Times New Roman"/>
          <w:sz w:val="24"/>
          <w:szCs w:val="24"/>
        </w:rPr>
        <w:t xml:space="preserve"> dátum transpozície smernice (EÚ) 2019/1834, čím 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zároveň</w:t>
      </w:r>
      <w:r w:rsidRPr="001C4D6B">
        <w:rPr>
          <w:rFonts w:ascii="Times New Roman" w:hAnsi="Times New Roman"/>
          <w:sz w:val="24"/>
          <w:szCs w:val="24"/>
        </w:rPr>
        <w:t xml:space="preserve"> zohľadňuje dĺžka legislatívneho procesu, primeraná </w:t>
      </w:r>
      <w:proofErr w:type="spellStart"/>
      <w:r w:rsidRPr="001C4D6B">
        <w:rPr>
          <w:rFonts w:ascii="Times New Roman" w:hAnsi="Times New Roman"/>
          <w:sz w:val="24"/>
          <w:szCs w:val="24"/>
        </w:rPr>
        <w:t>legisvakančná</w:t>
      </w:r>
      <w:proofErr w:type="spellEnd"/>
      <w:r w:rsidRPr="001C4D6B">
        <w:rPr>
          <w:rFonts w:ascii="Times New Roman" w:hAnsi="Times New Roman"/>
          <w:sz w:val="24"/>
          <w:szCs w:val="24"/>
        </w:rPr>
        <w:t xml:space="preserve"> doba a</w:t>
      </w:r>
      <w:r>
        <w:rPr>
          <w:rFonts w:ascii="Times New Roman" w:hAnsi="Times New Roman"/>
          <w:sz w:val="24"/>
          <w:szCs w:val="24"/>
        </w:rPr>
        <w:t> rovnako tak</w:t>
      </w:r>
      <w:r w:rsidRPr="001C4D6B">
        <w:rPr>
          <w:rFonts w:ascii="Times New Roman" w:hAnsi="Times New Roman"/>
          <w:sz w:val="24"/>
          <w:szCs w:val="24"/>
        </w:rPr>
        <w:t xml:space="preserve"> je zabezpečen</w:t>
      </w:r>
      <w:r>
        <w:rPr>
          <w:rFonts w:ascii="Times New Roman" w:hAnsi="Times New Roman"/>
          <w:sz w:val="24"/>
          <w:szCs w:val="24"/>
        </w:rPr>
        <w:t>á aj</w:t>
      </w:r>
      <w:r w:rsidRPr="001C4D6B">
        <w:rPr>
          <w:rFonts w:ascii="Times New Roman" w:hAnsi="Times New Roman"/>
          <w:sz w:val="24"/>
          <w:szCs w:val="24"/>
        </w:rPr>
        <w:t xml:space="preserve"> primeran</w:t>
      </w:r>
      <w:r>
        <w:rPr>
          <w:rFonts w:ascii="Times New Roman" w:hAnsi="Times New Roman"/>
          <w:sz w:val="24"/>
          <w:szCs w:val="24"/>
        </w:rPr>
        <w:t>á</w:t>
      </w:r>
      <w:r w:rsidRPr="001C4D6B">
        <w:rPr>
          <w:rFonts w:ascii="Times New Roman" w:hAnsi="Times New Roman"/>
          <w:sz w:val="24"/>
          <w:szCs w:val="24"/>
        </w:rPr>
        <w:t xml:space="preserve"> doba na vykonanie notifikácie</w:t>
      </w:r>
      <w:r>
        <w:rPr>
          <w:rFonts w:ascii="Times New Roman" w:hAnsi="Times New Roman"/>
          <w:sz w:val="24"/>
          <w:szCs w:val="24"/>
        </w:rPr>
        <w:t>.</w:t>
      </w:r>
    </w:p>
    <w:sectPr w:rsidR="006E218E" w:rsidRPr="0059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901F0"/>
    <w:multiLevelType w:val="hybridMultilevel"/>
    <w:tmpl w:val="6E2C2732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3"/>
    <w:rsid w:val="00120312"/>
    <w:rsid w:val="002E5CB1"/>
    <w:rsid w:val="003A47E9"/>
    <w:rsid w:val="00591613"/>
    <w:rsid w:val="006E218E"/>
    <w:rsid w:val="00A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A593"/>
  <w15:chartTrackingRefBased/>
  <w15:docId w15:val="{741F1632-8FBD-4AB4-B99F-22ED5A8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591613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5916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5916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59161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5</cp:revision>
  <dcterms:created xsi:type="dcterms:W3CDTF">2021-08-04T07:06:00Z</dcterms:created>
  <dcterms:modified xsi:type="dcterms:W3CDTF">2021-08-05T05:00:00Z</dcterms:modified>
</cp:coreProperties>
</file>