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E12D" w14:textId="77777777" w:rsidR="00813CE7" w:rsidRPr="00381D6B" w:rsidRDefault="00813CE7" w:rsidP="00D05F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sk-SK"/>
        </w:rPr>
      </w:pPr>
      <w:bookmarkStart w:id="0" w:name="_GoBack"/>
      <w:bookmarkEnd w:id="0"/>
      <w:r w:rsidRPr="00381D6B">
        <w:rPr>
          <w:rFonts w:ascii="Times New Roman" w:hAnsi="Times New Roman"/>
          <w:bCs/>
          <w:sz w:val="28"/>
          <w:szCs w:val="28"/>
          <w:lang w:eastAsia="sk-SK"/>
        </w:rPr>
        <w:t>Návrh</w:t>
      </w:r>
    </w:p>
    <w:p w14:paraId="09B463A7" w14:textId="77777777" w:rsidR="00813CE7" w:rsidRPr="001639E2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685FAB26" w14:textId="2C619C45" w:rsidR="00813CE7" w:rsidRPr="001639E2" w:rsidRDefault="0038331F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ZÁKON</w:t>
      </w:r>
    </w:p>
    <w:p w14:paraId="3935B476" w14:textId="77777777" w:rsidR="00813CE7" w:rsidRPr="001639E2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8DCAC" w14:textId="77777777" w:rsidR="00813CE7" w:rsidRPr="001639E2" w:rsidRDefault="0072715E" w:rsidP="00D05F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 ... 2021</w:t>
      </w:r>
      <w:r w:rsidR="00813CE7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5816891A" w14:textId="77777777" w:rsidR="00813CE7" w:rsidRPr="001639E2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73968362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115F92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/>
          <w:b/>
          <w:bCs/>
          <w:iCs/>
          <w:sz w:val="24"/>
          <w:szCs w:val="24"/>
          <w:lang w:eastAsia="sk-SK"/>
        </w:rPr>
        <w:t>218/2013</w:t>
      </w:r>
      <w:r w:rsidRPr="00115F92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Z. z. o núdzových zásobách ropy a ropných výrobkov a o riešení stavu ropnej núdze a o zmene a doplnení niektorých zákonov</w:t>
      </w:r>
      <w:r w:rsidR="00214753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v znení neskorších predpisov</w:t>
      </w:r>
    </w:p>
    <w:p w14:paraId="703B37BE" w14:textId="77777777" w:rsidR="00D05FDB" w:rsidRDefault="00D05FDB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14:paraId="2AD658A7" w14:textId="186F6C15" w:rsidR="00813CE7" w:rsidRDefault="00813CE7" w:rsidP="00D05FDB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A10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7C13D668" w14:textId="77777777" w:rsidR="00D05FDB" w:rsidRDefault="00D05FDB" w:rsidP="00D05FDB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0154886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6B8BF027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2890033" w14:textId="77777777" w:rsidR="00813CE7" w:rsidRDefault="00813CE7" w:rsidP="00D05F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č. 218/2013 Z. z. o núdzových zásobách ropy a ropných výrobkov a o riešení stavu ropnej núdze a o zmene a doplnení niektorých zákonov </w:t>
      </w:r>
      <w:r w:rsidR="0072715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znení zákona č. 235/2019 Z. z. a zákona č. 387/2020 Z. z. </w:t>
      </w: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>sa mení a dopĺňa takto:</w:t>
      </w:r>
    </w:p>
    <w:p w14:paraId="0CD9A46F" w14:textId="77777777" w:rsidR="00813CE7" w:rsidRDefault="00813CE7" w:rsidP="00D05FD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AE3707B" w14:textId="77777777" w:rsidR="00A86DFC" w:rsidRPr="00A86DFC" w:rsidRDefault="00A86DFC" w:rsidP="00A86DFC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485EC33" w14:textId="3C2A4A26" w:rsidR="00813CE7" w:rsidRDefault="0052365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4F37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§ 2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sa vkladá § 2a, ktorý znie:</w:t>
      </w:r>
    </w:p>
    <w:p w14:paraId="70C32B01" w14:textId="77777777" w:rsidR="00523659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55B456" w14:textId="77777777" w:rsidR="00523659" w:rsidRPr="00120655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120655">
        <w:rPr>
          <w:rFonts w:ascii="Times New Roman" w:hAnsi="Times New Roman"/>
          <w:b/>
          <w:color w:val="000000"/>
          <w:sz w:val="24"/>
          <w:szCs w:val="24"/>
          <w:lang w:eastAsia="sk-SK"/>
        </w:rPr>
        <w:t>§ 2a</w:t>
      </w:r>
    </w:p>
    <w:p w14:paraId="14F3FB2C" w14:textId="77777777" w:rsidR="00523659" w:rsidRPr="00653E11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EF775BD" w14:textId="67579EDD" w:rsidR="00523659" w:rsidRPr="00120655" w:rsidRDefault="0048159D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(1) Vybraný podnikateľ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je povinný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plniť povinnosti podľa 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>§ 3 a</w:t>
      </w:r>
      <w:r w:rsidR="000C1D40"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5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sa 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vzťahujú na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ropné výrobky </w:t>
      </w:r>
    </w:p>
    <w:p w14:paraId="266CBAB0" w14:textId="0F680C0C" w:rsidR="00523659" w:rsidRPr="0012065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a) </w:t>
      </w:r>
      <w:r w:rsidR="00B46712">
        <w:rPr>
          <w:rFonts w:ascii="Times New Roman" w:hAnsi="Times New Roman"/>
          <w:color w:val="000000"/>
          <w:sz w:val="24"/>
          <w:szCs w:val="24"/>
          <w:lang w:eastAsia="sk-SK"/>
        </w:rPr>
        <w:t>podpoložiek</w:t>
      </w:r>
      <w:r w:rsidR="006575B4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kombinovanej nomenklatúry 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2710 19 66 a 2710 19 67, ak sú vyrobené z odpadových olejov podľa osobitného predpisu,</w:t>
      </w:r>
      <w:r w:rsidRPr="00120655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8a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3442C27D" w14:textId="724EA421" w:rsidR="00523659" w:rsidRPr="0012065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>podpoložk</w:t>
      </w:r>
      <w:r w:rsidR="00B46712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kombinovanej nomenklatúry 2710 20 90.</w:t>
      </w:r>
    </w:p>
    <w:p w14:paraId="61674F27" w14:textId="77777777" w:rsidR="0048159D" w:rsidRDefault="0048159D" w:rsidP="003D1B01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F9B38A4" w14:textId="27767880" w:rsidR="003D1B01" w:rsidRPr="00111959" w:rsidRDefault="003D1B01" w:rsidP="003D1B01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(2) 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Výrobou ropných</w:t>
      </w:r>
      <w:r w:rsidR="00E416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výrobkov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odseku 1 písm. a) sa rozumie aj zmiešanie odpadových olejov alebo ropných výrobkov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podpoložiek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kombinovanej nomenklatúry 2710 19 66 a 2710 19 67 vyrobených z odpadových olejov podľa osobitného predpisu</w:t>
      </w:r>
      <w:r w:rsidRPr="00F5338A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8a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) s inými látkami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V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ybran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ý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podnikate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ľ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plní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povinnosti podľa 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>§ 3 a</w:t>
      </w:r>
      <w:r w:rsidR="000C1D40"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iba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rozsahu</w:t>
      </w:r>
      <w:r w:rsidR="001E6C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podiel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>ropných výrobkov, ktoré v takejto zmesi nie sú odpadov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olej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ropn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výrobk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ami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vyroben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odpadových olejov.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38331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ABCD559" w14:textId="2A2787C0" w:rsidR="004F378C" w:rsidRDefault="004F378C" w:rsidP="00D05F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179CA" w14:textId="77777777" w:rsidR="004F378C" w:rsidRDefault="00523659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Poznámka pod čiarou k odkazu 8</w:t>
      </w:r>
      <w:r w:rsidR="004F378C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4F378C"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45BA3F02" w14:textId="77777777" w:rsidR="004F378C" w:rsidRPr="004F378C" w:rsidRDefault="004F378C" w:rsidP="00D05FDB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2365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a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4F378C">
        <w:rPr>
          <w:rFonts w:ascii="Times New Roman" w:hAnsi="Times New Roman"/>
          <w:color w:val="000000"/>
          <w:sz w:val="24"/>
          <w:szCs w:val="24"/>
          <w:lang w:eastAsia="sk-SK"/>
        </w:rPr>
        <w:t>§ 76 zákona č. 79/2015 Z. z. o odpadoch a o zmene a doplnení niektorých zákonov v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4F37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znení </w:t>
      </w:r>
      <w:r w:rsidR="00400584">
        <w:rPr>
          <w:rFonts w:ascii="Times New Roman" w:hAnsi="Times New Roman"/>
          <w:color w:val="000000"/>
          <w:sz w:val="24"/>
          <w:szCs w:val="24"/>
          <w:lang w:eastAsia="sk-SK"/>
        </w:rPr>
        <w:t>zákona č. 460/2019 Z. z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>.“.</w:t>
      </w:r>
    </w:p>
    <w:p w14:paraId="150FF6B0" w14:textId="77777777" w:rsidR="00813CE7" w:rsidRPr="00324363" w:rsidRDefault="00813CE7" w:rsidP="00D05FDB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07771F1" w14:textId="77777777" w:rsidR="00813CE7" w:rsidRPr="00F76CCC" w:rsidRDefault="00111959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§ 3</w:t>
      </w:r>
      <w:r w:rsidR="00813CE7" w:rsidRPr="00482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1 sa za slová</w:t>
      </w:r>
      <w:r w:rsidR="00D80564">
        <w:rPr>
          <w:rFonts w:ascii="Times New Roman" w:hAnsi="Times New Roman"/>
          <w:sz w:val="24"/>
          <w:szCs w:val="24"/>
        </w:rPr>
        <w:t xml:space="preserve"> „prostredníctvom agentúry“ vkladajú slová „</w:t>
      </w:r>
      <w:r w:rsidR="00427A3E">
        <w:rPr>
          <w:rFonts w:ascii="Times New Roman" w:hAnsi="Times New Roman"/>
          <w:sz w:val="24"/>
          <w:szCs w:val="24"/>
        </w:rPr>
        <w:t>podľa</w:t>
      </w:r>
      <w:r w:rsidR="00D80564">
        <w:rPr>
          <w:rFonts w:ascii="Times New Roman" w:hAnsi="Times New Roman"/>
          <w:sz w:val="24"/>
          <w:szCs w:val="24"/>
        </w:rPr>
        <w:t xml:space="preserve"> § 4“.</w:t>
      </w:r>
    </w:p>
    <w:p w14:paraId="215AE047" w14:textId="77777777" w:rsidR="00813CE7" w:rsidRDefault="00813CE7" w:rsidP="00D05FDB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65AC056" w14:textId="77777777" w:rsidR="00813CE7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</w:t>
      </w:r>
      <w:r w:rsidR="009C1993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C1993">
        <w:rPr>
          <w:rFonts w:ascii="Times New Roman" w:hAnsi="Times New Roman"/>
          <w:color w:val="000000"/>
          <w:sz w:val="24"/>
          <w:szCs w:val="24"/>
          <w:lang w:eastAsia="sk-SK"/>
        </w:rPr>
        <w:t>sa za odsek 1 vkladá nový odsek 2, ktorý znie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2917417" w14:textId="4F46311A" w:rsidR="00813CE7" w:rsidRDefault="009C1993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„(2</w:t>
      </w:r>
      <w:r w:rsidR="00813CE7" w:rsidRPr="00345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Vybraný podnikateľ je povinný najneskôr do 15 dní </w:t>
      </w:r>
      <w:r w:rsidR="004633B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 vzniku niektorej zo skutočností podľa § 2 písm. d)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požiadať agentúru o uzatvorenie zmluvy o zabezpečení udržiavania núdzových zásob. Agentúra nie je povinná uzatvoriť s vybraným podnikateľom zmluvu o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zabezpečení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udržiavania núdzových zásob, ak má vybraný podnikateľ voči agentúre nesplnený záväzok</w:t>
      </w:r>
      <w:r w:rsidR="00F71209">
        <w:rPr>
          <w:rFonts w:ascii="Times New Roman" w:hAnsi="Times New Roman"/>
          <w:color w:val="000000"/>
          <w:sz w:val="24"/>
          <w:szCs w:val="24"/>
          <w:lang w:eastAsia="sk-SK"/>
        </w:rPr>
        <w:t>, ktorým je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neuhradená pohľadávka 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z 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predchádzajúceho zmluvného vzťahu agentúry s vybraným podnikateľom, alebo nepredložený zabezpečovací depozit pred uzatvorením novej zmluvy o zabezpečení udržiavania núdzových zásob 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podľa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odsek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4.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311F6FD2" w14:textId="77777777" w:rsidR="00D05FDB" w:rsidRDefault="00D05FDB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E11A07C" w14:textId="77777777" w:rsidR="001614E6" w:rsidRDefault="007F7DC8" w:rsidP="00665BD0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Doterajšie odseky 2 až 5 sa označujú ako odseky 3 až 6.</w:t>
      </w:r>
    </w:p>
    <w:p w14:paraId="25467CAE" w14:textId="77777777" w:rsidR="00665BD0" w:rsidRDefault="00665BD0" w:rsidP="00665BD0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C29EB91" w14:textId="77777777" w:rsidR="00813CE7" w:rsidRDefault="0024262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4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odsek 3 znie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0F3ED0AD" w14:textId="6E193487" w:rsidR="00813CE7" w:rsidRPr="001D448D" w:rsidRDefault="00813CE7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24262B">
        <w:rPr>
          <w:rFonts w:ascii="Times New Roman" w:hAnsi="Times New Roman"/>
          <w:color w:val="000000"/>
          <w:sz w:val="24"/>
          <w:szCs w:val="24"/>
          <w:lang w:eastAsia="sk-SK"/>
        </w:rPr>
        <w:t>(3</w:t>
      </w:r>
      <w:r w:rsidRPr="003C2F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>Ak agentúra zistí, že vybraný podnikateľ nezabezpečil udržiavanie núdzových zásob prostredníctv</w:t>
      </w:r>
      <w:r w:rsidR="0024262B">
        <w:rPr>
          <w:rFonts w:ascii="Times New Roman" w:hAnsi="Times New Roman"/>
          <w:color w:val="000000"/>
          <w:sz w:val="24"/>
          <w:szCs w:val="24"/>
          <w:lang w:eastAsia="sk-SK"/>
        </w:rPr>
        <w:t>om agentúry formou uzatvorenej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zmluvy o zabezpečení udržiavania núdzových zásob z dôvodu neuzatvorenia zmluvy o zabezpečení udržiavania núdzových zásob na strane vybraného podnikateľa alebo z dôvodu nesplnen</w:t>
      </w:r>
      <w:r w:rsidR="00CB09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ého 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záväzku voči </w:t>
      </w:r>
      <w:r w:rsidR="00427A3E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>gentúre, vyzve vybraného podnikateľa na bezodkladné splnenie tejto povinnosti. Ak vybraný podnikateľ napriek výzve povinnosť nesplní, oznámi agentúra túto skutočnosť Správe štátnych hmotných rezerv Slovenskej republiky (ďalej len „Správa rezerv“).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7D83CC2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3D9FDC5B" w14:textId="77777777" w:rsidR="00813CE7" w:rsidRDefault="00EA38B6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4 ods. 4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</w:t>
      </w:r>
      <w:r w:rsidR="001817E3">
        <w:rPr>
          <w:rFonts w:ascii="Times New Roman" w:hAnsi="Times New Roman"/>
          <w:color w:val="000000"/>
          <w:sz w:val="24"/>
          <w:szCs w:val="24"/>
          <w:lang w:eastAsia="sk-SK"/>
        </w:rPr>
        <w:t>slová „zložiť primeranú zábezpeku, prípadne predložiť bankovú záruku“ nahrádzajú slovami „</w:t>
      </w:r>
      <w:r w:rsidR="001817E3" w:rsidRPr="001817E3">
        <w:rPr>
          <w:rFonts w:ascii="Times New Roman" w:hAnsi="Times New Roman"/>
          <w:color w:val="000000"/>
          <w:sz w:val="24"/>
          <w:szCs w:val="24"/>
          <w:lang w:eastAsia="sk-SK"/>
        </w:rPr>
        <w:t>pred uzatvorením zmluvy o zabezpečení udržiavania núdzových zásob zložiť zabezpečovací depozit vo forme zábezpeky alebo bankovej záruky</w:t>
      </w:r>
      <w:r w:rsidR="00681830" w:rsidRPr="00681830">
        <w:t xml:space="preserve"> </w:t>
      </w:r>
      <w:r w:rsidR="00681830" w:rsidRPr="00681830">
        <w:rPr>
          <w:rFonts w:ascii="Times New Roman" w:hAnsi="Times New Roman"/>
          <w:color w:val="000000"/>
          <w:sz w:val="24"/>
          <w:szCs w:val="24"/>
          <w:lang w:eastAsia="sk-SK"/>
        </w:rPr>
        <w:t>vo výške určenej obchodnými podmienkami</w:t>
      </w:r>
      <w:r w:rsidR="001817E3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38D56EE5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6F0C06E1" w14:textId="77777777" w:rsidR="00813CE7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4 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ods. 6 sa za slová „dohodnuté v zmluve“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vklad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á čiarka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slová „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>alebo ak nezlož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il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zabezpečovací depozit 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podľa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obchodný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ch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15C9A9DD" w14:textId="77777777" w:rsidR="00D05FDB" w:rsidRPr="00117543" w:rsidRDefault="00D05FDB" w:rsidP="00117543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4864C56" w14:textId="53DA3A15" w:rsidR="00D05FDB" w:rsidRPr="00655E7B" w:rsidRDefault="00655E7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Doterajší text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5 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označuje ako odsek 1 a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dopĺňa 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>odsekom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>, ktorý znie:</w:t>
      </w:r>
    </w:p>
    <w:p w14:paraId="5F2B8344" w14:textId="300A2857" w:rsidR="00D05FDB" w:rsidRDefault="00B538A8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„(2) Agentúra je povinná oznamovať colnému úradu, ktorý je správcom dane podľa osobitného predpisu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885BDF" w:rsidRPr="00655E7B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8b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) údaje potrebné na účely správy dane podľa osobitného predpisu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885BDF" w:rsidRPr="00655E7B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8c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38331F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42D9F8B" w14:textId="77777777" w:rsidR="00B538A8" w:rsidRPr="00117543" w:rsidRDefault="00B538A8" w:rsidP="0011754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54E96F4" w14:textId="75D1B19F" w:rsidR="00B538A8" w:rsidRDefault="00ED258A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Poznámky pod čiarou k odkazom</w:t>
      </w:r>
      <w:r w:rsidR="00B538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8</w:t>
      </w:r>
      <w:r w:rsidR="007272A9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</w:t>
      </w:r>
      <w:r w:rsidR="007272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8c 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>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ejú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75588C61" w14:textId="7B479E7E" w:rsidR="00ED258A" w:rsidRPr="006A243F" w:rsidRDefault="00B538A8" w:rsidP="006A243F">
      <w:pPr>
        <w:pStyle w:val="Odsekzoznamu"/>
        <w:spacing w:after="0"/>
        <w:ind w:left="360"/>
        <w:jc w:val="both"/>
        <w:rPr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A35CF8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8b</w:t>
      </w:r>
      <w:r w:rsidR="007F00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7F00A9" w:rsidRPr="007F00A9">
        <w:rPr>
          <w:rFonts w:ascii="Times New Roman" w:hAnsi="Times New Roman"/>
          <w:color w:val="000000"/>
          <w:sz w:val="24"/>
          <w:szCs w:val="24"/>
          <w:lang w:eastAsia="sk-SK"/>
        </w:rPr>
        <w:t>§ 4 zákona č. 563/2009 Z. z. o správe daní (daňový poriadok) a o zmene a doplnení niektorých zákonov v znení neskorších predpisov.</w:t>
      </w:r>
    </w:p>
    <w:p w14:paraId="610E51F6" w14:textId="77777777" w:rsidR="00ED258A" w:rsidRPr="007773BE" w:rsidRDefault="00A35CF8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8c</w:t>
      </w:r>
      <w:r w:rsidR="00ED25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ED258A" w:rsidRPr="00ED258A">
        <w:rPr>
          <w:rFonts w:ascii="Times New Roman" w:hAnsi="Times New Roman"/>
          <w:color w:val="000000"/>
          <w:sz w:val="24"/>
          <w:szCs w:val="24"/>
          <w:lang w:eastAsia="sk-SK"/>
        </w:rPr>
        <w:t>§ 21 a 25 zákona č. 98/2004 Z. z. v znení neskorších predpisov.</w:t>
      </w:r>
      <w:r w:rsidR="00ED258A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D6B2A59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3448C53" w14:textId="77777777" w:rsidR="00813CE7" w:rsidRPr="006E315C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E31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AE2EC8">
        <w:rPr>
          <w:rFonts w:ascii="Times New Roman" w:hAnsi="Times New Roman"/>
          <w:color w:val="000000"/>
          <w:sz w:val="24"/>
          <w:szCs w:val="24"/>
          <w:lang w:eastAsia="sk-SK"/>
        </w:rPr>
        <w:t>§ 21 ods. 5 sa slová „25. februára“ nahrádzajú slovami „15. marca“.</w:t>
      </w:r>
    </w:p>
    <w:p w14:paraId="47C80685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5FAF0943" w14:textId="66DCEC76" w:rsidR="00813CE7" w:rsidRDefault="00813CE7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21 ods. 11 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úvodnej vete 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>sa za slová „zašle agentúre“ vkladajú slová „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účel overovania údajov v procese plnenia úloh výberu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cen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poskytnutie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služby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zabezpečenia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udržiavania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núdzových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zásob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vybraných podnikateľov podľa § 3 ods. 3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9032D39" w14:textId="77777777" w:rsidR="00C979FC" w:rsidRDefault="00C979FC" w:rsidP="00D05FDB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66BE472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427DD55" w14:textId="77777777" w:rsidR="00E87C58" w:rsidRPr="00BB4578" w:rsidRDefault="00E87C58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>V § 22</w:t>
      </w:r>
      <w:r w:rsidR="00650ACB" w:rsidRPr="00BB45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ods. 1 písm. a) sa slová „§ 3 ods. 1“ nahrádzajú slovami </w:t>
      </w:r>
      <w:r w:rsidR="00E90B52" w:rsidRPr="00BB4578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FE370A" w:rsidRPr="00BB4578">
        <w:rPr>
          <w:rFonts w:ascii="Times New Roman" w:hAnsi="Times New Roman"/>
          <w:color w:val="000000"/>
          <w:sz w:val="24"/>
          <w:szCs w:val="24"/>
          <w:lang w:eastAsia="sk-SK"/>
        </w:rPr>
        <w:t>§ 6 ods. 3“.</w:t>
      </w:r>
    </w:p>
    <w:p w14:paraId="0862B949" w14:textId="77777777" w:rsidR="00650ACB" w:rsidRPr="00BB4578" w:rsidRDefault="00650ACB" w:rsidP="00650ACB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E6AC9DC" w14:textId="74171219" w:rsidR="00650ACB" w:rsidRPr="00BB4578" w:rsidRDefault="00650AC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23 ods. 1 </w:t>
      </w:r>
      <w:r w:rsidR="006B5AEF" w:rsidRPr="006B5AEF">
        <w:rPr>
          <w:rFonts w:ascii="Times New Roman" w:hAnsi="Times New Roman"/>
          <w:color w:val="000000"/>
          <w:sz w:val="24"/>
          <w:szCs w:val="24"/>
          <w:lang w:eastAsia="sk-SK"/>
        </w:rPr>
        <w:t>písm. a) sa na konci pripájajú tieto slová:</w:t>
      </w:r>
      <w:r w:rsidR="006B5A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>„a ďalej pokračuje v činnostiach podľa § 2 písm. d)“.</w:t>
      </w:r>
    </w:p>
    <w:p w14:paraId="71CEDA6E" w14:textId="77777777" w:rsidR="00E87C58" w:rsidRDefault="00E87C58" w:rsidP="00E87C58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79EA22D" w14:textId="77777777" w:rsidR="00813CE7" w:rsidRDefault="00F14160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§ 25 sa </w:t>
      </w:r>
      <w:r w:rsidR="00B50390">
        <w:rPr>
          <w:rFonts w:ascii="Times New Roman" w:hAnsi="Times New Roman"/>
          <w:color w:val="000000"/>
          <w:sz w:val="24"/>
          <w:szCs w:val="24"/>
          <w:lang w:eastAsia="sk-SK"/>
        </w:rPr>
        <w:t>vkladá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§ 25a, ktorý vrátane nadpisu znie:</w:t>
      </w:r>
    </w:p>
    <w:p w14:paraId="0BC067B3" w14:textId="77777777" w:rsidR="00D05FDB" w:rsidRPr="00D05FDB" w:rsidRDefault="00D05FDB" w:rsidP="00D05FDB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F56FF36" w14:textId="77777777" w:rsidR="00F14160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F14160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25a</w:t>
      </w:r>
    </w:p>
    <w:p w14:paraId="7789BBDE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9F91A39" w14:textId="086A3154" w:rsidR="00F14160" w:rsidRDefault="00F14160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Prechodné ustanoveni</w:t>
      </w:r>
      <w:r w:rsidR="008F6829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</w:t>
      </w: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 úpravám účinným od </w:t>
      </w:r>
      <w:r w:rsidR="009209F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1. </w:t>
      </w:r>
      <w:r w:rsidR="000779F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decembra</w:t>
      </w:r>
      <w:r w:rsidR="009209FB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2021</w:t>
      </w:r>
    </w:p>
    <w:p w14:paraId="646FF02B" w14:textId="77777777" w:rsidR="00D05FDB" w:rsidRDefault="00D05FDB" w:rsidP="00D05FDB">
      <w:pPr>
        <w:spacing w:after="0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355D9E61" w14:textId="62E97AC5" w:rsidR="004B6CF7" w:rsidRDefault="00F14160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141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Finančné riaditeľstvo zašle agentúre 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>súhrnnú informáciu</w:t>
      </w:r>
      <w:r w:rsidR="00291D1D" w:rsidRPr="00F141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141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§ 21 ods. 11 za </w:t>
      </w:r>
      <w:r w:rsidR="00F710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osobitnú kategóriu vybraných ropných </w:t>
      </w:r>
      <w:r w:rsidR="00F710B4" w:rsidRPr="00F710B4">
        <w:rPr>
          <w:rFonts w:ascii="Times New Roman" w:hAnsi="Times New Roman"/>
          <w:color w:val="000000"/>
          <w:sz w:val="24"/>
          <w:szCs w:val="24"/>
          <w:lang w:eastAsia="sk-SK"/>
        </w:rPr>
        <w:t>výrobkov</w:t>
      </w:r>
      <w:r w:rsidR="00F710B4" w:rsidRPr="00F710B4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36</w:t>
      </w:r>
      <w:r w:rsidR="00F710B4" w:rsidRPr="00F710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za </w:t>
      </w:r>
      <w:r w:rsidR="00A35CF8">
        <w:rPr>
          <w:rFonts w:ascii="Times New Roman" w:hAnsi="Times New Roman"/>
          <w:color w:val="000000"/>
          <w:sz w:val="24"/>
          <w:szCs w:val="24"/>
          <w:lang w:eastAsia="sk-SK"/>
        </w:rPr>
        <w:t>obdobie od 1.</w:t>
      </w:r>
      <w:r w:rsidR="00F710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decembr</w:t>
      </w:r>
      <w:r w:rsidR="00A35CF8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F141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2020 </w:t>
      </w:r>
      <w:r w:rsidR="00A74EE9">
        <w:rPr>
          <w:rFonts w:ascii="Times New Roman" w:hAnsi="Times New Roman"/>
          <w:color w:val="000000"/>
          <w:sz w:val="24"/>
          <w:szCs w:val="24"/>
          <w:lang w:eastAsia="sk-SK"/>
        </w:rPr>
        <w:t>do </w:t>
      </w:r>
      <w:r w:rsidR="000779FA">
        <w:rPr>
          <w:rFonts w:ascii="Times New Roman" w:hAnsi="Times New Roman"/>
          <w:color w:val="000000"/>
          <w:sz w:val="24"/>
          <w:szCs w:val="24"/>
          <w:lang w:eastAsia="sk-SK"/>
        </w:rPr>
        <w:t>30</w:t>
      </w:r>
      <w:r w:rsidR="00A74E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0779FA">
        <w:rPr>
          <w:rFonts w:ascii="Times New Roman" w:hAnsi="Times New Roman"/>
          <w:color w:val="000000"/>
          <w:sz w:val="24"/>
          <w:szCs w:val="24"/>
          <w:lang w:eastAsia="sk-SK"/>
        </w:rPr>
        <w:t>novembra</w:t>
      </w:r>
      <w:r w:rsidR="00A74E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2021</w:t>
      </w:r>
      <w:r w:rsidR="00A35C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najneskôr do </w:t>
      </w:r>
      <w:r w:rsidR="000779FA">
        <w:rPr>
          <w:rFonts w:ascii="Times New Roman" w:hAnsi="Times New Roman"/>
          <w:color w:val="000000"/>
          <w:sz w:val="24"/>
          <w:szCs w:val="24"/>
          <w:lang w:eastAsia="sk-SK"/>
        </w:rPr>
        <w:t>31</w:t>
      </w:r>
      <w:r w:rsidR="00A35C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0779FA">
        <w:rPr>
          <w:rFonts w:ascii="Times New Roman" w:hAnsi="Times New Roman"/>
          <w:color w:val="000000"/>
          <w:sz w:val="24"/>
          <w:szCs w:val="24"/>
          <w:lang w:eastAsia="sk-SK"/>
        </w:rPr>
        <w:t>januára</w:t>
      </w:r>
      <w:r w:rsidR="00DB3CF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2022</w:t>
      </w:r>
      <w:r w:rsidRPr="00F1416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6391B345" w14:textId="77777777" w:rsidR="004B6CF7" w:rsidRDefault="004B6CF7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7975B92" w14:textId="77777777" w:rsidR="004B6CF7" w:rsidRDefault="004B6CF7" w:rsidP="004B6CF7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Poznámka pod čiarou k odkazu 36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34A0D365" w14:textId="77777777" w:rsidR="00813CE7" w:rsidRPr="00F06BB5" w:rsidRDefault="004B6CF7" w:rsidP="004B6CF7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36</w:t>
      </w: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4B6CF7">
        <w:rPr>
          <w:rFonts w:ascii="Times New Roman" w:hAnsi="Times New Roman"/>
          <w:color w:val="000000"/>
          <w:sz w:val="24"/>
          <w:szCs w:val="24"/>
          <w:lang w:eastAsia="sk-SK"/>
        </w:rPr>
        <w:t>§ 6 ods. 1 písm. e) zákona č. 98/2004 Z. z. v znení neskorších predpisov.</w:t>
      </w: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  <w:r w:rsidR="00813CE7" w:rsidRPr="00F06BB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8DA9DFD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5EBB3A7" w14:textId="77777777" w:rsidR="00813CE7" w:rsidRDefault="0093784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rílohe č. 1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sa tabuľka s názvom „</w:t>
      </w:r>
      <w:r w:rsidR="00B2285F" w:rsidRPr="00B2285F">
        <w:rPr>
          <w:rFonts w:ascii="Times New Roman" w:hAnsi="Times New Roman"/>
          <w:color w:val="000000"/>
          <w:sz w:val="24"/>
          <w:szCs w:val="24"/>
          <w:lang w:eastAsia="sk-SK"/>
        </w:rPr>
        <w:t>ROPA, ROPNÉ POLOTOVARY A VYBRANÉ ROPNÉ VÝROBKY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“ označuje ako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prvý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bod.</w:t>
      </w:r>
    </w:p>
    <w:p w14:paraId="0E57BEC0" w14:textId="77777777" w:rsidR="00813CE7" w:rsidRDefault="00813CE7" w:rsidP="00D05FD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6D21476C" w14:textId="06F70B37" w:rsidR="00813CE7" w:rsidRPr="009845C7" w:rsidRDefault="005504A0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rílohe č. 1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prvom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bod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>riadk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>och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22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23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</w:t>
      </w:r>
      <w:r w:rsidR="00A74E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slovom „oleje“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vypúšťa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čiarka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slová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„iné ako vyrobené z odpadových olejov,“</w:t>
      </w:r>
      <w:r w:rsidR="009209F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0BDE2D6" w14:textId="48622C01" w:rsidR="00A74EE9" w:rsidRDefault="00A74EE9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FB3F518" w14:textId="77777777" w:rsidR="00437DF2" w:rsidRPr="009845C7" w:rsidRDefault="00437DF2" w:rsidP="009845C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5CE9341" w14:textId="43B3A806" w:rsidR="00437DF2" w:rsidRDefault="00437DF2" w:rsidP="006575B4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437D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prílohe č. 1 prvom bode 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tabuľka dopĺňa </w:t>
      </w:r>
      <w:r w:rsidR="00240DEB">
        <w:rPr>
          <w:rFonts w:ascii="Times New Roman" w:hAnsi="Times New Roman"/>
          <w:color w:val="000000"/>
          <w:sz w:val="24"/>
          <w:szCs w:val="24"/>
          <w:lang w:eastAsia="sk-SK"/>
        </w:rPr>
        <w:t>riadkom 26, ktorý znie: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553"/>
        <w:gridCol w:w="1698"/>
        <w:gridCol w:w="1794"/>
        <w:gridCol w:w="1928"/>
        <w:gridCol w:w="1729"/>
      </w:tblGrid>
      <w:tr w:rsidR="00240DEB" w14:paraId="468EBDE8" w14:textId="2B822F29" w:rsidTr="006575B4"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7739" w14:textId="259CF07F" w:rsidR="00240DEB" w:rsidRPr="00240DEB" w:rsidRDefault="00240DEB" w:rsidP="006575B4">
            <w:pPr>
              <w:pStyle w:val="Odsekzoznamu"/>
              <w:spacing w:after="0"/>
              <w:ind w:left="0"/>
              <w:jc w:val="right"/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lang w:eastAsia="sk-SK"/>
              </w:rPr>
            </w:pPr>
            <w:r w:rsidRPr="00240DEB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39675CFD" w14:textId="0B9E8290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794" w:type="dxa"/>
          </w:tcPr>
          <w:p w14:paraId="4D671633" w14:textId="36255FB9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2710 20 90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6CB7687" w14:textId="7389FE34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Ostatné oleje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811BC" w14:textId="6C6FEA2B" w:rsidR="00240DEB" w:rsidRPr="006575B4" w:rsidRDefault="00240DEB" w:rsidP="006575B4">
            <w:pPr>
              <w:pStyle w:val="Odsekzoznamu"/>
              <w:spacing w:after="0"/>
              <w:ind w:left="0"/>
              <w:rPr>
                <w:rFonts w:ascii="Times New Roman" w:hAnsi="Times New Roman"/>
                <w:color w:val="000000"/>
                <w:kern w:val="144"/>
                <w:position w:val="12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kern w:val="144"/>
                <w:sz w:val="24"/>
                <w:szCs w:val="24"/>
                <w:lang w:eastAsia="sk-SK"/>
              </w:rPr>
              <w:t>“.</w:t>
            </w:r>
          </w:p>
        </w:tc>
      </w:tr>
    </w:tbl>
    <w:p w14:paraId="76E2FB62" w14:textId="77777777" w:rsidR="00240DEB" w:rsidRDefault="00240DEB" w:rsidP="006575B4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0F3F011" w14:textId="77777777" w:rsidR="0074365E" w:rsidRPr="0074365E" w:rsidRDefault="0074365E" w:rsidP="00D05FD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94D92A5" w14:textId="77777777" w:rsidR="00813CE7" w:rsidRDefault="0083152B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 sa dopĺňa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druhým bodom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>, ktorý znie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6FFF8EF1" w14:textId="2531E5FA" w:rsidR="00813CE7" w:rsidRDefault="00813CE7" w:rsidP="000821F5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>2.</w:t>
      </w:r>
      <w:r w:rsidRPr="00F61B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zmene kódu 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podpoložky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kombinovanej no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>menklatúry v osobitnom predpise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 sa pre vybraný ropný výrobok aplikuje aktuálny kód kombinovanej nomenklatúry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osobitného predpisu,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ak slovný opis vybraného ropného výrobku podľa prvého bodu naďalej spĺňa kritériá definície ropného výr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>obku podľa osobitného predpisu.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03953AD1" w14:textId="77777777" w:rsidR="003C4D6E" w:rsidRDefault="003C4D6E" w:rsidP="000821F5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577BF99" w14:textId="77777777" w:rsidR="003C4D6E" w:rsidRPr="003C4D6E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Poznámka pod čiarou k odkazu 3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3A1BACEF" w14:textId="05A497D4" w:rsidR="00D05FDB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3C4D6E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7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Príloha 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ariadeni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Rady (EHS) č. 2658/87 z 23. júla 1987 o colnej a štatistickej nomenklatúre a o Spoločnom colnom sadzobníku (Ú. v. ES L 256, 7.9.1987; Mimoriadne vydanie Ú. v. EÚ, kap. 2/zv. 2)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platnom znení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.“.</w:t>
      </w:r>
    </w:p>
    <w:p w14:paraId="16614748" w14:textId="172E597B" w:rsidR="003C4D6E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82B75BC" w14:textId="0513048D" w:rsidR="003C4D6E" w:rsidRDefault="003C4D6E" w:rsidP="007F4A8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 sa dopĺňa tretím bodom, ktorý znie:</w:t>
      </w:r>
    </w:p>
    <w:p w14:paraId="45A258F5" w14:textId="6543A0DF" w:rsidR="003C4D6E" w:rsidRDefault="003C4D6E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„3.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Ú. v.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EÚ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L 328, 21.12.2018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v znení rozhodnutia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Európskeho parlamentu a Rady (EÚ) 2019/504 z 19. marca 2019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r w:rsidR="004F01E7" w:rsidRPr="004F01E7">
        <w:rPr>
          <w:rFonts w:ascii="Times New Roman" w:hAnsi="Times New Roman"/>
          <w:color w:val="000000"/>
          <w:sz w:val="24"/>
          <w:szCs w:val="24"/>
          <w:lang w:eastAsia="sk-SK"/>
        </w:rPr>
        <w:t>Ú. v. EÚ L 85I, 27.3.2019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631FF348" w14:textId="77777777" w:rsidR="002264DC" w:rsidRPr="003C4D6E" w:rsidRDefault="002264DC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2C6308E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41885D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51903EB" w14:textId="163AE4C4" w:rsidR="00A57A4D" w:rsidRPr="006C1C5B" w:rsidRDefault="00813CE7" w:rsidP="00D05FD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17312">
        <w:rPr>
          <w:rFonts w:ascii="Times New Roman" w:hAnsi="Times New Roman"/>
          <w:color w:val="000000"/>
          <w:sz w:val="24"/>
          <w:szCs w:val="24"/>
          <w:lang w:eastAsia="sk-SK"/>
        </w:rPr>
        <w:t>Tento zákon nad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obúda účinnosť </w:t>
      </w:r>
      <w:r w:rsidR="009209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decembra </w:t>
      </w:r>
      <w:r w:rsidR="00B52B31">
        <w:rPr>
          <w:rFonts w:ascii="Times New Roman" w:hAnsi="Times New Roman"/>
          <w:color w:val="000000"/>
          <w:sz w:val="24"/>
          <w:szCs w:val="24"/>
          <w:lang w:eastAsia="sk-SK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sectPr w:rsidR="00A57A4D" w:rsidRPr="006C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2708F" w14:textId="77777777" w:rsidR="00111FA9" w:rsidRDefault="00111FA9" w:rsidP="001614E6">
      <w:pPr>
        <w:spacing w:after="0" w:line="240" w:lineRule="auto"/>
      </w:pPr>
      <w:r>
        <w:separator/>
      </w:r>
    </w:p>
  </w:endnote>
  <w:endnote w:type="continuationSeparator" w:id="0">
    <w:p w14:paraId="555B611D" w14:textId="77777777" w:rsidR="00111FA9" w:rsidRDefault="00111FA9" w:rsidP="0016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70E5" w14:textId="77777777" w:rsidR="000418D1" w:rsidRDefault="000418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02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1D04B36" w14:textId="4F573C78" w:rsidR="001614E6" w:rsidRPr="0030315E" w:rsidRDefault="001614E6" w:rsidP="001614E6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0315E">
          <w:rPr>
            <w:rFonts w:ascii="Times New Roman" w:hAnsi="Times New Roman"/>
            <w:sz w:val="24"/>
            <w:szCs w:val="24"/>
          </w:rPr>
          <w:fldChar w:fldCharType="begin"/>
        </w:r>
        <w:r w:rsidRPr="003031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315E">
          <w:rPr>
            <w:rFonts w:ascii="Times New Roman" w:hAnsi="Times New Roman"/>
            <w:sz w:val="24"/>
            <w:szCs w:val="24"/>
          </w:rPr>
          <w:fldChar w:fldCharType="separate"/>
        </w:r>
        <w:r w:rsidR="00EC36AB">
          <w:rPr>
            <w:rFonts w:ascii="Times New Roman" w:hAnsi="Times New Roman"/>
            <w:noProof/>
            <w:sz w:val="24"/>
            <w:szCs w:val="24"/>
          </w:rPr>
          <w:t>4</w:t>
        </w:r>
        <w:r w:rsidRPr="003031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D35A" w14:textId="77777777" w:rsidR="000418D1" w:rsidRDefault="0004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E173" w14:textId="77777777" w:rsidR="00111FA9" w:rsidRDefault="00111FA9" w:rsidP="001614E6">
      <w:pPr>
        <w:spacing w:after="0" w:line="240" w:lineRule="auto"/>
      </w:pPr>
      <w:r>
        <w:separator/>
      </w:r>
    </w:p>
  </w:footnote>
  <w:footnote w:type="continuationSeparator" w:id="0">
    <w:p w14:paraId="6D6019F0" w14:textId="77777777" w:rsidR="00111FA9" w:rsidRDefault="00111FA9" w:rsidP="0016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3B6C" w14:textId="77777777" w:rsidR="000418D1" w:rsidRDefault="0004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0E9F" w14:textId="77777777" w:rsidR="000418D1" w:rsidRDefault="000418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7CBB" w14:textId="77777777" w:rsidR="000418D1" w:rsidRDefault="000418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E1"/>
    <w:multiLevelType w:val="hybridMultilevel"/>
    <w:tmpl w:val="58321178"/>
    <w:lvl w:ilvl="0" w:tplc="792CFF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FB"/>
    <w:multiLevelType w:val="hybridMultilevel"/>
    <w:tmpl w:val="63C02F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C25"/>
    <w:multiLevelType w:val="hybridMultilevel"/>
    <w:tmpl w:val="707EF458"/>
    <w:lvl w:ilvl="0" w:tplc="032E72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C72"/>
    <w:multiLevelType w:val="hybridMultilevel"/>
    <w:tmpl w:val="7F6CE11C"/>
    <w:lvl w:ilvl="0" w:tplc="6C80D2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A1CBC"/>
    <w:multiLevelType w:val="hybridMultilevel"/>
    <w:tmpl w:val="5DC81EFE"/>
    <w:lvl w:ilvl="0" w:tplc="0B58A9F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00F0"/>
    <w:multiLevelType w:val="hybridMultilevel"/>
    <w:tmpl w:val="69AC4692"/>
    <w:lvl w:ilvl="0" w:tplc="C19E6558">
      <w:start w:val="1"/>
      <w:numFmt w:val="decimal"/>
      <w:lvlText w:val="a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17296"/>
    <w:multiLevelType w:val="hybridMultilevel"/>
    <w:tmpl w:val="9ED28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1738"/>
    <w:multiLevelType w:val="hybridMultilevel"/>
    <w:tmpl w:val="EF4243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6"/>
    <w:rsid w:val="00011B72"/>
    <w:rsid w:val="0001462A"/>
    <w:rsid w:val="000168F1"/>
    <w:rsid w:val="00021D7B"/>
    <w:rsid w:val="000236F2"/>
    <w:rsid w:val="000418D1"/>
    <w:rsid w:val="00057F44"/>
    <w:rsid w:val="000623D8"/>
    <w:rsid w:val="000779FA"/>
    <w:rsid w:val="000821F5"/>
    <w:rsid w:val="00095924"/>
    <w:rsid w:val="00097B9F"/>
    <w:rsid w:val="000B27D7"/>
    <w:rsid w:val="000B76FB"/>
    <w:rsid w:val="000C1D40"/>
    <w:rsid w:val="000F0196"/>
    <w:rsid w:val="00103F57"/>
    <w:rsid w:val="00111959"/>
    <w:rsid w:val="00111FA9"/>
    <w:rsid w:val="00112A03"/>
    <w:rsid w:val="00117543"/>
    <w:rsid w:val="00120655"/>
    <w:rsid w:val="0013136D"/>
    <w:rsid w:val="00131B18"/>
    <w:rsid w:val="00137641"/>
    <w:rsid w:val="00146B3F"/>
    <w:rsid w:val="00156519"/>
    <w:rsid w:val="001614E6"/>
    <w:rsid w:val="001817E3"/>
    <w:rsid w:val="001C2689"/>
    <w:rsid w:val="001C478D"/>
    <w:rsid w:val="001D0B13"/>
    <w:rsid w:val="001D235E"/>
    <w:rsid w:val="001D2AF6"/>
    <w:rsid w:val="001E6C04"/>
    <w:rsid w:val="00214753"/>
    <w:rsid w:val="002264DC"/>
    <w:rsid w:val="00240DEB"/>
    <w:rsid w:val="0024262B"/>
    <w:rsid w:val="00247A3E"/>
    <w:rsid w:val="002626BD"/>
    <w:rsid w:val="00281D60"/>
    <w:rsid w:val="00291D1D"/>
    <w:rsid w:val="00293365"/>
    <w:rsid w:val="0029341B"/>
    <w:rsid w:val="002B3731"/>
    <w:rsid w:val="002C15C5"/>
    <w:rsid w:val="002D026A"/>
    <w:rsid w:val="0030315E"/>
    <w:rsid w:val="00314227"/>
    <w:rsid w:val="00315B17"/>
    <w:rsid w:val="00316846"/>
    <w:rsid w:val="003243D7"/>
    <w:rsid w:val="003466CF"/>
    <w:rsid w:val="00350CB9"/>
    <w:rsid w:val="0038331F"/>
    <w:rsid w:val="00392908"/>
    <w:rsid w:val="003C1341"/>
    <w:rsid w:val="003C4D6E"/>
    <w:rsid w:val="003D1B01"/>
    <w:rsid w:val="00400584"/>
    <w:rsid w:val="00402244"/>
    <w:rsid w:val="00415A62"/>
    <w:rsid w:val="00427463"/>
    <w:rsid w:val="00427A3E"/>
    <w:rsid w:val="00437DF2"/>
    <w:rsid w:val="0044301A"/>
    <w:rsid w:val="004633B2"/>
    <w:rsid w:val="00463DAA"/>
    <w:rsid w:val="0046455B"/>
    <w:rsid w:val="00466C9B"/>
    <w:rsid w:val="004730FA"/>
    <w:rsid w:val="0048159D"/>
    <w:rsid w:val="00496813"/>
    <w:rsid w:val="004A5C8D"/>
    <w:rsid w:val="004B44E4"/>
    <w:rsid w:val="004B5AFF"/>
    <w:rsid w:val="004B6CF7"/>
    <w:rsid w:val="004C3EE2"/>
    <w:rsid w:val="004F01E7"/>
    <w:rsid w:val="004F378C"/>
    <w:rsid w:val="004F5BE4"/>
    <w:rsid w:val="005054B8"/>
    <w:rsid w:val="00523659"/>
    <w:rsid w:val="005307A0"/>
    <w:rsid w:val="005334A7"/>
    <w:rsid w:val="005504A0"/>
    <w:rsid w:val="00577BD2"/>
    <w:rsid w:val="005806DB"/>
    <w:rsid w:val="00594B4D"/>
    <w:rsid w:val="00594B8C"/>
    <w:rsid w:val="00597A94"/>
    <w:rsid w:val="005E7405"/>
    <w:rsid w:val="006017F4"/>
    <w:rsid w:val="00601ED4"/>
    <w:rsid w:val="00603EE1"/>
    <w:rsid w:val="00611B6E"/>
    <w:rsid w:val="006325FA"/>
    <w:rsid w:val="00635540"/>
    <w:rsid w:val="0064685A"/>
    <w:rsid w:val="00650ACB"/>
    <w:rsid w:val="00652772"/>
    <w:rsid w:val="00653E11"/>
    <w:rsid w:val="00654256"/>
    <w:rsid w:val="00654F3B"/>
    <w:rsid w:val="00655E7B"/>
    <w:rsid w:val="006575B4"/>
    <w:rsid w:val="00660744"/>
    <w:rsid w:val="00665BD0"/>
    <w:rsid w:val="00681830"/>
    <w:rsid w:val="00684556"/>
    <w:rsid w:val="006A243F"/>
    <w:rsid w:val="006A306E"/>
    <w:rsid w:val="006A4362"/>
    <w:rsid w:val="006B23E7"/>
    <w:rsid w:val="006B5603"/>
    <w:rsid w:val="006B5AEF"/>
    <w:rsid w:val="006C1C5B"/>
    <w:rsid w:val="006C40B3"/>
    <w:rsid w:val="006F05A6"/>
    <w:rsid w:val="006F1BA8"/>
    <w:rsid w:val="006F39A8"/>
    <w:rsid w:val="00717325"/>
    <w:rsid w:val="0072715E"/>
    <w:rsid w:val="007272A9"/>
    <w:rsid w:val="00735A75"/>
    <w:rsid w:val="0074365E"/>
    <w:rsid w:val="007474AF"/>
    <w:rsid w:val="00747BD3"/>
    <w:rsid w:val="00761A54"/>
    <w:rsid w:val="00762EC0"/>
    <w:rsid w:val="00776428"/>
    <w:rsid w:val="007773BE"/>
    <w:rsid w:val="007801D5"/>
    <w:rsid w:val="00783EBC"/>
    <w:rsid w:val="00795FBA"/>
    <w:rsid w:val="007A426B"/>
    <w:rsid w:val="007C4F3F"/>
    <w:rsid w:val="007D6BE6"/>
    <w:rsid w:val="007F00A9"/>
    <w:rsid w:val="007F4A80"/>
    <w:rsid w:val="007F7DC8"/>
    <w:rsid w:val="0080033C"/>
    <w:rsid w:val="0081382D"/>
    <w:rsid w:val="00813CE7"/>
    <w:rsid w:val="0081743A"/>
    <w:rsid w:val="00820B04"/>
    <w:rsid w:val="0083152B"/>
    <w:rsid w:val="00841697"/>
    <w:rsid w:val="008549D6"/>
    <w:rsid w:val="0086410A"/>
    <w:rsid w:val="00885BDF"/>
    <w:rsid w:val="00885D6F"/>
    <w:rsid w:val="008E7778"/>
    <w:rsid w:val="008F6829"/>
    <w:rsid w:val="009001F3"/>
    <w:rsid w:val="009209FB"/>
    <w:rsid w:val="0093075B"/>
    <w:rsid w:val="00937849"/>
    <w:rsid w:val="00943646"/>
    <w:rsid w:val="00963A47"/>
    <w:rsid w:val="00970D2E"/>
    <w:rsid w:val="00973A48"/>
    <w:rsid w:val="009845C7"/>
    <w:rsid w:val="009938C3"/>
    <w:rsid w:val="009C1993"/>
    <w:rsid w:val="009C21B6"/>
    <w:rsid w:val="009D5CCD"/>
    <w:rsid w:val="00A14838"/>
    <w:rsid w:val="00A23F43"/>
    <w:rsid w:val="00A35CF8"/>
    <w:rsid w:val="00A504F9"/>
    <w:rsid w:val="00A50749"/>
    <w:rsid w:val="00A57A4D"/>
    <w:rsid w:val="00A62CD3"/>
    <w:rsid w:val="00A64E31"/>
    <w:rsid w:val="00A74EE9"/>
    <w:rsid w:val="00A86DFC"/>
    <w:rsid w:val="00A956EA"/>
    <w:rsid w:val="00A97BFC"/>
    <w:rsid w:val="00AA1F8C"/>
    <w:rsid w:val="00AB5862"/>
    <w:rsid w:val="00AC66BF"/>
    <w:rsid w:val="00AE2DA5"/>
    <w:rsid w:val="00AE2EC8"/>
    <w:rsid w:val="00B2285F"/>
    <w:rsid w:val="00B31825"/>
    <w:rsid w:val="00B43B02"/>
    <w:rsid w:val="00B46712"/>
    <w:rsid w:val="00B50390"/>
    <w:rsid w:val="00B504C6"/>
    <w:rsid w:val="00B51EAD"/>
    <w:rsid w:val="00B52B31"/>
    <w:rsid w:val="00B538A8"/>
    <w:rsid w:val="00B60B34"/>
    <w:rsid w:val="00B8532B"/>
    <w:rsid w:val="00BB2D25"/>
    <w:rsid w:val="00BB4578"/>
    <w:rsid w:val="00BB49E4"/>
    <w:rsid w:val="00BB59CF"/>
    <w:rsid w:val="00C17312"/>
    <w:rsid w:val="00C203EA"/>
    <w:rsid w:val="00C21ED1"/>
    <w:rsid w:val="00C31D6D"/>
    <w:rsid w:val="00C40308"/>
    <w:rsid w:val="00C430CB"/>
    <w:rsid w:val="00C559E8"/>
    <w:rsid w:val="00C61D94"/>
    <w:rsid w:val="00C74937"/>
    <w:rsid w:val="00C979FC"/>
    <w:rsid w:val="00CA48D4"/>
    <w:rsid w:val="00CB0961"/>
    <w:rsid w:val="00CC25F5"/>
    <w:rsid w:val="00CC3459"/>
    <w:rsid w:val="00CD075F"/>
    <w:rsid w:val="00CD6228"/>
    <w:rsid w:val="00CF76F9"/>
    <w:rsid w:val="00D0136E"/>
    <w:rsid w:val="00D0446C"/>
    <w:rsid w:val="00D05FDB"/>
    <w:rsid w:val="00D31F1F"/>
    <w:rsid w:val="00D679C8"/>
    <w:rsid w:val="00D80564"/>
    <w:rsid w:val="00D84779"/>
    <w:rsid w:val="00D92B49"/>
    <w:rsid w:val="00DA5E7B"/>
    <w:rsid w:val="00DB3CFF"/>
    <w:rsid w:val="00DB5A7E"/>
    <w:rsid w:val="00DF6B4D"/>
    <w:rsid w:val="00E1783F"/>
    <w:rsid w:val="00E2480A"/>
    <w:rsid w:val="00E4169F"/>
    <w:rsid w:val="00E42380"/>
    <w:rsid w:val="00E43400"/>
    <w:rsid w:val="00E450BE"/>
    <w:rsid w:val="00E73077"/>
    <w:rsid w:val="00E87C58"/>
    <w:rsid w:val="00E90B52"/>
    <w:rsid w:val="00EA38B6"/>
    <w:rsid w:val="00EB33A6"/>
    <w:rsid w:val="00EC36AB"/>
    <w:rsid w:val="00ED258A"/>
    <w:rsid w:val="00EF27D3"/>
    <w:rsid w:val="00F0388A"/>
    <w:rsid w:val="00F1294C"/>
    <w:rsid w:val="00F14160"/>
    <w:rsid w:val="00F20903"/>
    <w:rsid w:val="00F2343B"/>
    <w:rsid w:val="00F36619"/>
    <w:rsid w:val="00F4238B"/>
    <w:rsid w:val="00F42556"/>
    <w:rsid w:val="00F52D0C"/>
    <w:rsid w:val="00F60D22"/>
    <w:rsid w:val="00F63C43"/>
    <w:rsid w:val="00F710B4"/>
    <w:rsid w:val="00F71209"/>
    <w:rsid w:val="00F7771C"/>
    <w:rsid w:val="00F77DF6"/>
    <w:rsid w:val="00F8783C"/>
    <w:rsid w:val="00F94E15"/>
    <w:rsid w:val="00F9602C"/>
    <w:rsid w:val="00FB088C"/>
    <w:rsid w:val="00FC6517"/>
    <w:rsid w:val="00FE370A"/>
    <w:rsid w:val="00FE503F"/>
    <w:rsid w:val="00FF2E4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7DFE"/>
  <w15:docId w15:val="{CD76030E-3CD0-4D13-AC9D-348BEA7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C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C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6F2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4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4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475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4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4753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4E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4E6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2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-Vlastný-materiál"/>
    <f:field ref="objsubject" par="" edit="true" text=""/>
    <f:field ref="objcreatedby" par="" text="Blaho, Peter, JUDr."/>
    <f:field ref="objcreatedat" par="" text="21.4.2021 15:09:53"/>
    <f:field ref="objchangedby" par="" text="Administrator, System"/>
    <f:field ref="objmodifiedat" par="" text="21.4.2021 15:09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Demeter</dc:creator>
  <cp:keywords/>
  <dc:description/>
  <cp:lastModifiedBy>Tančiboková Pavla</cp:lastModifiedBy>
  <cp:revision>4</cp:revision>
  <cp:lastPrinted>2021-07-29T06:43:00Z</cp:lastPrinted>
  <dcterms:created xsi:type="dcterms:W3CDTF">2021-07-28T09:08:00Z</dcterms:created>
  <dcterms:modified xsi:type="dcterms:W3CDTF">2021-07-29T06:43:00Z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21. 4. 2021</vt:lpwstr>
  </property>
  <property fmtid="{D5CDD505-2E9C-101B-9397-08002B2CF9AE}" pid="151" name="FSC#COOSYSTEM@1.1:Container">
    <vt:lpwstr>COO.2145.1000.3.4332711</vt:lpwstr>
  </property>
  <property fmtid="{D5CDD505-2E9C-101B-9397-08002B2CF9AE}" pid="152" name="FSC#FSCFOLIO@1.1001:docpropproject">
    <vt:lpwstr/>
  </property>
</Properties>
</file>