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D73FED" w14:paraId="3963F753" w14:textId="77777777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7436C2C6" w14:textId="77777777" w:rsidR="009F2DFA" w:rsidRPr="00D73FED" w:rsidRDefault="008A1252" w:rsidP="007B71A4">
            <w:pPr>
              <w:jc w:val="center"/>
              <w:rPr>
                <w:b/>
                <w:sz w:val="24"/>
              </w:rPr>
            </w:pPr>
            <w:r w:rsidRPr="00D73FED">
              <w:rPr>
                <w:b/>
                <w:sz w:val="28"/>
              </w:rPr>
              <w:t>Analýza v</w:t>
            </w:r>
            <w:r w:rsidR="009F2DFA" w:rsidRPr="00D73FED">
              <w:rPr>
                <w:b/>
                <w:sz w:val="28"/>
              </w:rPr>
              <w:t>plyv</w:t>
            </w:r>
            <w:r w:rsidRPr="00D73FED">
              <w:rPr>
                <w:b/>
                <w:sz w:val="28"/>
              </w:rPr>
              <w:t>ov</w:t>
            </w:r>
            <w:r w:rsidR="009F2DFA" w:rsidRPr="00D73FED">
              <w:rPr>
                <w:b/>
                <w:sz w:val="28"/>
              </w:rPr>
              <w:t xml:space="preserve"> na podnikateľské prostredie</w:t>
            </w:r>
          </w:p>
          <w:p w14:paraId="73DB2694" w14:textId="77777777" w:rsidR="009F2DFA" w:rsidRPr="00D73FED" w:rsidRDefault="009F2DFA" w:rsidP="00780BA6">
            <w:pPr>
              <w:jc w:val="center"/>
              <w:rPr>
                <w:b/>
              </w:rPr>
            </w:pPr>
            <w:r w:rsidRPr="00D73FED">
              <w:rPr>
                <w:b/>
                <w:sz w:val="24"/>
              </w:rPr>
              <w:t xml:space="preserve">(vrátane </w:t>
            </w:r>
            <w:r w:rsidR="00780BA6" w:rsidRPr="00D73FED">
              <w:rPr>
                <w:b/>
                <w:sz w:val="24"/>
              </w:rPr>
              <w:t xml:space="preserve">testu </w:t>
            </w:r>
            <w:r w:rsidRPr="00D73FED">
              <w:rPr>
                <w:b/>
                <w:sz w:val="24"/>
              </w:rPr>
              <w:t>MSP)</w:t>
            </w:r>
          </w:p>
        </w:tc>
      </w:tr>
      <w:tr w:rsidR="009F2DFA" w:rsidRPr="00D73FED" w14:paraId="5758B53E" w14:textId="77777777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4B13F2DC" w14:textId="77777777" w:rsidR="009F2DFA" w:rsidRPr="00D73FED" w:rsidRDefault="009F2DFA" w:rsidP="007B71A4">
            <w:pPr>
              <w:rPr>
                <w:b/>
                <w:sz w:val="24"/>
              </w:rPr>
            </w:pPr>
            <w:r w:rsidRPr="00D73FED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D73FED" w14:paraId="1956E152" w14:textId="77777777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D73FED" w14:paraId="2462FCC5" w14:textId="77777777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12DE4C4" w14:textId="77777777" w:rsidR="009F2DFA" w:rsidRPr="00D73FED" w:rsidRDefault="009F2DFA" w:rsidP="007B71A4">
                      <w:pPr>
                        <w:jc w:val="center"/>
                      </w:pPr>
                      <w:r w:rsidRPr="00D73FE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8ADF37E" w14:textId="77777777" w:rsidR="009F2DFA" w:rsidRPr="00D73FED" w:rsidRDefault="009F2DFA" w:rsidP="007B71A4">
                  <w:pPr>
                    <w:rPr>
                      <w:b/>
                      <w:sz w:val="24"/>
                      <w:szCs w:val="24"/>
                    </w:rPr>
                  </w:pPr>
                  <w:r w:rsidRPr="00D73FED">
                    <w:rPr>
                      <w:b/>
                      <w:sz w:val="24"/>
                      <w:szCs w:val="24"/>
                    </w:rPr>
                    <w:t xml:space="preserve">iba na MSP (0 - 249 zamestnancov) </w:t>
                  </w:r>
                </w:p>
              </w:tc>
            </w:tr>
            <w:tr w:rsidR="009F2DFA" w:rsidRPr="00D73FED" w14:paraId="5062CA1F" w14:textId="77777777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487E843" w14:textId="77777777" w:rsidR="009F2DFA" w:rsidRPr="00D73FED" w:rsidRDefault="009F2DFA" w:rsidP="007B71A4">
                      <w:pPr>
                        <w:jc w:val="center"/>
                      </w:pPr>
                      <w:r w:rsidRPr="00D73FE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CE60BE2" w14:textId="77777777" w:rsidR="009F2DFA" w:rsidRPr="00D73FED" w:rsidRDefault="009F2DFA" w:rsidP="007B71A4">
                  <w:pPr>
                    <w:rPr>
                      <w:b/>
                      <w:sz w:val="24"/>
                      <w:szCs w:val="24"/>
                    </w:rPr>
                  </w:pPr>
                  <w:r w:rsidRPr="00D73FED">
                    <w:rPr>
                      <w:b/>
                      <w:sz w:val="24"/>
                      <w:szCs w:val="24"/>
                    </w:rPr>
                    <w:t>iba na veľké podniky (250 a viac zamestnancov)</w:t>
                  </w:r>
                </w:p>
              </w:tc>
            </w:tr>
            <w:tr w:rsidR="009F2DFA" w:rsidRPr="00D73FED" w14:paraId="5640B441" w14:textId="77777777" w:rsidTr="007B71A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8F0EC30" w14:textId="77777777" w:rsidR="009F2DFA" w:rsidRPr="00D73FED" w:rsidRDefault="003D1528" w:rsidP="007B71A4">
                      <w:pPr>
                        <w:jc w:val="center"/>
                      </w:pPr>
                      <w:r w:rsidRPr="00D73FED">
                        <w:rPr>
                          <w:rFonts w:ascii="MS Gothic" w:eastAsia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DA1E0FA" w14:textId="77777777" w:rsidR="009F2DFA" w:rsidRPr="00D73FED" w:rsidRDefault="009F2DFA" w:rsidP="007B71A4">
                  <w:pPr>
                    <w:rPr>
                      <w:sz w:val="24"/>
                      <w:szCs w:val="24"/>
                    </w:rPr>
                  </w:pPr>
                  <w:r w:rsidRPr="00D73FED">
                    <w:rPr>
                      <w:b/>
                      <w:sz w:val="24"/>
                      <w:szCs w:val="24"/>
                    </w:rPr>
                    <w:t>na všetky kategórie podnikov</w:t>
                  </w:r>
                </w:p>
              </w:tc>
            </w:tr>
          </w:tbl>
          <w:p w14:paraId="0B500EDD" w14:textId="77777777" w:rsidR="009F2DFA" w:rsidRPr="00D73FED" w:rsidRDefault="009F2DFA" w:rsidP="007B71A4">
            <w:pPr>
              <w:rPr>
                <w:b/>
              </w:rPr>
            </w:pPr>
          </w:p>
        </w:tc>
      </w:tr>
      <w:tr w:rsidR="009F2DFA" w:rsidRPr="00D73FED" w14:paraId="480628F8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350EC0A2" w14:textId="77777777" w:rsidR="009F2DFA" w:rsidRPr="00D73FED" w:rsidRDefault="002B1108" w:rsidP="007B71A4">
            <w:pPr>
              <w:rPr>
                <w:b/>
                <w:sz w:val="24"/>
              </w:rPr>
            </w:pPr>
            <w:r w:rsidRPr="00D73FED">
              <w:rPr>
                <w:b/>
                <w:sz w:val="24"/>
              </w:rPr>
              <w:t>3</w:t>
            </w:r>
            <w:r w:rsidR="009F2DFA" w:rsidRPr="00D73FED">
              <w:rPr>
                <w:b/>
                <w:sz w:val="24"/>
              </w:rPr>
              <w:t>.1 Dotknuté podnikateľské subjekty</w:t>
            </w:r>
          </w:p>
          <w:p w14:paraId="1200E963" w14:textId="77777777" w:rsidR="009F2DFA" w:rsidRPr="00D73FED" w:rsidRDefault="009F2DFA" w:rsidP="007B71A4">
            <w:pPr>
              <w:ind w:left="284"/>
              <w:rPr>
                <w:b/>
              </w:rPr>
            </w:pPr>
            <w:r w:rsidRPr="00D73FED">
              <w:rPr>
                <w:sz w:val="24"/>
              </w:rPr>
              <w:t xml:space="preserve"> - </w:t>
            </w:r>
            <w:r w:rsidRPr="00D73FED">
              <w:rPr>
                <w:b/>
                <w:sz w:val="24"/>
              </w:rPr>
              <w:t>z toho MSP</w:t>
            </w:r>
          </w:p>
        </w:tc>
      </w:tr>
      <w:tr w:rsidR="009F2DFA" w:rsidRPr="00D73FED" w14:paraId="34F48D02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2F5EA02A" w14:textId="77777777" w:rsidR="009F2DFA" w:rsidRPr="00D73FED" w:rsidRDefault="009F2DFA" w:rsidP="00390F94">
            <w:pPr>
              <w:jc w:val="both"/>
              <w:rPr>
                <w:i/>
              </w:rPr>
            </w:pPr>
            <w:r w:rsidRPr="00D73FED">
              <w:rPr>
                <w:i/>
              </w:rPr>
              <w:t>Uveďte, aké podnikateľské subjekty budú predkladaným návrhom ovplyvnené.</w:t>
            </w:r>
          </w:p>
          <w:p w14:paraId="5C333E94" w14:textId="77777777" w:rsidR="00C92901" w:rsidRPr="00D73FED" w:rsidRDefault="009F2DFA" w:rsidP="006063AF">
            <w:pPr>
              <w:jc w:val="both"/>
              <w:rPr>
                <w:i/>
              </w:rPr>
            </w:pPr>
            <w:r w:rsidRPr="00D73FED">
              <w:rPr>
                <w:i/>
              </w:rPr>
              <w:t>Aký je ich počet?</w:t>
            </w:r>
          </w:p>
        </w:tc>
      </w:tr>
      <w:tr w:rsidR="009F2DFA" w:rsidRPr="00D73FED" w14:paraId="71B538BC" w14:textId="77777777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24D24604" w14:textId="4F0A9530" w:rsidR="00537BCF" w:rsidRPr="00D73FED" w:rsidRDefault="00AA2E07" w:rsidP="00776B29">
            <w:pPr>
              <w:pStyle w:val="Obyajntext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73FE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Návrh zákona sa bude týkať najmä prevádzkovateľov cestnej dopravy, ktorí používajú motorové vozidlá alebo jazdné súpravy na prepravu tovaru v medzinárodnej doprave, ktorých najväčšia prípustná celková hmotnosť presahuje 2,5 tony, ale nepresahuje 3,5 tony. Títo patria v súčasnosti pod rozsah zákona č. 455/1991 Zb. o živnostenskom podnikaní (živnostenský zákon) v znení neskorších predpisov. Nevieme presne aký počet takýchto prevádzkovate</w:t>
            </w:r>
            <w:r w:rsidR="00995D24" w:rsidRPr="00D73FE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ľov bude</w:t>
            </w:r>
            <w:r w:rsidR="006D423D" w:rsidRPr="00D73FE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. </w:t>
            </w:r>
            <w:r w:rsidR="00995D24" w:rsidRPr="00D73FE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Ministerstvo vnútra SR eviduje iba celkový počet vydaných živností na nákladnú prepravu tovaru s celkovou hmotnosťou nepresahujúcou 3,5 ton, ktorých je v súčasnosti </w:t>
            </w:r>
            <w:r w:rsidR="007D1AEE" w:rsidRPr="00D73FE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viac ako </w:t>
            </w:r>
            <w:r w:rsidR="00995D24" w:rsidRPr="00D73FE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160 000 a väčšina týchto subjektov </w:t>
            </w:r>
            <w:r w:rsidR="006D423D" w:rsidRPr="00D73FE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podľa nášho názoru </w:t>
            </w:r>
            <w:r w:rsidR="00995D24" w:rsidRPr="00D73FE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zostane naďalej pod rozsahom zákona č. 455/1991 Zb. o živnostenskom podnikaní (živnostenský zákon). V Slovenskej republike </w:t>
            </w:r>
            <w:r w:rsidR="00537BCF" w:rsidRPr="00D73FE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bolo</w:t>
            </w:r>
            <w:r w:rsidR="006D423D" w:rsidRPr="00D73FE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podľa štatistiky Ministerstva vnútra SR  k 31. decembru 2020</w:t>
            </w:r>
            <w:r w:rsidR="00537BCF" w:rsidRPr="00D73FE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="00995D24" w:rsidRPr="00D73FE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 kategórií nákladných vozidiel</w:t>
            </w:r>
            <w:r w:rsidR="00537BCF" w:rsidRPr="00D73FE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s celkovou hmotnosťou do 3,5 tony evidovaných 26</w:t>
            </w:r>
            <w:r w:rsidR="00776B29" w:rsidRPr="00D73FE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</w:t>
            </w:r>
            <w:r w:rsidR="00537BCF" w:rsidRPr="00D73FE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 w:rsidR="00776B29" w:rsidRPr="00D73FE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962</w:t>
            </w:r>
            <w:r w:rsidR="00537BCF" w:rsidRPr="00D73FE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vozidiel pričom v rozsahu </w:t>
            </w:r>
            <w:r w:rsidR="00995D24" w:rsidRPr="00D73FE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od 2,5 tony, </w:t>
            </w:r>
            <w:r w:rsidR="00537BCF" w:rsidRPr="00D73FE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do 3,5 tony 14</w:t>
            </w:r>
            <w:r w:rsidR="00776B29" w:rsidRPr="00D73FE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8</w:t>
            </w:r>
            <w:r w:rsidR="00537BCF" w:rsidRPr="00D73FE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 w:rsidR="00776B29" w:rsidRPr="00D73FE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689</w:t>
            </w:r>
            <w:r w:rsidR="00537BCF" w:rsidRPr="00D73FE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. </w:t>
            </w:r>
            <w:bookmarkStart w:id="0" w:name="_GoBack"/>
            <w:bookmarkEnd w:id="0"/>
          </w:p>
          <w:p w14:paraId="31D4DB73" w14:textId="0C7925E5" w:rsidR="00776B29" w:rsidRPr="00D73FED" w:rsidRDefault="00776B29" w:rsidP="00776B29">
            <w:pPr>
              <w:jc w:val="both"/>
              <w:rPr>
                <w:sz w:val="24"/>
                <w:szCs w:val="24"/>
              </w:rPr>
            </w:pPr>
            <w:r w:rsidRPr="00D73FED">
              <w:rPr>
                <w:sz w:val="24"/>
                <w:szCs w:val="24"/>
              </w:rPr>
              <w:t>Návrh zákona sa bude týkať aj prevádzkovateľov cestnej dopravy, ktorí sú držiteľmi licencie Spoločenstva pre nákladnú dopravu a držiteľmi licencie Spoločenstva na medzinárodnú osobnú prepravu autobusmi a autokarmi.</w:t>
            </w:r>
          </w:p>
          <w:p w14:paraId="4DF39601" w14:textId="5DCC414A" w:rsidR="00537BCF" w:rsidRPr="00D73FED" w:rsidRDefault="00537BCF" w:rsidP="00776B29">
            <w:pPr>
              <w:jc w:val="both"/>
              <w:rPr>
                <w:sz w:val="24"/>
                <w:szCs w:val="24"/>
              </w:rPr>
            </w:pPr>
            <w:r w:rsidRPr="00D73FED">
              <w:rPr>
                <w:sz w:val="24"/>
                <w:szCs w:val="24"/>
              </w:rPr>
              <w:t>K 31. decembru 2020 bolo v Slovenskej republike evidovaných 7</w:t>
            </w:r>
            <w:r w:rsidR="00831E24">
              <w:rPr>
                <w:sz w:val="24"/>
                <w:szCs w:val="24"/>
              </w:rPr>
              <w:t xml:space="preserve"> </w:t>
            </w:r>
            <w:r w:rsidRPr="00D73FED">
              <w:rPr>
                <w:sz w:val="24"/>
                <w:szCs w:val="24"/>
              </w:rPr>
              <w:t>152 dopravcov, ktorí boli držiteľmi licencie Spoločenstva pre nákladnú dopravu. Títo dopravcovia majú vydané overené kópie licencií Spoločenstva pre vozidlá  v počte 53 662.</w:t>
            </w:r>
          </w:p>
          <w:p w14:paraId="52E8CA40" w14:textId="3FEC2BE1" w:rsidR="00537BCF" w:rsidRPr="00D73FED" w:rsidRDefault="00537BCF" w:rsidP="006C4DDC">
            <w:pPr>
              <w:jc w:val="both"/>
              <w:rPr>
                <w:sz w:val="24"/>
                <w:szCs w:val="24"/>
              </w:rPr>
            </w:pPr>
            <w:r w:rsidRPr="00D73FED">
              <w:rPr>
                <w:sz w:val="24"/>
                <w:szCs w:val="24"/>
              </w:rPr>
              <w:t>K 31. decembru 2020 bolo v Slovenskej republike evidovaných 826 dopravcov, ktorí boli držiteľmi licencie Spoločenstva na medzinárodnú osobnú prepravu autobusmi a autokarmi. Títo dopravcovia majú vydané 4</w:t>
            </w:r>
            <w:r w:rsidR="00831E24">
              <w:rPr>
                <w:sz w:val="24"/>
                <w:szCs w:val="24"/>
              </w:rPr>
              <w:t xml:space="preserve"> </w:t>
            </w:r>
            <w:r w:rsidRPr="00D73FED">
              <w:rPr>
                <w:sz w:val="24"/>
                <w:szCs w:val="24"/>
              </w:rPr>
              <w:t>058 overených kópii licencií Spoločenstva pre ich vozidlá.</w:t>
            </w:r>
          </w:p>
          <w:p w14:paraId="47A3CB25" w14:textId="77777777" w:rsidR="009F2DFA" w:rsidRPr="00D73FED" w:rsidRDefault="009F2DFA" w:rsidP="00776B29">
            <w:pPr>
              <w:jc w:val="both"/>
              <w:rPr>
                <w:sz w:val="24"/>
                <w:szCs w:val="24"/>
              </w:rPr>
            </w:pPr>
          </w:p>
        </w:tc>
      </w:tr>
      <w:tr w:rsidR="009F2DFA" w:rsidRPr="00D73FED" w14:paraId="5ECB983B" w14:textId="77777777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4E6C85" w14:textId="77777777" w:rsidR="009F2DFA" w:rsidRPr="00D73FED" w:rsidRDefault="002B1108" w:rsidP="007B71A4">
            <w:pPr>
              <w:rPr>
                <w:b/>
                <w:sz w:val="24"/>
              </w:rPr>
            </w:pPr>
            <w:r w:rsidRPr="00D73FED">
              <w:rPr>
                <w:b/>
                <w:sz w:val="24"/>
              </w:rPr>
              <w:t>3</w:t>
            </w:r>
            <w:r w:rsidR="009F2DFA" w:rsidRPr="00D73FED">
              <w:rPr>
                <w:b/>
                <w:sz w:val="24"/>
              </w:rPr>
              <w:t>.2 Vyhodnotenie konzultácií</w:t>
            </w:r>
          </w:p>
          <w:p w14:paraId="6BA61DA1" w14:textId="77777777" w:rsidR="009F2DFA" w:rsidRPr="00D73FED" w:rsidRDefault="009F2DFA" w:rsidP="007B71A4">
            <w:pPr>
              <w:rPr>
                <w:b/>
              </w:rPr>
            </w:pPr>
            <w:r w:rsidRPr="00D73FED">
              <w:rPr>
                <w:sz w:val="24"/>
              </w:rPr>
              <w:t xml:space="preserve">       - </w:t>
            </w:r>
            <w:r w:rsidRPr="00D73FED">
              <w:rPr>
                <w:b/>
                <w:sz w:val="24"/>
              </w:rPr>
              <w:t>z toho MSP</w:t>
            </w:r>
          </w:p>
        </w:tc>
      </w:tr>
      <w:tr w:rsidR="009F2DFA" w:rsidRPr="00D73FED" w14:paraId="1AB4AAA2" w14:textId="77777777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14:paraId="439BFB41" w14:textId="77777777" w:rsidR="009F2DFA" w:rsidRPr="00D73FED" w:rsidRDefault="009F2DFA" w:rsidP="00390F94">
            <w:pPr>
              <w:jc w:val="both"/>
              <w:rPr>
                <w:i/>
              </w:rPr>
            </w:pPr>
            <w:r w:rsidRPr="00D73FED">
              <w:rPr>
                <w:i/>
              </w:rPr>
              <w:t>Uveďte, akou formou (verejné alebo cielené konzultácie a prečo) a s kým bol návrh konzultovaný.</w:t>
            </w:r>
          </w:p>
          <w:p w14:paraId="5202D510" w14:textId="77777777" w:rsidR="009F2DFA" w:rsidRPr="00D73FED" w:rsidRDefault="009F2DFA" w:rsidP="00390F94">
            <w:pPr>
              <w:jc w:val="both"/>
              <w:rPr>
                <w:i/>
              </w:rPr>
            </w:pPr>
            <w:r w:rsidRPr="00D73FED">
              <w:rPr>
                <w:i/>
              </w:rPr>
              <w:t>Ako dlho trvali konzultácie?</w:t>
            </w:r>
          </w:p>
          <w:p w14:paraId="51B4A898" w14:textId="77777777" w:rsidR="00C92901" w:rsidRPr="00D73FED" w:rsidRDefault="009F2DFA" w:rsidP="006063AF">
            <w:pPr>
              <w:jc w:val="both"/>
              <w:rPr>
                <w:i/>
              </w:rPr>
            </w:pPr>
            <w:r w:rsidRPr="00D73FED">
              <w:rPr>
                <w:i/>
              </w:rPr>
              <w:t>Uveďte hlavné body konzultácií a výsledky konzultácií.</w:t>
            </w:r>
          </w:p>
        </w:tc>
      </w:tr>
      <w:tr w:rsidR="009F2DFA" w:rsidRPr="00D73FED" w14:paraId="3F2398B0" w14:textId="77777777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2002D368" w14:textId="2035520C" w:rsidR="002C733D" w:rsidRPr="00D73FED" w:rsidRDefault="002C733D" w:rsidP="002C733D">
            <w:pPr>
              <w:jc w:val="both"/>
              <w:rPr>
                <w:sz w:val="24"/>
                <w:szCs w:val="24"/>
                <w:lang w:eastAsia="cs-CZ"/>
              </w:rPr>
            </w:pPr>
            <w:r w:rsidRPr="00D73FED">
              <w:rPr>
                <w:sz w:val="24"/>
                <w:szCs w:val="24"/>
              </w:rPr>
              <w:t>Verejnosť bola o príprave zákona, ktorým sa mení a dopĺňa zákon č. 56/2012 Z. z. o cestnej doprave v znení neskorších predpisov informovaná prostredníctvom predbežnej informácie zverejnenej v informačnom systéme verejnej správy Slov-Lex (PI/2021/27) od 10. februára 2021 do 12. marca 2021. K predbežnej informácii Asociácia priemyselných zväzov vzniesla jednu pripomienku</w:t>
            </w:r>
            <w:r w:rsidR="00831E24">
              <w:rPr>
                <w:sz w:val="24"/>
                <w:szCs w:val="24"/>
              </w:rPr>
              <w:t>,</w:t>
            </w:r>
            <w:r w:rsidRPr="00D73FED">
              <w:rPr>
                <w:sz w:val="24"/>
                <w:szCs w:val="24"/>
              </w:rPr>
              <w:t xml:space="preserve"> avšak táto pripomienka sa </w:t>
            </w:r>
            <w:r w:rsidRPr="00D73FED">
              <w:rPr>
                <w:sz w:val="24"/>
                <w:szCs w:val="24"/>
                <w:lang w:eastAsia="cs-CZ"/>
              </w:rPr>
              <w:t xml:space="preserve">netýkala zákona č. 56/2012 Z. z. o cestnej doprave ani predmetu novelizácie. </w:t>
            </w:r>
          </w:p>
          <w:p w14:paraId="27750C5B" w14:textId="77777777" w:rsidR="002C733D" w:rsidRPr="00D73FED" w:rsidRDefault="002C733D" w:rsidP="002C733D">
            <w:pPr>
              <w:jc w:val="both"/>
              <w:rPr>
                <w:sz w:val="24"/>
              </w:rPr>
            </w:pPr>
            <w:r w:rsidRPr="00D73FED">
              <w:rPr>
                <w:sz w:val="24"/>
              </w:rPr>
              <w:t xml:space="preserve">Zároveň informácia o konzultáciách bola zverejnená na webovom sídle Ministerstva hospodárstva SR </w:t>
            </w:r>
            <w:hyperlink r:id="rId7" w:history="1">
              <w:r w:rsidRPr="00D73FED">
                <w:rPr>
                  <w:rStyle w:val="Hypertextovprepojenie"/>
                  <w:sz w:val="24"/>
                </w:rPr>
                <w:t>https://www.economy.gov.sk/podnikatelske-prostredie/jednotna-metodika/prebiehajuce-konzultacie-a-predbezne-informacie</w:t>
              </w:r>
            </w:hyperlink>
          </w:p>
          <w:p w14:paraId="5067D527" w14:textId="77777777" w:rsidR="002C733D" w:rsidRPr="00D73FED" w:rsidRDefault="002C733D" w:rsidP="002C733D">
            <w:pPr>
              <w:jc w:val="both"/>
              <w:rPr>
                <w:sz w:val="24"/>
              </w:rPr>
            </w:pPr>
            <w:r w:rsidRPr="00D73FED">
              <w:rPr>
                <w:sz w:val="24"/>
              </w:rPr>
              <w:t xml:space="preserve">Konzultácie prebiehali v období od 10. 2. 2021 do 12.3. 2021. </w:t>
            </w:r>
          </w:p>
          <w:p w14:paraId="3A6907B2" w14:textId="1EAF8B53" w:rsidR="002C733D" w:rsidRPr="00D73FED" w:rsidRDefault="002C733D" w:rsidP="002C733D">
            <w:pPr>
              <w:jc w:val="both"/>
              <w:rPr>
                <w:bCs/>
                <w:sz w:val="24"/>
              </w:rPr>
            </w:pPr>
            <w:r w:rsidRPr="00D73FED">
              <w:rPr>
                <w:sz w:val="24"/>
              </w:rPr>
              <w:t xml:space="preserve">Konzultácie </w:t>
            </w:r>
            <w:r w:rsidR="00AA2E07" w:rsidRPr="00D73FED">
              <w:rPr>
                <w:sz w:val="24"/>
              </w:rPr>
              <w:t xml:space="preserve">sa uskutočnili vo forme pracovného stretnutia </w:t>
            </w:r>
            <w:r w:rsidRPr="00D73FED">
              <w:rPr>
                <w:sz w:val="24"/>
              </w:rPr>
              <w:t>s Ministerstvom vnútra SR</w:t>
            </w:r>
            <w:r w:rsidR="00995D24" w:rsidRPr="00D73FED">
              <w:rPr>
                <w:sz w:val="24"/>
              </w:rPr>
              <w:t xml:space="preserve"> so zástupcami Odboru živnostenského podnikania</w:t>
            </w:r>
            <w:r w:rsidR="00AA2E07" w:rsidRPr="00D73FED">
              <w:rPr>
                <w:sz w:val="24"/>
              </w:rPr>
              <w:t>, č</w:t>
            </w:r>
            <w:r w:rsidRPr="00D73FED">
              <w:rPr>
                <w:sz w:val="24"/>
              </w:rPr>
              <w:t xml:space="preserve">iastkovo sa konali konzultácie so </w:t>
            </w:r>
            <w:r w:rsidRPr="00D73FED">
              <w:rPr>
                <w:sz w:val="24"/>
              </w:rPr>
              <w:lastRenderedPageBreak/>
              <w:t>zainteresovanými subjektmi najmä v oblasti dopravy</w:t>
            </w:r>
            <w:r w:rsidR="00776B29" w:rsidRPr="00D73FED">
              <w:rPr>
                <w:sz w:val="24"/>
              </w:rPr>
              <w:t xml:space="preserve"> a štátnej správy</w:t>
            </w:r>
            <w:r w:rsidR="00AA2E07" w:rsidRPr="00D73FED">
              <w:rPr>
                <w:sz w:val="24"/>
              </w:rPr>
              <w:t>.</w:t>
            </w:r>
            <w:r w:rsidRPr="00D73FED">
              <w:rPr>
                <w:sz w:val="24"/>
              </w:rPr>
              <w:t xml:space="preserve"> </w:t>
            </w:r>
            <w:r w:rsidRPr="00D73FED">
              <w:rPr>
                <w:bCs/>
                <w:sz w:val="24"/>
              </w:rPr>
              <w:t xml:space="preserve">Hlavným cieľom </w:t>
            </w:r>
            <w:r w:rsidR="00776B29" w:rsidRPr="00D73FED">
              <w:rPr>
                <w:bCs/>
                <w:sz w:val="24"/>
              </w:rPr>
              <w:t>konzultácií</w:t>
            </w:r>
            <w:r w:rsidRPr="00D73FED">
              <w:rPr>
                <w:bCs/>
                <w:sz w:val="24"/>
              </w:rPr>
              <w:t xml:space="preserve"> bolo získať podnety z aplikačnej praxe a spätnú väzbu na prípadné zmeny a návrhy. Z nášho pohľadu cieľ </w:t>
            </w:r>
            <w:r w:rsidR="006D423D" w:rsidRPr="00D73FED">
              <w:rPr>
                <w:bCs/>
                <w:sz w:val="24"/>
              </w:rPr>
              <w:t xml:space="preserve">konzultácií </w:t>
            </w:r>
            <w:r w:rsidRPr="00D73FED">
              <w:rPr>
                <w:bCs/>
                <w:sz w:val="24"/>
              </w:rPr>
              <w:t>bol splnený</w:t>
            </w:r>
            <w:r w:rsidR="006D423D" w:rsidRPr="00D73FED">
              <w:rPr>
                <w:bCs/>
                <w:sz w:val="24"/>
              </w:rPr>
              <w:t>, pretože aj na základe podneto</w:t>
            </w:r>
            <w:r w:rsidR="00831E24">
              <w:rPr>
                <w:bCs/>
                <w:sz w:val="24"/>
              </w:rPr>
              <w:t>v</w:t>
            </w:r>
            <w:r w:rsidR="006D423D" w:rsidRPr="00D73FED">
              <w:rPr>
                <w:bCs/>
                <w:sz w:val="24"/>
              </w:rPr>
              <w:t xml:space="preserve"> v rámci konzultácií bol pripravený návrh zákona</w:t>
            </w:r>
            <w:r w:rsidRPr="00D73FED">
              <w:rPr>
                <w:bCs/>
                <w:sz w:val="24"/>
              </w:rPr>
              <w:t>.</w:t>
            </w:r>
          </w:p>
          <w:p w14:paraId="6A58F8ED" w14:textId="77777777" w:rsidR="002C733D" w:rsidRPr="00D73FED" w:rsidRDefault="002C733D" w:rsidP="002C733D">
            <w:pPr>
              <w:jc w:val="both"/>
              <w:rPr>
                <w:sz w:val="24"/>
                <w:szCs w:val="24"/>
              </w:rPr>
            </w:pPr>
          </w:p>
          <w:p w14:paraId="72527DF4" w14:textId="77777777" w:rsidR="0094580B" w:rsidRPr="00D73FED" w:rsidRDefault="00836C43" w:rsidP="0094580B">
            <w:pPr>
              <w:jc w:val="both"/>
              <w:rPr>
                <w:sz w:val="24"/>
                <w:szCs w:val="24"/>
              </w:rPr>
            </w:pPr>
            <w:r w:rsidRPr="00D73FED">
              <w:rPr>
                <w:sz w:val="24"/>
                <w:szCs w:val="24"/>
              </w:rPr>
              <w:t>Ďalšou formou zapojenia verejnosti bude medzi</w:t>
            </w:r>
            <w:r w:rsidR="003E369E" w:rsidRPr="00D73FED">
              <w:rPr>
                <w:sz w:val="24"/>
                <w:szCs w:val="24"/>
              </w:rPr>
              <w:t>rezortné pripomienkové konanie.</w:t>
            </w:r>
          </w:p>
          <w:p w14:paraId="61B6DC05" w14:textId="77777777" w:rsidR="00C92901" w:rsidRPr="00D73FED" w:rsidRDefault="00C92901" w:rsidP="002C733D">
            <w:pPr>
              <w:jc w:val="both"/>
              <w:rPr>
                <w:sz w:val="24"/>
                <w:szCs w:val="24"/>
              </w:rPr>
            </w:pPr>
          </w:p>
        </w:tc>
      </w:tr>
      <w:tr w:rsidR="009F2DFA" w:rsidRPr="00D73FED" w14:paraId="2179AB63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53A56EDA" w14:textId="77777777" w:rsidR="009F2DFA" w:rsidRPr="00D73FED" w:rsidRDefault="002B1108" w:rsidP="007B71A4">
            <w:pPr>
              <w:rPr>
                <w:b/>
                <w:sz w:val="24"/>
              </w:rPr>
            </w:pPr>
            <w:r w:rsidRPr="00D73FED">
              <w:rPr>
                <w:b/>
                <w:sz w:val="24"/>
              </w:rPr>
              <w:lastRenderedPageBreak/>
              <w:t>3</w:t>
            </w:r>
            <w:r w:rsidR="009F2DFA" w:rsidRPr="00D73FED">
              <w:rPr>
                <w:b/>
                <w:sz w:val="24"/>
              </w:rPr>
              <w:t>.3 Náklady regulácie</w:t>
            </w:r>
          </w:p>
          <w:p w14:paraId="0C9A9603" w14:textId="77777777" w:rsidR="009F2DFA" w:rsidRPr="00D73FED" w:rsidRDefault="009F2DFA" w:rsidP="007B71A4">
            <w:pPr>
              <w:rPr>
                <w:b/>
              </w:rPr>
            </w:pPr>
            <w:r w:rsidRPr="00D73FED">
              <w:rPr>
                <w:sz w:val="24"/>
              </w:rPr>
              <w:t xml:space="preserve">      - </w:t>
            </w:r>
            <w:r w:rsidRPr="00D73FED">
              <w:rPr>
                <w:b/>
                <w:sz w:val="24"/>
              </w:rPr>
              <w:t>z toho MSP</w:t>
            </w:r>
          </w:p>
        </w:tc>
      </w:tr>
      <w:tr w:rsidR="009F2DFA" w:rsidRPr="00D73FED" w14:paraId="21C23CE3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53B0B494" w14:textId="77777777" w:rsidR="009F2DFA" w:rsidRPr="00D73FED" w:rsidRDefault="002B1108" w:rsidP="007B71A4">
            <w:pPr>
              <w:rPr>
                <w:b/>
                <w:i/>
              </w:rPr>
            </w:pPr>
            <w:r w:rsidRPr="00D73FED">
              <w:rPr>
                <w:b/>
                <w:i/>
              </w:rPr>
              <w:t>3</w:t>
            </w:r>
            <w:r w:rsidR="009F2DFA" w:rsidRPr="00D73FED">
              <w:rPr>
                <w:b/>
                <w:i/>
              </w:rPr>
              <w:t>.3.1 Priame finančné náklady</w:t>
            </w:r>
          </w:p>
          <w:p w14:paraId="3D0C73C6" w14:textId="77777777" w:rsidR="009F2DFA" w:rsidRPr="00D73FED" w:rsidRDefault="009F2DFA" w:rsidP="006063AF">
            <w:pPr>
              <w:jc w:val="both"/>
              <w:rPr>
                <w:i/>
              </w:rPr>
            </w:pPr>
            <w:r w:rsidRPr="00D73FED">
              <w:rPr>
                <w:i/>
              </w:rPr>
              <w:t>Dochádza k zvýšeniu/zníženiu priamych finančných nákladov (poplatky, odvody, dane clá...)? Ak áno, popíšte a</w:t>
            </w:r>
            <w:r w:rsidR="0069398A" w:rsidRPr="00D73FED">
              <w:rPr>
                <w:i/>
              </w:rPr>
              <w:t> </w:t>
            </w:r>
            <w:r w:rsidRPr="00D73FED">
              <w:rPr>
                <w:i/>
              </w:rPr>
              <w:t>vyčíslite ich. Uveďte tiež spôsob ich výpočtu</w:t>
            </w:r>
          </w:p>
        </w:tc>
      </w:tr>
      <w:tr w:rsidR="009F2DFA" w:rsidRPr="00D73FED" w14:paraId="554EECF8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33A68EA8" w14:textId="77777777" w:rsidR="00551548" w:rsidRPr="00D73FED" w:rsidRDefault="00551548" w:rsidP="00CA5E99">
            <w:pPr>
              <w:jc w:val="both"/>
              <w:rPr>
                <w:sz w:val="24"/>
                <w:szCs w:val="24"/>
              </w:rPr>
            </w:pPr>
          </w:p>
          <w:p w14:paraId="17BB93BB" w14:textId="4F80AD6B" w:rsidR="00961C7E" w:rsidRPr="00D73FED" w:rsidRDefault="00961C7E" w:rsidP="00961C7E">
            <w:pPr>
              <w:jc w:val="both"/>
              <w:rPr>
                <w:sz w:val="24"/>
                <w:szCs w:val="24"/>
              </w:rPr>
            </w:pPr>
            <w:r w:rsidRPr="00D73FED">
              <w:rPr>
                <w:sz w:val="24"/>
                <w:szCs w:val="24"/>
              </w:rPr>
              <w:t>Náklady vo forme správnych poplatkoch na získanie licencie Spoločenstva pre nových prevádzkovateľov cestnej dopravy sú vo výške 16</w:t>
            </w:r>
            <w:r w:rsidR="006642D3" w:rsidRPr="00D73FED">
              <w:rPr>
                <w:sz w:val="24"/>
                <w:szCs w:val="24"/>
              </w:rPr>
              <w:t>3</w:t>
            </w:r>
            <w:r w:rsidRPr="00D73FED">
              <w:rPr>
                <w:sz w:val="24"/>
                <w:szCs w:val="24"/>
              </w:rPr>
              <w:t xml:space="preserve"> </w:t>
            </w:r>
            <w:r w:rsidR="00AD4B40">
              <w:rPr>
                <w:sz w:val="24"/>
                <w:szCs w:val="24"/>
              </w:rPr>
              <w:t>eur</w:t>
            </w:r>
            <w:r w:rsidRPr="00D73FED">
              <w:rPr>
                <w:sz w:val="24"/>
                <w:szCs w:val="24"/>
              </w:rPr>
              <w:t xml:space="preserve"> (Vydanie povolenia na vykonávanie povolania prevádzkovateľa nákladnej cestnej dopravy 30 eur, Vydanie licencie Spoločenstva 20 eur, Vydanie overenej kópie licencie Spoločenstva na každé vozidlo 3 eur, Vykonanie skúšky odbornej spôsobilosti v oblasti cestnej nákladnej dopravy alebo osobnej cestnej dopravy 100 eur, Vydanie osvedčenia o odbornej spôsobilosti v cestnej nákladnej doprave alebo v cestnej osobnej doprave 10 eur).</w:t>
            </w:r>
          </w:p>
          <w:p w14:paraId="121F3877" w14:textId="3C9FAA8A" w:rsidR="00961C7E" w:rsidRPr="00D73FED" w:rsidRDefault="00961C7E" w:rsidP="00961C7E">
            <w:pPr>
              <w:jc w:val="both"/>
              <w:rPr>
                <w:sz w:val="24"/>
              </w:rPr>
            </w:pPr>
            <w:r w:rsidRPr="00D73FED">
              <w:rPr>
                <w:sz w:val="24"/>
              </w:rPr>
              <w:t>Nevieme presne aký počet prevádzkovateľov cestnej dopravy bude mať takúto povinnosť avšak ak odhadujeme počet 5</w:t>
            </w:r>
            <w:r w:rsidR="000D33DC">
              <w:rPr>
                <w:sz w:val="24"/>
              </w:rPr>
              <w:t> </w:t>
            </w:r>
            <w:r w:rsidRPr="00D73FED">
              <w:rPr>
                <w:sz w:val="24"/>
              </w:rPr>
              <w:t>000</w:t>
            </w:r>
            <w:r w:rsidR="000D33DC">
              <w:rPr>
                <w:sz w:val="24"/>
              </w:rPr>
              <w:t>,</w:t>
            </w:r>
            <w:r w:rsidRPr="00D73FED">
              <w:rPr>
                <w:sz w:val="24"/>
              </w:rPr>
              <w:t xml:space="preserve"> tak náklady n</w:t>
            </w:r>
            <w:r w:rsidR="006D423D" w:rsidRPr="00D73FED">
              <w:rPr>
                <w:sz w:val="24"/>
              </w:rPr>
              <w:t>a podnikateľské prostredie sú 815</w:t>
            </w:r>
            <w:r w:rsidRPr="00D73FED">
              <w:rPr>
                <w:sz w:val="24"/>
              </w:rPr>
              <w:t> 000 eur (5</w:t>
            </w:r>
            <w:r w:rsidR="00831E24">
              <w:rPr>
                <w:sz w:val="24"/>
              </w:rPr>
              <w:t xml:space="preserve"> </w:t>
            </w:r>
            <w:r w:rsidRPr="00D73FED">
              <w:rPr>
                <w:sz w:val="24"/>
              </w:rPr>
              <w:t>000 x</w:t>
            </w:r>
            <w:r w:rsidR="00831E24">
              <w:rPr>
                <w:sz w:val="24"/>
              </w:rPr>
              <w:t xml:space="preserve"> </w:t>
            </w:r>
            <w:r w:rsidRPr="00D73FED">
              <w:rPr>
                <w:sz w:val="24"/>
              </w:rPr>
              <w:t>16</w:t>
            </w:r>
            <w:r w:rsidR="006D423D" w:rsidRPr="00D73FED">
              <w:rPr>
                <w:sz w:val="24"/>
              </w:rPr>
              <w:t>3</w:t>
            </w:r>
            <w:r w:rsidRPr="00D73FED">
              <w:rPr>
                <w:sz w:val="24"/>
              </w:rPr>
              <w:t xml:space="preserve"> eur). V prípade elektronických podaní náklady môžu byť nižšie.</w:t>
            </w:r>
          </w:p>
          <w:p w14:paraId="0CD44B39" w14:textId="758DF54E" w:rsidR="00F84123" w:rsidRPr="00A15E96" w:rsidRDefault="00F84123" w:rsidP="004D74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  <w:p w14:paraId="5B1610DE" w14:textId="77777777" w:rsidR="00241E70" w:rsidRPr="00D73FED" w:rsidRDefault="00241E70" w:rsidP="00CA5E99">
            <w:pPr>
              <w:jc w:val="both"/>
              <w:rPr>
                <w:rFonts w:ascii="Segoe UI" w:hAnsi="Segoe UI" w:cs="Segoe UI"/>
                <w:color w:val="494949"/>
                <w:sz w:val="21"/>
                <w:szCs w:val="21"/>
                <w:shd w:val="clear" w:color="auto" w:fill="FFFFFF"/>
              </w:rPr>
            </w:pPr>
          </w:p>
          <w:tbl>
            <w:tblPr>
              <w:tblStyle w:val="Mriekatabuky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955"/>
              <w:gridCol w:w="2938"/>
              <w:gridCol w:w="2943"/>
            </w:tblGrid>
            <w:tr w:rsidR="00461C15" w:rsidRPr="00D73FED" w14:paraId="69FAB855" w14:textId="77777777" w:rsidTr="002804AC"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91F72D" w14:textId="77777777" w:rsidR="00461C15" w:rsidRPr="00D73FED" w:rsidRDefault="00461C15" w:rsidP="00461C15">
                  <w:pPr>
                    <w:rPr>
                      <w:i/>
                      <w:lang w:val="sk-SK"/>
                    </w:rPr>
                  </w:pPr>
                  <w:r w:rsidRPr="00D73FED">
                    <w:rPr>
                      <w:i/>
                      <w:lang w:val="sk-SK"/>
                    </w:rPr>
                    <w:t>Priame finančné náklady</w:t>
                  </w:r>
                </w:p>
              </w:tc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C47415" w14:textId="77777777" w:rsidR="00461C15" w:rsidRPr="00D73FED" w:rsidRDefault="00461C15" w:rsidP="00461C15">
                  <w:pPr>
                    <w:jc w:val="center"/>
                    <w:rPr>
                      <w:i/>
                      <w:lang w:val="sk-SK"/>
                    </w:rPr>
                  </w:pPr>
                  <w:r w:rsidRPr="00D73FED">
                    <w:rPr>
                      <w:i/>
                      <w:lang w:val="sk-SK"/>
                    </w:rPr>
                    <w:t>Náklady</w:t>
                  </w:r>
                </w:p>
              </w:tc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6117D" w14:textId="77777777" w:rsidR="00461C15" w:rsidRPr="00D73FED" w:rsidRDefault="00461C15" w:rsidP="00461C15">
                  <w:pPr>
                    <w:jc w:val="center"/>
                    <w:rPr>
                      <w:i/>
                      <w:lang w:val="sk-SK"/>
                    </w:rPr>
                  </w:pPr>
                  <w:r w:rsidRPr="00D73FED">
                    <w:rPr>
                      <w:i/>
                      <w:lang w:val="sk-SK"/>
                    </w:rPr>
                    <w:t>Náklady na podnikateľské prostredie</w:t>
                  </w:r>
                </w:p>
                <w:p w14:paraId="1EF9A34E" w14:textId="77777777" w:rsidR="00461C15" w:rsidRPr="00D73FED" w:rsidRDefault="00461C15" w:rsidP="00461C15">
                  <w:pPr>
                    <w:jc w:val="center"/>
                    <w:rPr>
                      <w:i/>
                      <w:lang w:val="sk-SK"/>
                    </w:rPr>
                  </w:pPr>
                </w:p>
              </w:tc>
            </w:tr>
            <w:tr w:rsidR="00461C15" w:rsidRPr="00D73FED" w14:paraId="6FC1D9E4" w14:textId="77777777" w:rsidTr="002804AC"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7E7C47" w14:textId="77777777" w:rsidR="00461C15" w:rsidRPr="00D73FED" w:rsidRDefault="00461C15" w:rsidP="00461C15">
                  <w:pPr>
                    <w:jc w:val="both"/>
                    <w:rPr>
                      <w:i/>
                      <w:lang w:val="sk-SK"/>
                    </w:rPr>
                  </w:pPr>
                  <w:r w:rsidRPr="00D73FED">
                    <w:rPr>
                      <w:i/>
                      <w:lang w:val="sk-SK"/>
                    </w:rPr>
                    <w:t>Správne poplatky</w:t>
                  </w:r>
                </w:p>
              </w:tc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72A31B" w14:textId="77777777" w:rsidR="00461C15" w:rsidRPr="00D73FED" w:rsidRDefault="00461C15" w:rsidP="006D423D">
                  <w:pPr>
                    <w:jc w:val="center"/>
                    <w:rPr>
                      <w:i/>
                      <w:lang w:val="sk-SK"/>
                    </w:rPr>
                  </w:pPr>
                  <w:r w:rsidRPr="00D73FED">
                    <w:rPr>
                      <w:i/>
                      <w:lang w:val="sk-SK"/>
                    </w:rPr>
                    <w:t>16</w:t>
                  </w:r>
                  <w:r w:rsidR="006D423D" w:rsidRPr="00D73FED">
                    <w:rPr>
                      <w:i/>
                      <w:lang w:val="sk-SK"/>
                    </w:rPr>
                    <w:t>3</w:t>
                  </w:r>
                  <w:r w:rsidRPr="00D73FED">
                    <w:rPr>
                      <w:i/>
                      <w:lang w:val="sk-SK"/>
                    </w:rPr>
                    <w:t xml:space="preserve"> eur/ subjekt</w:t>
                  </w:r>
                  <w:r w:rsidR="006D423D" w:rsidRPr="00D73FED">
                    <w:rPr>
                      <w:i/>
                      <w:lang w:val="sk-SK"/>
                    </w:rPr>
                    <w:t>/jedno vozidlo</w:t>
                  </w:r>
                </w:p>
              </w:tc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E8318E" w14:textId="77777777" w:rsidR="00461C15" w:rsidRPr="00D73FED" w:rsidRDefault="00461C15" w:rsidP="006D423D">
                  <w:pPr>
                    <w:jc w:val="center"/>
                    <w:rPr>
                      <w:i/>
                      <w:lang w:val="sk-SK"/>
                    </w:rPr>
                  </w:pPr>
                  <w:r w:rsidRPr="00D73FED">
                    <w:rPr>
                      <w:i/>
                      <w:lang w:val="sk-SK"/>
                    </w:rPr>
                    <w:t>8</w:t>
                  </w:r>
                  <w:r w:rsidR="006D423D" w:rsidRPr="00D73FED">
                    <w:rPr>
                      <w:i/>
                      <w:lang w:val="sk-SK"/>
                    </w:rPr>
                    <w:t>15</w:t>
                  </w:r>
                  <w:r w:rsidRPr="00D73FED">
                    <w:rPr>
                      <w:i/>
                      <w:lang w:val="sk-SK"/>
                    </w:rPr>
                    <w:t xml:space="preserve"> 000 eur /5000 subjektov </w:t>
                  </w:r>
                </w:p>
              </w:tc>
            </w:tr>
            <w:tr w:rsidR="00461C15" w:rsidRPr="00D73FED" w14:paraId="240AFD47" w14:textId="77777777" w:rsidTr="002804AC"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E68970" w14:textId="77777777" w:rsidR="00461C15" w:rsidRPr="00D73FED" w:rsidRDefault="00461C15" w:rsidP="009C194C">
                  <w:pPr>
                    <w:jc w:val="both"/>
                    <w:rPr>
                      <w:b/>
                      <w:i/>
                      <w:lang w:val="sk-SK"/>
                    </w:rPr>
                  </w:pPr>
                  <w:r w:rsidRPr="00D73FED">
                    <w:rPr>
                      <w:b/>
                      <w:i/>
                      <w:lang w:val="sk-SK"/>
                    </w:rPr>
                    <w:t xml:space="preserve">Celkové priame finančné náklady  </w:t>
                  </w:r>
                </w:p>
              </w:tc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3386C6" w14:textId="11A338C7" w:rsidR="00461C15" w:rsidRPr="00D73FED" w:rsidRDefault="001A0816" w:rsidP="001A0816">
                  <w:pPr>
                    <w:jc w:val="center"/>
                    <w:rPr>
                      <w:b/>
                      <w:i/>
                      <w:lang w:val="sk-SK"/>
                    </w:rPr>
                  </w:pPr>
                  <w:r w:rsidRPr="00D73FED">
                    <w:rPr>
                      <w:b/>
                      <w:i/>
                      <w:lang w:val="sk-SK"/>
                    </w:rPr>
                    <w:t>16</w:t>
                  </w:r>
                  <w:r>
                    <w:rPr>
                      <w:b/>
                      <w:i/>
                      <w:lang w:val="sk-SK"/>
                    </w:rPr>
                    <w:t>3</w:t>
                  </w:r>
                  <w:r w:rsidRPr="00D73FED">
                    <w:rPr>
                      <w:b/>
                      <w:i/>
                      <w:lang w:val="sk-SK"/>
                    </w:rPr>
                    <w:t xml:space="preserve"> </w:t>
                  </w:r>
                  <w:r w:rsidR="00461C15" w:rsidRPr="00D73FED">
                    <w:rPr>
                      <w:b/>
                      <w:i/>
                      <w:lang w:val="sk-SK"/>
                    </w:rPr>
                    <w:t>eur</w:t>
                  </w:r>
                </w:p>
              </w:tc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C621C9" w14:textId="3DC5E599" w:rsidR="00461C15" w:rsidRPr="00D73FED" w:rsidRDefault="001A0816" w:rsidP="00E26D16">
                  <w:pPr>
                    <w:jc w:val="center"/>
                    <w:rPr>
                      <w:b/>
                      <w:i/>
                      <w:lang w:val="sk-SK"/>
                    </w:rPr>
                  </w:pPr>
                  <w:r>
                    <w:rPr>
                      <w:b/>
                      <w:i/>
                      <w:lang w:val="sk-SK"/>
                    </w:rPr>
                    <w:t>815 000</w:t>
                  </w:r>
                  <w:r w:rsidR="00461C15" w:rsidRPr="00D73FED">
                    <w:rPr>
                      <w:b/>
                      <w:i/>
                      <w:lang w:val="sk-SK"/>
                    </w:rPr>
                    <w:t xml:space="preserve"> eur</w:t>
                  </w:r>
                </w:p>
              </w:tc>
            </w:tr>
          </w:tbl>
          <w:p w14:paraId="54A35DCA" w14:textId="77777777" w:rsidR="00776B29" w:rsidRPr="00D73FED" w:rsidRDefault="00776B29" w:rsidP="00CA5E99">
            <w:pPr>
              <w:jc w:val="both"/>
              <w:rPr>
                <w:sz w:val="24"/>
                <w:szCs w:val="24"/>
              </w:rPr>
            </w:pPr>
          </w:p>
          <w:p w14:paraId="1A51F5C9" w14:textId="77777777" w:rsidR="009F2DFA" w:rsidRPr="00D73FED" w:rsidRDefault="009F2DFA" w:rsidP="00C7404A">
            <w:pPr>
              <w:jc w:val="both"/>
              <w:rPr>
                <w:i/>
              </w:rPr>
            </w:pPr>
          </w:p>
        </w:tc>
      </w:tr>
      <w:tr w:rsidR="009F2DFA" w:rsidRPr="00D73FED" w14:paraId="3CFA1A06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4FE5D4D6" w14:textId="77777777" w:rsidR="009F2DFA" w:rsidRPr="00D73FED" w:rsidRDefault="002B1108" w:rsidP="007B71A4">
            <w:pPr>
              <w:rPr>
                <w:b/>
                <w:i/>
              </w:rPr>
            </w:pPr>
            <w:r w:rsidRPr="00D73FED">
              <w:rPr>
                <w:b/>
                <w:i/>
              </w:rPr>
              <w:t>3</w:t>
            </w:r>
            <w:r w:rsidR="009F2DFA" w:rsidRPr="00D73FED">
              <w:rPr>
                <w:b/>
                <w:i/>
              </w:rPr>
              <w:t>.3.2 Nepriame finančné náklady</w:t>
            </w:r>
          </w:p>
          <w:p w14:paraId="3F23016A" w14:textId="77777777" w:rsidR="007E121A" w:rsidRPr="00D73FED" w:rsidRDefault="009F2DFA" w:rsidP="006063AF">
            <w:pPr>
              <w:jc w:val="both"/>
              <w:rPr>
                <w:i/>
              </w:rPr>
            </w:pPr>
            <w:r w:rsidRPr="00D73FED">
              <w:rPr>
                <w:i/>
              </w:rPr>
              <w:t xml:space="preserve">Vyžaduje si predkladaný návrh dodatočné náklady na nákup tovarov alebo služieb? </w:t>
            </w:r>
            <w:r w:rsidR="00B31A8E" w:rsidRPr="00D73FED">
              <w:rPr>
                <w:i/>
              </w:rPr>
              <w:t xml:space="preserve">Zvyšuje predkladaný návrh náklady súvisiace so zamestnávaním? </w:t>
            </w:r>
            <w:r w:rsidRPr="00D73FE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D73FED" w14:paraId="1CF1F5FA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61C51BD7" w14:textId="73903CB6" w:rsidR="00AA7200" w:rsidRPr="00D73FED" w:rsidRDefault="00461C15" w:rsidP="00AA7200">
            <w:pPr>
              <w:jc w:val="both"/>
              <w:rPr>
                <w:sz w:val="24"/>
              </w:rPr>
            </w:pPr>
            <w:r w:rsidRPr="00D73FED">
              <w:rPr>
                <w:sz w:val="24"/>
                <w:szCs w:val="24"/>
                <w:lang w:eastAsia="en-US"/>
              </w:rPr>
              <w:t>Nepriame finančné náklady</w:t>
            </w:r>
            <w:r w:rsidR="00667CE3" w:rsidRPr="00D73FED">
              <w:rPr>
                <w:sz w:val="24"/>
                <w:szCs w:val="24"/>
                <w:lang w:eastAsia="en-US"/>
              </w:rPr>
              <w:t xml:space="preserve"> môžu vzniknúť prechodom subjektu z rozsahu zákona č.</w:t>
            </w:r>
            <w:r w:rsidR="006D423D" w:rsidRPr="00D73FED">
              <w:rPr>
                <w:sz w:val="24"/>
                <w:szCs w:val="24"/>
                <w:lang w:eastAsia="en-US"/>
              </w:rPr>
              <w:t> </w:t>
            </w:r>
            <w:r w:rsidR="00667CE3" w:rsidRPr="00D73FED">
              <w:rPr>
                <w:sz w:val="24"/>
                <w:szCs w:val="24"/>
              </w:rPr>
              <w:t>455/1991 Zb. o živnostenskom podnikaní (živnostenský zákon) v znení neskorších predpisov</w:t>
            </w:r>
            <w:r w:rsidR="00667CE3" w:rsidRPr="00D73FED">
              <w:rPr>
                <w:sz w:val="24"/>
                <w:szCs w:val="24"/>
                <w:lang w:eastAsia="en-US"/>
              </w:rPr>
              <w:t xml:space="preserve"> </w:t>
            </w:r>
            <w:r w:rsidRPr="00D73FED">
              <w:rPr>
                <w:sz w:val="24"/>
                <w:szCs w:val="24"/>
                <w:lang w:eastAsia="en-US"/>
              </w:rPr>
              <w:t xml:space="preserve"> </w:t>
            </w:r>
            <w:r w:rsidR="00667CE3" w:rsidRPr="00D73FED">
              <w:rPr>
                <w:sz w:val="24"/>
                <w:szCs w:val="24"/>
                <w:lang w:eastAsia="en-US"/>
              </w:rPr>
              <w:t>pod zákon č. 56/2012 Z.</w:t>
            </w:r>
            <w:r w:rsidR="00BC407A" w:rsidRPr="00D73FED">
              <w:rPr>
                <w:sz w:val="24"/>
                <w:szCs w:val="24"/>
                <w:lang w:eastAsia="en-US"/>
              </w:rPr>
              <w:t xml:space="preserve"> </w:t>
            </w:r>
            <w:r w:rsidR="00667CE3" w:rsidRPr="00D73FED">
              <w:rPr>
                <w:sz w:val="24"/>
                <w:szCs w:val="24"/>
                <w:lang w:eastAsia="en-US"/>
              </w:rPr>
              <w:t>z. o cestnej doprave v znení neskorších predpisov. Tieto zmeny môžu súvisieť s finančnou spoľahlivosťou, odbornou spoľahlivosťou, technickou základňou, prepravným poriadkom</w:t>
            </w:r>
            <w:r w:rsidR="00E45B74" w:rsidRPr="00D73FED">
              <w:rPr>
                <w:sz w:val="24"/>
                <w:szCs w:val="24"/>
                <w:lang w:eastAsia="en-US"/>
              </w:rPr>
              <w:t>, označením vozidiel</w:t>
            </w:r>
            <w:r w:rsidR="00667CE3" w:rsidRPr="00D73FED">
              <w:rPr>
                <w:sz w:val="24"/>
                <w:szCs w:val="24"/>
                <w:lang w:eastAsia="en-US"/>
              </w:rPr>
              <w:t xml:space="preserve"> a povinnosťami, ktoré súvisia s podnikaním podľa Nariadení Európskeho parlamentu a Rady 1071/2009 a 1072/2009. N</w:t>
            </w:r>
            <w:r w:rsidR="00E45B74" w:rsidRPr="00D73FED">
              <w:rPr>
                <w:sz w:val="24"/>
                <w:szCs w:val="24"/>
                <w:lang w:eastAsia="en-US"/>
              </w:rPr>
              <w:t>áklady môžu vzniknúť aj s organizáciou práce vodičov</w:t>
            </w:r>
            <w:r w:rsidR="00024D7B">
              <w:rPr>
                <w:sz w:val="24"/>
                <w:szCs w:val="24"/>
                <w:lang w:eastAsia="en-US"/>
              </w:rPr>
              <w:t>,</w:t>
            </w:r>
            <w:r w:rsidR="00E45B74" w:rsidRPr="00D73FED">
              <w:rPr>
                <w:sz w:val="24"/>
                <w:szCs w:val="24"/>
                <w:lang w:eastAsia="en-US"/>
              </w:rPr>
              <w:t xml:space="preserve"> pretože na tento segment sa začnú uplatňovať podmienky kabotáže a</w:t>
            </w:r>
            <w:r w:rsidR="00BC407A" w:rsidRPr="00D73FED">
              <w:rPr>
                <w:sz w:val="24"/>
                <w:szCs w:val="24"/>
                <w:lang w:eastAsia="en-US"/>
              </w:rPr>
              <w:t xml:space="preserve"> od 1. júla 2026 aj podmienky zaznamenávania </w:t>
            </w:r>
            <w:r w:rsidR="009C194C" w:rsidRPr="00D73FED">
              <w:rPr>
                <w:sz w:val="24"/>
                <w:szCs w:val="24"/>
                <w:lang w:eastAsia="en-US"/>
              </w:rPr>
              <w:t>pracovného času záznamovým zariadením.</w:t>
            </w:r>
            <w:r w:rsidR="008A58B1" w:rsidRPr="00D73FED">
              <w:rPr>
                <w:sz w:val="24"/>
                <w:szCs w:val="24"/>
                <w:lang w:eastAsia="en-US"/>
              </w:rPr>
              <w:t xml:space="preserve"> </w:t>
            </w:r>
            <w:r w:rsidR="005856C5" w:rsidRPr="00D73FED">
              <w:rPr>
                <w:sz w:val="24"/>
                <w:szCs w:val="24"/>
                <w:lang w:eastAsia="en-US"/>
              </w:rPr>
              <w:t>Vozidlá</w:t>
            </w:r>
            <w:r w:rsidR="00024D7B">
              <w:rPr>
                <w:sz w:val="24"/>
                <w:szCs w:val="24"/>
                <w:lang w:eastAsia="en-US"/>
              </w:rPr>
              <w:t>,</w:t>
            </w:r>
            <w:r w:rsidR="005856C5" w:rsidRPr="00D73FED">
              <w:rPr>
                <w:sz w:val="24"/>
                <w:szCs w:val="24"/>
                <w:lang w:eastAsia="en-US"/>
              </w:rPr>
              <w:t xml:space="preserve"> </w:t>
            </w:r>
            <w:r w:rsidR="005856C5" w:rsidRPr="00D73FED">
              <w:rPr>
                <w:sz w:val="24"/>
                <w:szCs w:val="24"/>
              </w:rPr>
              <w:t xml:space="preserve">ktoré sa budú používať v medzinárodnej doprave na prepravu tovaru, ktorých najväčšia prípustná celková hmotnosť vrátane prípojných vozidiel bude presahovať 2,5 tony budú musieť byť vybavené </w:t>
            </w:r>
            <w:r w:rsidR="005856C5" w:rsidRPr="00D73FED">
              <w:rPr>
                <w:sz w:val="24"/>
                <w:szCs w:val="24"/>
                <w:lang w:eastAsia="en-US"/>
              </w:rPr>
              <w:t>záznamovým zariadením – inteligentným tachografom druhej generácie.</w:t>
            </w:r>
            <w:r w:rsidR="00AA7200" w:rsidRPr="00D73FED">
              <w:rPr>
                <w:sz w:val="24"/>
                <w:szCs w:val="24"/>
                <w:lang w:eastAsia="en-US"/>
              </w:rPr>
              <w:t xml:space="preserve"> </w:t>
            </w:r>
            <w:r w:rsidR="00AA7200" w:rsidRPr="00D73FED">
              <w:rPr>
                <w:bCs/>
                <w:sz w:val="24"/>
              </w:rPr>
              <w:t>Náklady na montáž záznamového zariadenia  vrátane montáže potrebných súčastí, a overenia budú závisieť od ponuky na trhu avšak tieto náklady odhadujeme vo výške 1</w:t>
            </w:r>
            <w:r w:rsidR="00831E24">
              <w:rPr>
                <w:bCs/>
                <w:sz w:val="24"/>
              </w:rPr>
              <w:t xml:space="preserve"> </w:t>
            </w:r>
            <w:r w:rsidR="00AA7200" w:rsidRPr="00D73FED">
              <w:rPr>
                <w:bCs/>
                <w:sz w:val="24"/>
              </w:rPr>
              <w:t xml:space="preserve">100 eur/ vozidlo. Zároveň pre vodiča je potrebná karta vodiča do záznamového zariadenia, ktorej cena je 54 </w:t>
            </w:r>
            <w:r w:rsidR="00831E24">
              <w:rPr>
                <w:bCs/>
                <w:sz w:val="24"/>
              </w:rPr>
              <w:t>eur</w:t>
            </w:r>
            <w:r w:rsidR="00AA7200" w:rsidRPr="00D73FED">
              <w:rPr>
                <w:bCs/>
                <w:sz w:val="24"/>
              </w:rPr>
              <w:t xml:space="preserve">. </w:t>
            </w:r>
            <w:r w:rsidR="00AA7200" w:rsidRPr="00D73FED">
              <w:rPr>
                <w:sz w:val="24"/>
              </w:rPr>
              <w:t>Ak by sa montáž týkala 5</w:t>
            </w:r>
            <w:r w:rsidR="00831E24">
              <w:rPr>
                <w:sz w:val="24"/>
              </w:rPr>
              <w:t xml:space="preserve"> </w:t>
            </w:r>
            <w:r w:rsidR="00AA7200" w:rsidRPr="00D73FED">
              <w:rPr>
                <w:sz w:val="24"/>
              </w:rPr>
              <w:t>000 vozidiel</w:t>
            </w:r>
            <w:r w:rsidR="00024D7B">
              <w:rPr>
                <w:sz w:val="24"/>
              </w:rPr>
              <w:t>,</w:t>
            </w:r>
            <w:r w:rsidR="00AA7200" w:rsidRPr="00D73FED">
              <w:rPr>
                <w:sz w:val="24"/>
              </w:rPr>
              <w:t xml:space="preserve"> tak náklady na montáž na celé podnikateľské prostredie by tvorili sumu 5 770</w:t>
            </w:r>
            <w:r w:rsidR="00831E24">
              <w:rPr>
                <w:sz w:val="24"/>
              </w:rPr>
              <w:t> </w:t>
            </w:r>
            <w:r w:rsidR="00AA7200" w:rsidRPr="00D73FED">
              <w:rPr>
                <w:sz w:val="24"/>
              </w:rPr>
              <w:t>000</w:t>
            </w:r>
            <w:r w:rsidR="00831E24">
              <w:rPr>
                <w:sz w:val="24"/>
              </w:rPr>
              <w:t> </w:t>
            </w:r>
            <w:r w:rsidR="00AA7200" w:rsidRPr="00D73FED">
              <w:rPr>
                <w:sz w:val="24"/>
              </w:rPr>
              <w:t>eur (5000</w:t>
            </w:r>
            <w:r w:rsidR="00831E24">
              <w:rPr>
                <w:sz w:val="24"/>
              </w:rPr>
              <w:t xml:space="preserve"> x </w:t>
            </w:r>
            <w:r w:rsidR="00AA7200" w:rsidRPr="00D73FED">
              <w:rPr>
                <w:sz w:val="24"/>
              </w:rPr>
              <w:t>1154 eur = 5 770 000 eur ).</w:t>
            </w:r>
          </w:p>
          <w:p w14:paraId="61C9E1C4" w14:textId="5034C9E8" w:rsidR="009F2DFA" w:rsidRPr="00D73FED" w:rsidRDefault="009F2DFA" w:rsidP="005856C5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5E10B406" w14:textId="0B3EF5E7" w:rsidR="005B446D" w:rsidRPr="00D73FED" w:rsidRDefault="005B446D" w:rsidP="00305A7B">
            <w:pPr>
              <w:jc w:val="both"/>
              <w:rPr>
                <w:sz w:val="24"/>
              </w:rPr>
            </w:pPr>
            <w:r w:rsidRPr="00D73FED">
              <w:rPr>
                <w:sz w:val="24"/>
              </w:rPr>
              <w:t>Pozitívne dopady</w:t>
            </w:r>
            <w:r>
              <w:rPr>
                <w:sz w:val="24"/>
              </w:rPr>
              <w:t xml:space="preserve"> návrhu</w:t>
            </w:r>
            <w:r w:rsidRPr="00D73FED">
              <w:rPr>
                <w:sz w:val="24"/>
              </w:rPr>
              <w:t xml:space="preserve"> môž</w:t>
            </w:r>
            <w:r>
              <w:rPr>
                <w:sz w:val="24"/>
              </w:rPr>
              <w:t xml:space="preserve">u byť </w:t>
            </w:r>
            <w:r w:rsidRPr="00D73FED">
              <w:rPr>
                <w:sz w:val="24"/>
              </w:rPr>
              <w:t>pre podnikateľské subjekty</w:t>
            </w:r>
            <w:r>
              <w:rPr>
                <w:sz w:val="24"/>
              </w:rPr>
              <w:t xml:space="preserve"> (vrátane MSP) </w:t>
            </w:r>
            <w:r w:rsidRPr="00D73FED">
              <w:rPr>
                <w:sz w:val="24"/>
              </w:rPr>
              <w:t xml:space="preserve">zabezpečujúce inštaláciu, overovanie a výmenu </w:t>
            </w:r>
            <w:r>
              <w:rPr>
                <w:sz w:val="24"/>
              </w:rPr>
              <w:t>záznamových zariadení</w:t>
            </w:r>
            <w:r w:rsidRPr="00D73FED">
              <w:rPr>
                <w:sz w:val="24"/>
              </w:rPr>
              <w:t xml:space="preserve">. </w:t>
            </w:r>
            <w:r>
              <w:rPr>
                <w:sz w:val="24"/>
              </w:rPr>
              <w:t>Ak odhadujeme cenu za montáž  a</w:t>
            </w:r>
            <w:r w:rsidR="00305A7B">
              <w:rPr>
                <w:sz w:val="24"/>
              </w:rPr>
              <w:t xml:space="preserve"> cenu za </w:t>
            </w:r>
            <w:r>
              <w:rPr>
                <w:sz w:val="24"/>
              </w:rPr>
              <w:t>overenie záznamového zariadenia vo výšk</w:t>
            </w:r>
            <w:r w:rsidR="00305A7B">
              <w:rPr>
                <w:sz w:val="24"/>
              </w:rPr>
              <w:t>e</w:t>
            </w:r>
            <w:r>
              <w:rPr>
                <w:sz w:val="24"/>
              </w:rPr>
              <w:t xml:space="preserve"> cca 250 eur/vozidlo tak pozitívne dopady na 5000 vozidiel</w:t>
            </w:r>
            <w:r w:rsidR="00305A7B">
              <w:rPr>
                <w:sz w:val="24"/>
              </w:rPr>
              <w:t xml:space="preserve"> pre podnikateľské subjekty </w:t>
            </w:r>
            <w:r>
              <w:rPr>
                <w:sz w:val="24"/>
              </w:rPr>
              <w:t xml:space="preserve">sú vo výške </w:t>
            </w:r>
            <w:r w:rsidR="00305A7B">
              <w:rPr>
                <w:sz w:val="24"/>
              </w:rPr>
              <w:t xml:space="preserve">1 250 000 eur. </w:t>
            </w:r>
          </w:p>
          <w:p w14:paraId="73FD61AD" w14:textId="77777777" w:rsidR="006642D3" w:rsidRPr="00D73FED" w:rsidRDefault="006642D3" w:rsidP="00053040">
            <w:pPr>
              <w:jc w:val="both"/>
              <w:rPr>
                <w:sz w:val="24"/>
              </w:rPr>
            </w:pPr>
          </w:p>
          <w:tbl>
            <w:tblPr>
              <w:tblStyle w:val="Mriekatabuky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955"/>
              <w:gridCol w:w="2938"/>
              <w:gridCol w:w="2943"/>
            </w:tblGrid>
            <w:tr w:rsidR="006642D3" w:rsidRPr="00D73FED" w14:paraId="23E30D9E" w14:textId="77777777" w:rsidTr="00741E0D"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99228E" w14:textId="77777777" w:rsidR="006642D3" w:rsidRPr="00D73FED" w:rsidRDefault="006642D3" w:rsidP="006642D3">
                  <w:pPr>
                    <w:rPr>
                      <w:i/>
                      <w:lang w:val="sk-SK"/>
                    </w:rPr>
                  </w:pPr>
                  <w:r w:rsidRPr="00D73FED">
                    <w:rPr>
                      <w:i/>
                      <w:lang w:val="sk-SK"/>
                    </w:rPr>
                    <w:t>Nepriame finančné náklady</w:t>
                  </w:r>
                </w:p>
              </w:tc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CF9367" w14:textId="77777777" w:rsidR="006642D3" w:rsidRPr="00D73FED" w:rsidRDefault="006642D3" w:rsidP="006642D3">
                  <w:pPr>
                    <w:jc w:val="center"/>
                    <w:rPr>
                      <w:i/>
                      <w:lang w:val="sk-SK"/>
                    </w:rPr>
                  </w:pPr>
                  <w:r w:rsidRPr="00D73FED">
                    <w:rPr>
                      <w:i/>
                      <w:lang w:val="sk-SK"/>
                    </w:rPr>
                    <w:t>Náklady</w:t>
                  </w:r>
                </w:p>
              </w:tc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6ACE3" w14:textId="77777777" w:rsidR="006642D3" w:rsidRPr="00D73FED" w:rsidRDefault="006642D3" w:rsidP="006642D3">
                  <w:pPr>
                    <w:jc w:val="center"/>
                    <w:rPr>
                      <w:i/>
                      <w:lang w:val="sk-SK"/>
                    </w:rPr>
                  </w:pPr>
                  <w:r w:rsidRPr="00D73FED">
                    <w:rPr>
                      <w:i/>
                      <w:lang w:val="sk-SK"/>
                    </w:rPr>
                    <w:t>Náklady na podnikateľské prostredie</w:t>
                  </w:r>
                </w:p>
                <w:p w14:paraId="2D334B78" w14:textId="77777777" w:rsidR="006642D3" w:rsidRPr="00D73FED" w:rsidRDefault="006642D3" w:rsidP="006642D3">
                  <w:pPr>
                    <w:jc w:val="center"/>
                    <w:rPr>
                      <w:i/>
                      <w:lang w:val="sk-SK"/>
                    </w:rPr>
                  </w:pPr>
                </w:p>
              </w:tc>
            </w:tr>
            <w:tr w:rsidR="006642D3" w:rsidRPr="00D73FED" w14:paraId="1C2417BE" w14:textId="77777777" w:rsidTr="00741E0D"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8E23C3" w14:textId="77777777" w:rsidR="006642D3" w:rsidRPr="00D73FED" w:rsidRDefault="006642D3" w:rsidP="006642D3">
                  <w:pPr>
                    <w:jc w:val="both"/>
                    <w:rPr>
                      <w:i/>
                      <w:lang w:val="sk-SK"/>
                    </w:rPr>
                  </w:pPr>
                  <w:r w:rsidRPr="00D73FED">
                    <w:rPr>
                      <w:i/>
                      <w:lang w:val="sk-SK"/>
                    </w:rPr>
                    <w:t>Montáž záznamového zariadenia</w:t>
                  </w:r>
                </w:p>
              </w:tc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FEE6F9" w14:textId="77777777" w:rsidR="006642D3" w:rsidRPr="00D73FED" w:rsidRDefault="006642D3" w:rsidP="006642D3">
                  <w:pPr>
                    <w:jc w:val="center"/>
                    <w:rPr>
                      <w:i/>
                      <w:lang w:val="sk-SK"/>
                    </w:rPr>
                  </w:pPr>
                  <w:r w:rsidRPr="00D73FED">
                    <w:rPr>
                      <w:i/>
                      <w:lang w:val="sk-SK"/>
                    </w:rPr>
                    <w:t>1 154 eur/vozidlo</w:t>
                  </w:r>
                </w:p>
              </w:tc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EFD751" w14:textId="77777777" w:rsidR="006642D3" w:rsidRPr="00D73FED" w:rsidRDefault="006642D3" w:rsidP="006642D3">
                  <w:pPr>
                    <w:jc w:val="center"/>
                    <w:rPr>
                      <w:i/>
                      <w:lang w:val="sk-SK"/>
                    </w:rPr>
                  </w:pPr>
                  <w:r w:rsidRPr="00D73FED">
                    <w:rPr>
                      <w:i/>
                      <w:lang w:val="sk-SK"/>
                    </w:rPr>
                    <w:t xml:space="preserve">5 770 000 eur /5000 subjektov </w:t>
                  </w:r>
                </w:p>
              </w:tc>
            </w:tr>
            <w:tr w:rsidR="006642D3" w:rsidRPr="00D73FED" w14:paraId="7BA996B4" w14:textId="77777777" w:rsidTr="00741E0D"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AF9B48" w14:textId="77777777" w:rsidR="006642D3" w:rsidRPr="00D73FED" w:rsidRDefault="006642D3" w:rsidP="006642D3">
                  <w:pPr>
                    <w:jc w:val="both"/>
                    <w:rPr>
                      <w:b/>
                      <w:i/>
                      <w:lang w:val="sk-SK"/>
                    </w:rPr>
                  </w:pPr>
                  <w:r w:rsidRPr="00D73FED">
                    <w:rPr>
                      <w:b/>
                      <w:i/>
                      <w:lang w:val="sk-SK"/>
                    </w:rPr>
                    <w:t xml:space="preserve">Celkové nepriame finančné náklady  </w:t>
                  </w:r>
                </w:p>
              </w:tc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E4E907" w14:textId="77777777" w:rsidR="006642D3" w:rsidRPr="00D73FED" w:rsidRDefault="006642D3" w:rsidP="00D73FED">
                  <w:pPr>
                    <w:jc w:val="center"/>
                    <w:rPr>
                      <w:b/>
                      <w:i/>
                      <w:lang w:val="sk-SK"/>
                    </w:rPr>
                  </w:pPr>
                  <w:r w:rsidRPr="00D73FED">
                    <w:rPr>
                      <w:b/>
                      <w:i/>
                      <w:lang w:val="sk-SK"/>
                    </w:rPr>
                    <w:t>1 1</w:t>
                  </w:r>
                  <w:r w:rsidR="00D73FED">
                    <w:rPr>
                      <w:b/>
                      <w:i/>
                      <w:lang w:val="sk-SK"/>
                    </w:rPr>
                    <w:t>54</w:t>
                  </w:r>
                  <w:r w:rsidRPr="00D73FED">
                    <w:rPr>
                      <w:b/>
                      <w:i/>
                      <w:lang w:val="sk-SK"/>
                    </w:rPr>
                    <w:t xml:space="preserve"> eur</w:t>
                  </w:r>
                </w:p>
              </w:tc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CCA383" w14:textId="77777777" w:rsidR="006642D3" w:rsidRPr="00D73FED" w:rsidRDefault="006642D3" w:rsidP="006642D3">
                  <w:pPr>
                    <w:jc w:val="center"/>
                    <w:rPr>
                      <w:b/>
                      <w:i/>
                      <w:lang w:val="sk-SK"/>
                    </w:rPr>
                  </w:pPr>
                  <w:r w:rsidRPr="00D73FED">
                    <w:rPr>
                      <w:b/>
                      <w:i/>
                      <w:lang w:val="sk-SK"/>
                    </w:rPr>
                    <w:t>5 770 000 eur</w:t>
                  </w:r>
                </w:p>
              </w:tc>
            </w:tr>
          </w:tbl>
          <w:p w14:paraId="1B19CFB3" w14:textId="77777777" w:rsidR="006642D3" w:rsidRPr="00D73FED" w:rsidRDefault="006642D3" w:rsidP="00053040">
            <w:pPr>
              <w:jc w:val="both"/>
              <w:rPr>
                <w:sz w:val="24"/>
              </w:rPr>
            </w:pPr>
          </w:p>
          <w:p w14:paraId="4841BCBA" w14:textId="77777777" w:rsidR="006642D3" w:rsidRPr="00D73FED" w:rsidRDefault="006642D3" w:rsidP="00053040">
            <w:pPr>
              <w:jc w:val="both"/>
              <w:rPr>
                <w:sz w:val="24"/>
                <w:szCs w:val="24"/>
              </w:rPr>
            </w:pPr>
          </w:p>
        </w:tc>
      </w:tr>
      <w:tr w:rsidR="009F2DFA" w:rsidRPr="00D73FED" w14:paraId="3543D4E2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09763976" w14:textId="77777777" w:rsidR="009F2DFA" w:rsidRPr="00D73FED" w:rsidRDefault="002B1108" w:rsidP="007B71A4">
            <w:pPr>
              <w:rPr>
                <w:b/>
                <w:i/>
              </w:rPr>
            </w:pPr>
            <w:r w:rsidRPr="00D73FED">
              <w:rPr>
                <w:b/>
                <w:i/>
              </w:rPr>
              <w:lastRenderedPageBreak/>
              <w:t>3</w:t>
            </w:r>
            <w:r w:rsidR="009F2DFA" w:rsidRPr="00D73FED">
              <w:rPr>
                <w:b/>
                <w:i/>
              </w:rPr>
              <w:t>.3.3 Administratívne náklady</w:t>
            </w:r>
          </w:p>
          <w:p w14:paraId="17871BD7" w14:textId="77777777" w:rsidR="007E121A" w:rsidRPr="00D73FED" w:rsidRDefault="009F2DFA" w:rsidP="006063AF">
            <w:pPr>
              <w:jc w:val="both"/>
              <w:rPr>
                <w:i/>
              </w:rPr>
            </w:pPr>
            <w:r w:rsidRPr="00D73FE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E4216F" w:rsidRPr="00D73FED" w14:paraId="0BE14911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064AAA69" w14:textId="77777777" w:rsidR="002A12AC" w:rsidRPr="00D73FED" w:rsidRDefault="00961C7E" w:rsidP="002A12AC">
            <w:pPr>
              <w:tabs>
                <w:tab w:val="left" w:pos="1134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73FED">
              <w:rPr>
                <w:sz w:val="24"/>
                <w:szCs w:val="24"/>
                <w:lang w:eastAsia="en-US"/>
              </w:rPr>
              <w:t>Administratívne náklady</w:t>
            </w:r>
            <w:r w:rsidR="00D73FED" w:rsidRPr="00D73FED">
              <w:rPr>
                <w:sz w:val="24"/>
                <w:szCs w:val="24"/>
                <w:lang w:eastAsia="en-US"/>
              </w:rPr>
              <w:t xml:space="preserve"> </w:t>
            </w:r>
            <w:r w:rsidR="00D73FED" w:rsidRPr="00D73FED">
              <w:rPr>
                <w:sz w:val="24"/>
                <w:szCs w:val="24"/>
              </w:rPr>
              <w:t>na získanie licencie Spoločenstva pre nových prevádzkovateľov cestnej dopravy</w:t>
            </w:r>
            <w:r w:rsidR="002350AF">
              <w:rPr>
                <w:sz w:val="24"/>
                <w:szCs w:val="24"/>
              </w:rPr>
              <w:t>:</w:t>
            </w:r>
            <w:r w:rsidR="002A12AC" w:rsidRPr="00D73FED">
              <w:rPr>
                <w:sz w:val="24"/>
                <w:szCs w:val="24"/>
                <w:lang w:eastAsia="en-US"/>
              </w:rPr>
              <w:t xml:space="preserve"> </w:t>
            </w:r>
          </w:p>
          <w:p w14:paraId="79783C7B" w14:textId="096C5B3D" w:rsidR="002A12AC" w:rsidRPr="00D73FED" w:rsidRDefault="002A12AC" w:rsidP="00DA4A65">
            <w:pPr>
              <w:pStyle w:val="Odsekzoznamu"/>
              <w:numPr>
                <w:ilvl w:val="0"/>
                <w:numId w:val="18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ED">
              <w:rPr>
                <w:rFonts w:ascii="Times New Roman" w:eastAsia="Times New Roman" w:hAnsi="Times New Roman" w:cs="Times New Roman"/>
                <w:sz w:val="24"/>
                <w:szCs w:val="24"/>
              </w:rPr>
              <w:t>podanie žiadosti o vydanie povolenia na vykonávanie povolania prevádzkovateľa nákladnej cestnej dopravy (200 minút podľa metodiky), frekvencia jednor</w:t>
            </w:r>
            <w:r w:rsidR="00831E2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73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zovo (koeficient frekvencie </w:t>
            </w:r>
            <w:r w:rsidR="00305A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A4A65" w:rsidRPr="00D73F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73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</w:p>
          <w:p w14:paraId="14B53FAF" w14:textId="1CF4EF1B" w:rsidR="00DA4A65" w:rsidRPr="00D73FED" w:rsidRDefault="00961C7E" w:rsidP="00DA4A65">
            <w:pPr>
              <w:pStyle w:val="Odsekzoznamu"/>
              <w:numPr>
                <w:ilvl w:val="0"/>
                <w:numId w:val="18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E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DA4A65" w:rsidRPr="00D73FED">
              <w:rPr>
                <w:rFonts w:ascii="Times New Roman" w:eastAsia="Times New Roman" w:hAnsi="Times New Roman" w:cs="Times New Roman"/>
                <w:sz w:val="24"/>
                <w:szCs w:val="24"/>
              </w:rPr>
              <w:t>odanie žiadosti o vydanie licencie Spoločenstva (200 minút podľa metodiky), frekvencia jednor</w:t>
            </w:r>
            <w:r w:rsidR="00831E2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DA4A65" w:rsidRPr="00D73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zovo (koeficient frekvencie </w:t>
            </w:r>
            <w:r w:rsidR="00305A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A4A65" w:rsidRPr="00D73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 </w:t>
            </w:r>
          </w:p>
          <w:p w14:paraId="0858DFF0" w14:textId="7B859E45" w:rsidR="00961C7E" w:rsidRPr="00D73FED" w:rsidRDefault="00961C7E" w:rsidP="00961C7E">
            <w:pPr>
              <w:pStyle w:val="Odsekzoznamu"/>
              <w:numPr>
                <w:ilvl w:val="0"/>
                <w:numId w:val="18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E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DA4A65" w:rsidRPr="00D73FED">
              <w:rPr>
                <w:rFonts w:ascii="Times New Roman" w:eastAsia="Times New Roman" w:hAnsi="Times New Roman" w:cs="Times New Roman"/>
                <w:sz w:val="24"/>
                <w:szCs w:val="24"/>
              </w:rPr>
              <w:t>odanie prihlášky na skúšku k preukázaniu odbornej spôsobilosti</w:t>
            </w:r>
            <w:r w:rsidRPr="00D73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(200 minút podľa metodiky), frekvencia jednor</w:t>
            </w:r>
            <w:r w:rsidR="00831E2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73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zovo (koeficient frekvencie 1),  </w:t>
            </w:r>
          </w:p>
          <w:p w14:paraId="5493B8FA" w14:textId="5015B780" w:rsidR="00961C7E" w:rsidRPr="00D73FED" w:rsidRDefault="00961C7E" w:rsidP="00961C7E">
            <w:pPr>
              <w:pStyle w:val="Odsekzoznamu"/>
              <w:numPr>
                <w:ilvl w:val="0"/>
                <w:numId w:val="18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ED">
              <w:rPr>
                <w:rFonts w:ascii="Times New Roman" w:eastAsia="Times New Roman" w:hAnsi="Times New Roman" w:cs="Times New Roman"/>
                <w:sz w:val="24"/>
                <w:szCs w:val="24"/>
              </w:rPr>
              <w:t>podanie žiadosti o vydanie osvedčenia o odbornej spôsobilosti, (200 minút podľa metodiky), frekvencia jednor</w:t>
            </w:r>
            <w:r w:rsidR="00831E2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73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zovo (koeficient frekvencie </w:t>
            </w:r>
            <w:r w:rsidR="00305A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73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 </w:t>
            </w:r>
          </w:p>
          <w:p w14:paraId="422C30E7" w14:textId="77777777" w:rsidR="002A12AC" w:rsidRPr="00D73FED" w:rsidRDefault="002A12AC" w:rsidP="003D30B1">
            <w:pPr>
              <w:pStyle w:val="Odsekzoznamu"/>
              <w:numPr>
                <w:ilvl w:val="0"/>
                <w:numId w:val="18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ED">
              <w:rPr>
                <w:rFonts w:ascii="Times New Roman" w:eastAsia="Times New Roman" w:hAnsi="Times New Roman" w:cs="Times New Roman"/>
                <w:sz w:val="24"/>
                <w:szCs w:val="24"/>
              </w:rPr>
              <w:t>počet prevádzkovateľov  5 000.</w:t>
            </w:r>
          </w:p>
          <w:p w14:paraId="345CDED7" w14:textId="30601E47" w:rsidR="002A12AC" w:rsidRPr="00D73FED" w:rsidRDefault="002A12AC" w:rsidP="002A12AC">
            <w:pPr>
              <w:tabs>
                <w:tab w:val="left" w:pos="1134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73FED">
              <w:rPr>
                <w:sz w:val="24"/>
                <w:szCs w:val="24"/>
                <w:lang w:eastAsia="en-US"/>
              </w:rPr>
              <w:t>Výpočet</w:t>
            </w:r>
            <w:r w:rsidR="002350AF">
              <w:rPr>
                <w:sz w:val="24"/>
                <w:szCs w:val="24"/>
                <w:lang w:eastAsia="en-US"/>
              </w:rPr>
              <w:t>:</w:t>
            </w:r>
            <w:r w:rsidRPr="00D73FED">
              <w:rPr>
                <w:sz w:val="24"/>
                <w:szCs w:val="24"/>
                <w:lang w:eastAsia="en-US"/>
              </w:rPr>
              <w:t xml:space="preserve"> </w:t>
            </w:r>
            <w:r w:rsidR="00E51E76">
              <w:rPr>
                <w:sz w:val="24"/>
                <w:szCs w:val="24"/>
                <w:lang w:eastAsia="en-US"/>
              </w:rPr>
              <w:t>1 133</w:t>
            </w:r>
            <w:r w:rsidRPr="00D73FED">
              <w:rPr>
                <w:sz w:val="24"/>
                <w:szCs w:val="24"/>
                <w:lang w:eastAsia="en-US"/>
              </w:rPr>
              <w:t xml:space="preserve"> </w:t>
            </w:r>
            <w:r w:rsidR="00831E24">
              <w:rPr>
                <w:sz w:val="24"/>
                <w:szCs w:val="24"/>
                <w:lang w:eastAsia="en-US"/>
              </w:rPr>
              <w:t>eur</w:t>
            </w:r>
            <w:r w:rsidRPr="00D73FED">
              <w:rPr>
                <w:sz w:val="24"/>
                <w:szCs w:val="24"/>
                <w:lang w:eastAsia="en-US"/>
              </w:rPr>
              <w:t xml:space="preserve"> /160 hodín</w:t>
            </w:r>
            <w:r w:rsidR="002350AF">
              <w:rPr>
                <w:sz w:val="24"/>
                <w:szCs w:val="24"/>
                <w:lang w:eastAsia="en-US"/>
              </w:rPr>
              <w:t xml:space="preserve"> za </w:t>
            </w:r>
            <w:r w:rsidRPr="00D73FED">
              <w:rPr>
                <w:sz w:val="24"/>
                <w:szCs w:val="24"/>
                <w:lang w:eastAsia="en-US"/>
              </w:rPr>
              <w:t xml:space="preserve">mesiac </w:t>
            </w:r>
            <w:r w:rsidR="00831E24">
              <w:rPr>
                <w:sz w:val="24"/>
                <w:szCs w:val="24"/>
                <w:lang w:eastAsia="en-US"/>
              </w:rPr>
              <w:t xml:space="preserve">x </w:t>
            </w:r>
            <w:r w:rsidRPr="00D73FED">
              <w:rPr>
                <w:sz w:val="24"/>
                <w:szCs w:val="24"/>
                <w:lang w:eastAsia="en-US"/>
              </w:rPr>
              <w:t>1</w:t>
            </w:r>
            <w:r w:rsidR="00961C7E" w:rsidRPr="00D73FED">
              <w:rPr>
                <w:sz w:val="24"/>
                <w:szCs w:val="24"/>
                <w:lang w:eastAsia="en-US"/>
              </w:rPr>
              <w:t>3,33</w:t>
            </w:r>
            <w:r w:rsidRPr="00D73FED">
              <w:rPr>
                <w:sz w:val="24"/>
                <w:szCs w:val="24"/>
                <w:lang w:eastAsia="en-US"/>
              </w:rPr>
              <w:t xml:space="preserve"> hod</w:t>
            </w:r>
            <w:r w:rsidR="00961C7E" w:rsidRPr="00D73FED">
              <w:rPr>
                <w:sz w:val="24"/>
                <w:szCs w:val="24"/>
                <w:lang w:eastAsia="en-US"/>
              </w:rPr>
              <w:t>ín</w:t>
            </w:r>
            <w:r w:rsidRPr="00D73FED">
              <w:rPr>
                <w:sz w:val="24"/>
                <w:szCs w:val="24"/>
                <w:lang w:eastAsia="en-US"/>
              </w:rPr>
              <w:t xml:space="preserve"> (</w:t>
            </w:r>
            <w:r w:rsidR="00961C7E" w:rsidRPr="00D73FED">
              <w:rPr>
                <w:sz w:val="24"/>
                <w:szCs w:val="24"/>
                <w:lang w:eastAsia="en-US"/>
              </w:rPr>
              <w:t>800</w:t>
            </w:r>
            <w:r w:rsidRPr="00D73FED">
              <w:rPr>
                <w:sz w:val="24"/>
                <w:szCs w:val="24"/>
                <w:lang w:eastAsia="en-US"/>
              </w:rPr>
              <w:t xml:space="preserve"> min</w:t>
            </w:r>
            <w:r w:rsidR="002350AF">
              <w:rPr>
                <w:sz w:val="24"/>
                <w:szCs w:val="24"/>
                <w:lang w:eastAsia="en-US"/>
              </w:rPr>
              <w:t>út</w:t>
            </w:r>
            <w:r w:rsidRPr="00D73FED">
              <w:rPr>
                <w:sz w:val="24"/>
                <w:szCs w:val="24"/>
                <w:lang w:eastAsia="en-US"/>
              </w:rPr>
              <w:t xml:space="preserve">) </w:t>
            </w:r>
            <w:r w:rsidR="00831E24">
              <w:rPr>
                <w:sz w:val="24"/>
                <w:szCs w:val="24"/>
                <w:lang w:eastAsia="en-US"/>
              </w:rPr>
              <w:t>x</w:t>
            </w:r>
            <w:r w:rsidR="002350AF">
              <w:rPr>
                <w:sz w:val="24"/>
                <w:szCs w:val="24"/>
                <w:lang w:eastAsia="en-US"/>
              </w:rPr>
              <w:t xml:space="preserve"> </w:t>
            </w:r>
            <w:r w:rsidR="00E51E76">
              <w:rPr>
                <w:sz w:val="24"/>
                <w:szCs w:val="24"/>
                <w:lang w:eastAsia="en-US"/>
              </w:rPr>
              <w:t>1</w:t>
            </w:r>
            <w:r w:rsidR="002350AF">
              <w:rPr>
                <w:sz w:val="24"/>
                <w:szCs w:val="24"/>
                <w:lang w:eastAsia="en-US"/>
              </w:rPr>
              <w:t xml:space="preserve"> (koeficient frekvencie)</w:t>
            </w:r>
            <w:r w:rsidRPr="00D73FED">
              <w:rPr>
                <w:sz w:val="24"/>
                <w:szCs w:val="24"/>
                <w:lang w:eastAsia="en-US"/>
              </w:rPr>
              <w:t xml:space="preserve"> =</w:t>
            </w:r>
            <w:r w:rsidR="00961C7E" w:rsidRPr="00D73FED">
              <w:rPr>
                <w:sz w:val="24"/>
                <w:szCs w:val="24"/>
                <w:lang w:eastAsia="en-US"/>
              </w:rPr>
              <w:t xml:space="preserve"> </w:t>
            </w:r>
            <w:r w:rsidRPr="00D73FED">
              <w:rPr>
                <w:sz w:val="24"/>
                <w:szCs w:val="24"/>
                <w:lang w:eastAsia="en-US"/>
              </w:rPr>
              <w:t xml:space="preserve"> </w:t>
            </w:r>
            <w:r w:rsidR="00E94D58">
              <w:rPr>
                <w:sz w:val="24"/>
                <w:szCs w:val="24"/>
                <w:lang w:eastAsia="en-US"/>
              </w:rPr>
              <w:t>94</w:t>
            </w:r>
            <w:r w:rsidR="00877C61">
              <w:rPr>
                <w:sz w:val="24"/>
                <w:szCs w:val="24"/>
                <w:lang w:eastAsia="en-US"/>
              </w:rPr>
              <w:t>,</w:t>
            </w:r>
            <w:r w:rsidR="00E94D58">
              <w:rPr>
                <w:sz w:val="24"/>
                <w:szCs w:val="24"/>
                <w:lang w:eastAsia="en-US"/>
              </w:rPr>
              <w:t>39</w:t>
            </w:r>
            <w:r w:rsidR="00877C61">
              <w:rPr>
                <w:sz w:val="24"/>
                <w:szCs w:val="24"/>
                <w:lang w:eastAsia="en-US"/>
              </w:rPr>
              <w:t xml:space="preserve"> eur</w:t>
            </w:r>
            <w:r w:rsidR="002350AF">
              <w:rPr>
                <w:sz w:val="24"/>
                <w:szCs w:val="24"/>
                <w:lang w:eastAsia="en-US"/>
              </w:rPr>
              <w:t>. N</w:t>
            </w:r>
            <w:r w:rsidRPr="00D73FED">
              <w:rPr>
                <w:sz w:val="24"/>
                <w:szCs w:val="24"/>
                <w:lang w:eastAsia="en-US"/>
              </w:rPr>
              <w:t xml:space="preserve">a celé podnikateľské prostredie </w:t>
            </w:r>
            <w:r w:rsidR="00E94D58">
              <w:rPr>
                <w:sz w:val="24"/>
                <w:szCs w:val="24"/>
                <w:lang w:eastAsia="en-US"/>
              </w:rPr>
              <w:t>94,39</w:t>
            </w:r>
            <w:r w:rsidRPr="00D73FED">
              <w:rPr>
                <w:sz w:val="24"/>
                <w:szCs w:val="24"/>
                <w:lang w:eastAsia="en-US"/>
              </w:rPr>
              <w:t xml:space="preserve"> eur x </w:t>
            </w:r>
            <w:r w:rsidR="00961C7E" w:rsidRPr="00D73FED">
              <w:rPr>
                <w:sz w:val="24"/>
                <w:szCs w:val="24"/>
                <w:lang w:eastAsia="en-US"/>
              </w:rPr>
              <w:t>5000</w:t>
            </w:r>
            <w:r w:rsidRPr="00D73FED">
              <w:rPr>
                <w:sz w:val="24"/>
                <w:szCs w:val="24"/>
                <w:lang w:eastAsia="en-US"/>
              </w:rPr>
              <w:t xml:space="preserve">  = </w:t>
            </w:r>
            <w:r w:rsidR="00E94D58">
              <w:rPr>
                <w:sz w:val="24"/>
                <w:szCs w:val="24"/>
                <w:lang w:eastAsia="en-US"/>
              </w:rPr>
              <w:t>471 950</w:t>
            </w:r>
            <w:r w:rsidRPr="00D73FED">
              <w:rPr>
                <w:sz w:val="24"/>
                <w:szCs w:val="24"/>
                <w:lang w:eastAsia="en-US"/>
              </w:rPr>
              <w:t xml:space="preserve"> eur.</w:t>
            </w:r>
          </w:p>
          <w:p w14:paraId="3F2D590A" w14:textId="77777777" w:rsidR="00F84123" w:rsidRPr="00D73FED" w:rsidRDefault="00F84123" w:rsidP="002A12AC">
            <w:pPr>
              <w:jc w:val="both"/>
              <w:rPr>
                <w:sz w:val="24"/>
                <w:szCs w:val="24"/>
                <w:lang w:eastAsia="en-US"/>
              </w:rPr>
            </w:pPr>
          </w:p>
          <w:tbl>
            <w:tblPr>
              <w:tblStyle w:val="Mriekatabuky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955"/>
              <w:gridCol w:w="2938"/>
              <w:gridCol w:w="2943"/>
            </w:tblGrid>
            <w:tr w:rsidR="00F84123" w:rsidRPr="00D73FED" w14:paraId="3476B746" w14:textId="77777777" w:rsidTr="00741E0D"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BDA7BA" w14:textId="77777777" w:rsidR="00F84123" w:rsidRPr="00D73FED" w:rsidRDefault="00F84123" w:rsidP="00F84123">
                  <w:pPr>
                    <w:rPr>
                      <w:i/>
                      <w:lang w:val="sk-SK"/>
                    </w:rPr>
                  </w:pPr>
                  <w:r w:rsidRPr="00D73FED">
                    <w:rPr>
                      <w:i/>
                      <w:lang w:val="sk-SK"/>
                    </w:rPr>
                    <w:t>Administratívne  náklady</w:t>
                  </w:r>
                </w:p>
              </w:tc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D87546" w14:textId="77777777" w:rsidR="00F84123" w:rsidRPr="00D73FED" w:rsidRDefault="00F84123" w:rsidP="00F84123">
                  <w:pPr>
                    <w:jc w:val="center"/>
                    <w:rPr>
                      <w:i/>
                      <w:lang w:val="sk-SK"/>
                    </w:rPr>
                  </w:pPr>
                  <w:r w:rsidRPr="00D73FED">
                    <w:rPr>
                      <w:i/>
                      <w:lang w:val="sk-SK"/>
                    </w:rPr>
                    <w:t>Náklady</w:t>
                  </w:r>
                </w:p>
              </w:tc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7A4B9" w14:textId="77777777" w:rsidR="00F84123" w:rsidRPr="00D73FED" w:rsidRDefault="00F84123" w:rsidP="00F84123">
                  <w:pPr>
                    <w:jc w:val="center"/>
                    <w:rPr>
                      <w:i/>
                      <w:lang w:val="sk-SK"/>
                    </w:rPr>
                  </w:pPr>
                  <w:r w:rsidRPr="00D73FED">
                    <w:rPr>
                      <w:i/>
                      <w:lang w:val="sk-SK"/>
                    </w:rPr>
                    <w:t>Náklady na podnikateľské prostredie</w:t>
                  </w:r>
                </w:p>
                <w:p w14:paraId="4816F9B7" w14:textId="77777777" w:rsidR="00F84123" w:rsidRPr="00D73FED" w:rsidRDefault="00F84123" w:rsidP="00F84123">
                  <w:pPr>
                    <w:jc w:val="center"/>
                    <w:rPr>
                      <w:i/>
                      <w:lang w:val="sk-SK"/>
                    </w:rPr>
                  </w:pPr>
                </w:p>
              </w:tc>
            </w:tr>
            <w:tr w:rsidR="00F84123" w:rsidRPr="00D73FED" w14:paraId="17F3CCB8" w14:textId="77777777" w:rsidTr="00741E0D"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61D172" w14:textId="77777777" w:rsidR="00F84123" w:rsidRPr="00D73FED" w:rsidRDefault="00C42FC3" w:rsidP="00C42FC3">
                  <w:pPr>
                    <w:jc w:val="both"/>
                    <w:rPr>
                      <w:i/>
                      <w:lang w:val="sk-SK"/>
                    </w:rPr>
                  </w:pPr>
                  <w:r w:rsidRPr="00D73FED">
                    <w:rPr>
                      <w:i/>
                      <w:lang w:val="sk-SK"/>
                    </w:rPr>
                    <w:t>Podanie žiadosti o vydanie licencie Spoločenstva</w:t>
                  </w:r>
                  <w:r w:rsidR="00E26D16" w:rsidRPr="00D73FED">
                    <w:rPr>
                      <w:i/>
                      <w:lang w:val="sk-SK"/>
                    </w:rPr>
                    <w:t xml:space="preserve"> pre 2,5-3,5t.</w:t>
                  </w:r>
                </w:p>
              </w:tc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ACD429" w14:textId="727645CF" w:rsidR="00F84123" w:rsidRPr="00D73FED" w:rsidRDefault="00E94D58" w:rsidP="00E94D58">
                  <w:pPr>
                    <w:jc w:val="center"/>
                    <w:rPr>
                      <w:i/>
                      <w:lang w:val="sk-SK"/>
                    </w:rPr>
                  </w:pPr>
                  <w:r>
                    <w:rPr>
                      <w:i/>
                      <w:lang w:val="sk-SK"/>
                    </w:rPr>
                    <w:t>94,39</w:t>
                  </w:r>
                  <w:r w:rsidR="00F84123" w:rsidRPr="00D73FED">
                    <w:rPr>
                      <w:i/>
                      <w:lang w:val="sk-SK"/>
                    </w:rPr>
                    <w:t xml:space="preserve"> eur/ subjekt</w:t>
                  </w:r>
                </w:p>
              </w:tc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540941" w14:textId="11412539" w:rsidR="00F84123" w:rsidRPr="00D73FED" w:rsidRDefault="00E94D58" w:rsidP="00E94D58">
                  <w:pPr>
                    <w:jc w:val="center"/>
                    <w:rPr>
                      <w:i/>
                      <w:lang w:val="sk-SK"/>
                    </w:rPr>
                  </w:pPr>
                  <w:r>
                    <w:rPr>
                      <w:i/>
                      <w:lang w:val="sk-SK"/>
                    </w:rPr>
                    <w:t>471 950</w:t>
                  </w:r>
                  <w:r w:rsidR="00F84123" w:rsidRPr="00D73FED">
                    <w:rPr>
                      <w:i/>
                      <w:lang w:val="sk-SK"/>
                    </w:rPr>
                    <w:t xml:space="preserve"> eur /5000 subjektov </w:t>
                  </w:r>
                </w:p>
              </w:tc>
            </w:tr>
            <w:tr w:rsidR="00F84123" w:rsidRPr="00D73FED" w14:paraId="4537B5C3" w14:textId="77777777" w:rsidTr="00741E0D"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858A6F" w14:textId="77777777" w:rsidR="00F84123" w:rsidRPr="00C32C0B" w:rsidRDefault="00F84123" w:rsidP="00C42FC3">
                  <w:pPr>
                    <w:jc w:val="both"/>
                    <w:rPr>
                      <w:b/>
                      <w:i/>
                      <w:lang w:val="sk-SK"/>
                    </w:rPr>
                  </w:pPr>
                  <w:r w:rsidRPr="00C32C0B">
                    <w:rPr>
                      <w:b/>
                      <w:i/>
                      <w:lang w:val="sk-SK"/>
                    </w:rPr>
                    <w:t xml:space="preserve">Celkové </w:t>
                  </w:r>
                  <w:r w:rsidR="00C42FC3" w:rsidRPr="00C32C0B">
                    <w:rPr>
                      <w:b/>
                      <w:i/>
                      <w:lang w:val="sk-SK"/>
                    </w:rPr>
                    <w:t xml:space="preserve">administratívne </w:t>
                  </w:r>
                  <w:r w:rsidRPr="00C32C0B">
                    <w:rPr>
                      <w:b/>
                      <w:i/>
                      <w:lang w:val="sk-SK"/>
                    </w:rPr>
                    <w:t xml:space="preserve"> náklady  </w:t>
                  </w:r>
                </w:p>
              </w:tc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1C8C68" w14:textId="0B3DA598" w:rsidR="00F84123" w:rsidRPr="00C32C0B" w:rsidRDefault="00E94D58" w:rsidP="00E94D58">
                  <w:pPr>
                    <w:jc w:val="center"/>
                    <w:rPr>
                      <w:b/>
                      <w:i/>
                      <w:lang w:val="sk-SK"/>
                    </w:rPr>
                  </w:pPr>
                  <w:r>
                    <w:rPr>
                      <w:b/>
                      <w:i/>
                      <w:lang w:val="sk-SK"/>
                    </w:rPr>
                    <w:t>94,39</w:t>
                  </w:r>
                  <w:r w:rsidR="00877C61" w:rsidRPr="00C32C0B">
                    <w:rPr>
                      <w:b/>
                      <w:i/>
                      <w:lang w:val="sk-SK"/>
                    </w:rPr>
                    <w:t xml:space="preserve"> </w:t>
                  </w:r>
                  <w:r w:rsidR="00F84123" w:rsidRPr="00C32C0B">
                    <w:rPr>
                      <w:b/>
                      <w:i/>
                      <w:lang w:val="sk-SK"/>
                    </w:rPr>
                    <w:t>eur</w:t>
                  </w:r>
                </w:p>
              </w:tc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434195" w14:textId="5706804C" w:rsidR="00F84123" w:rsidRPr="00C32C0B" w:rsidRDefault="00E94D58" w:rsidP="00E94D58">
                  <w:pPr>
                    <w:jc w:val="center"/>
                    <w:rPr>
                      <w:b/>
                      <w:i/>
                      <w:lang w:val="sk-SK"/>
                    </w:rPr>
                  </w:pPr>
                  <w:r>
                    <w:rPr>
                      <w:b/>
                      <w:i/>
                      <w:lang w:val="sk-SK"/>
                    </w:rPr>
                    <w:t>471 950</w:t>
                  </w:r>
                  <w:r w:rsidR="00877C61" w:rsidRPr="00C32C0B">
                    <w:rPr>
                      <w:b/>
                      <w:i/>
                      <w:lang w:val="sk-SK"/>
                    </w:rPr>
                    <w:t xml:space="preserve"> </w:t>
                  </w:r>
                  <w:r w:rsidR="00F84123" w:rsidRPr="00C32C0B">
                    <w:rPr>
                      <w:b/>
                      <w:i/>
                      <w:lang w:val="sk-SK"/>
                    </w:rPr>
                    <w:t>eur</w:t>
                  </w:r>
                </w:p>
              </w:tc>
            </w:tr>
          </w:tbl>
          <w:p w14:paraId="0544E25E" w14:textId="19419270" w:rsidR="00F84123" w:rsidRPr="00D73FED" w:rsidRDefault="00F84123" w:rsidP="002A12AC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3EACF289" w14:textId="77777777" w:rsidR="009F2DFA" w:rsidRPr="00D73FED" w:rsidRDefault="009F2DFA" w:rsidP="006063AF">
            <w:pPr>
              <w:pStyle w:val="Odstavecseseznamem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16F" w:rsidRPr="00D73FED" w14:paraId="66FFF7DF" w14:textId="77777777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14:paraId="67313E82" w14:textId="77777777" w:rsidR="002645EF" w:rsidRDefault="002645EF" w:rsidP="006063AF">
            <w:pPr>
              <w:jc w:val="both"/>
              <w:rPr>
                <w:b/>
                <w:i/>
              </w:rPr>
            </w:pPr>
          </w:p>
          <w:p w14:paraId="5CBCB5BD" w14:textId="5E9A796D" w:rsidR="009F2DFA" w:rsidRDefault="002B1108" w:rsidP="006063AF">
            <w:pPr>
              <w:jc w:val="both"/>
              <w:rPr>
                <w:b/>
                <w:i/>
              </w:rPr>
            </w:pPr>
            <w:r w:rsidRPr="00D73FED">
              <w:rPr>
                <w:b/>
                <w:i/>
              </w:rPr>
              <w:t>3</w:t>
            </w:r>
            <w:r w:rsidR="009F2DFA" w:rsidRPr="00D73FED">
              <w:rPr>
                <w:b/>
                <w:i/>
              </w:rPr>
              <w:t>.3.4 Súhrnná tabuľka nákladov regulácie</w:t>
            </w:r>
            <w:r w:rsidR="00C7404A" w:rsidRPr="00D73FED">
              <w:rPr>
                <w:b/>
                <w:i/>
              </w:rPr>
              <w:t xml:space="preserve"> – ide len o odhad, týkajúci sa nových držiteľov koncesie</w:t>
            </w:r>
            <w:r w:rsidR="00E4216F" w:rsidRPr="00D73FED">
              <w:rPr>
                <w:b/>
                <w:i/>
              </w:rPr>
              <w:t xml:space="preserve"> po nadobudnutí účinnosti zákona</w:t>
            </w:r>
            <w:r w:rsidR="00C7404A" w:rsidRPr="00D73FED">
              <w:rPr>
                <w:b/>
                <w:i/>
              </w:rPr>
              <w:t>.</w:t>
            </w:r>
          </w:p>
          <w:p w14:paraId="0AD3E2FB" w14:textId="77777777" w:rsidR="002645EF" w:rsidRPr="00D73FED" w:rsidRDefault="002645EF" w:rsidP="006063AF">
            <w:pPr>
              <w:jc w:val="both"/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52"/>
              <w:gridCol w:w="2936"/>
              <w:gridCol w:w="2948"/>
            </w:tblGrid>
            <w:tr w:rsidR="00E4216F" w:rsidRPr="00D73FED" w14:paraId="218CA53B" w14:textId="77777777" w:rsidTr="002645EF">
              <w:trPr>
                <w:trHeight w:val="609"/>
              </w:trPr>
              <w:tc>
                <w:tcPr>
                  <w:tcW w:w="2952" w:type="dxa"/>
                </w:tcPr>
                <w:p w14:paraId="4E950613" w14:textId="77777777" w:rsidR="009F2DFA" w:rsidRPr="00D73FED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36" w:type="dxa"/>
                </w:tcPr>
                <w:p w14:paraId="4616EEC1" w14:textId="77777777" w:rsidR="009F2DFA" w:rsidRPr="00D73FED" w:rsidRDefault="009F2DFA" w:rsidP="006642D3">
                  <w:pPr>
                    <w:jc w:val="center"/>
                    <w:rPr>
                      <w:i/>
                    </w:rPr>
                  </w:pPr>
                  <w:r w:rsidRPr="00D73FED">
                    <w:rPr>
                      <w:i/>
                    </w:rPr>
                    <w:t xml:space="preserve">Náklady </w:t>
                  </w:r>
                </w:p>
              </w:tc>
              <w:tc>
                <w:tcPr>
                  <w:tcW w:w="2948" w:type="dxa"/>
                </w:tcPr>
                <w:p w14:paraId="32E8A19C" w14:textId="190312AB" w:rsidR="00C7404A" w:rsidRPr="00D73FED" w:rsidRDefault="009F2DFA" w:rsidP="002645EF">
                  <w:pPr>
                    <w:jc w:val="center"/>
                    <w:rPr>
                      <w:i/>
                    </w:rPr>
                  </w:pPr>
                  <w:r w:rsidRPr="00D73FE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8A58B1" w:rsidRPr="00D73FED" w14:paraId="4A9E8F9D" w14:textId="77777777" w:rsidTr="002645EF">
              <w:tc>
                <w:tcPr>
                  <w:tcW w:w="2952" w:type="dxa"/>
                </w:tcPr>
                <w:p w14:paraId="2BAB8DD2" w14:textId="77777777" w:rsidR="008A58B1" w:rsidRPr="00D73FED" w:rsidRDefault="008A58B1" w:rsidP="008A58B1">
                  <w:pPr>
                    <w:jc w:val="both"/>
                    <w:rPr>
                      <w:i/>
                    </w:rPr>
                  </w:pPr>
                  <w:r w:rsidRPr="00D73FE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36" w:type="dxa"/>
                </w:tcPr>
                <w:p w14:paraId="6F6C6C68" w14:textId="1194604E" w:rsidR="008A58B1" w:rsidRPr="00D73FED" w:rsidRDefault="008A58B1" w:rsidP="00AD4B40">
                  <w:pPr>
                    <w:jc w:val="center"/>
                    <w:rPr>
                      <w:b/>
                      <w:i/>
                    </w:rPr>
                  </w:pPr>
                  <w:r w:rsidRPr="00D73FED">
                    <w:rPr>
                      <w:b/>
                      <w:i/>
                    </w:rPr>
                    <w:t>16</w:t>
                  </w:r>
                  <w:r w:rsidR="00AD4B40">
                    <w:rPr>
                      <w:b/>
                      <w:i/>
                    </w:rPr>
                    <w:t>3</w:t>
                  </w:r>
                  <w:r w:rsidRPr="00D73FED">
                    <w:rPr>
                      <w:b/>
                      <w:i/>
                    </w:rPr>
                    <w:t xml:space="preserve"> eur</w:t>
                  </w:r>
                </w:p>
              </w:tc>
              <w:tc>
                <w:tcPr>
                  <w:tcW w:w="2948" w:type="dxa"/>
                </w:tcPr>
                <w:p w14:paraId="2D87B7AF" w14:textId="043F5C04" w:rsidR="008A58B1" w:rsidRPr="00D73FED" w:rsidRDefault="00AD4B40" w:rsidP="00AD4B40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815 000</w:t>
                  </w:r>
                  <w:r w:rsidR="008A58B1" w:rsidRPr="00D73FED">
                    <w:rPr>
                      <w:b/>
                      <w:i/>
                    </w:rPr>
                    <w:t xml:space="preserve"> eur</w:t>
                  </w:r>
                </w:p>
              </w:tc>
            </w:tr>
            <w:tr w:rsidR="00E4216F" w:rsidRPr="00D73FED" w14:paraId="3360AF24" w14:textId="77777777" w:rsidTr="002645EF">
              <w:tc>
                <w:tcPr>
                  <w:tcW w:w="2952" w:type="dxa"/>
                </w:tcPr>
                <w:p w14:paraId="3FF8481C" w14:textId="77777777" w:rsidR="009F2DFA" w:rsidRPr="00D73FED" w:rsidRDefault="009F2DFA" w:rsidP="00966E7B">
                  <w:pPr>
                    <w:jc w:val="both"/>
                    <w:rPr>
                      <w:i/>
                    </w:rPr>
                  </w:pPr>
                  <w:r w:rsidRPr="00D73FE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36" w:type="dxa"/>
                </w:tcPr>
                <w:p w14:paraId="32F33E5A" w14:textId="77777777" w:rsidR="009F2DFA" w:rsidRPr="00D73FED" w:rsidRDefault="00053040" w:rsidP="00C7404A">
                  <w:pPr>
                    <w:jc w:val="center"/>
                    <w:rPr>
                      <w:b/>
                      <w:i/>
                    </w:rPr>
                  </w:pPr>
                  <w:r w:rsidRPr="00D73FED">
                    <w:rPr>
                      <w:b/>
                      <w:i/>
                    </w:rPr>
                    <w:t>1154 eur</w:t>
                  </w:r>
                </w:p>
              </w:tc>
              <w:tc>
                <w:tcPr>
                  <w:tcW w:w="2948" w:type="dxa"/>
                </w:tcPr>
                <w:p w14:paraId="38ABD6EA" w14:textId="77777777" w:rsidR="009F2DFA" w:rsidRPr="00D73FED" w:rsidRDefault="00053040" w:rsidP="00E4216F">
                  <w:pPr>
                    <w:jc w:val="center"/>
                    <w:rPr>
                      <w:b/>
                      <w:i/>
                    </w:rPr>
                  </w:pPr>
                  <w:r w:rsidRPr="00D73FED">
                    <w:rPr>
                      <w:b/>
                      <w:i/>
                    </w:rPr>
                    <w:t>5 770 000 eur</w:t>
                  </w:r>
                </w:p>
              </w:tc>
            </w:tr>
            <w:tr w:rsidR="00E4216F" w:rsidRPr="00D73FED" w14:paraId="029421DC" w14:textId="77777777" w:rsidTr="002645EF">
              <w:tc>
                <w:tcPr>
                  <w:tcW w:w="2952" w:type="dxa"/>
                </w:tcPr>
                <w:p w14:paraId="1F2BD3A5" w14:textId="77777777" w:rsidR="009F2DFA" w:rsidRPr="00D73FED" w:rsidRDefault="009F2DFA" w:rsidP="00966E7B">
                  <w:pPr>
                    <w:jc w:val="both"/>
                    <w:rPr>
                      <w:i/>
                    </w:rPr>
                  </w:pPr>
                  <w:r w:rsidRPr="00D73FE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36" w:type="dxa"/>
                </w:tcPr>
                <w:p w14:paraId="6F631311" w14:textId="2F74D9C6" w:rsidR="009F2DFA" w:rsidRPr="00831E24" w:rsidRDefault="00305A7B" w:rsidP="00305A7B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94,39</w:t>
                  </w:r>
                  <w:r w:rsidR="00D73FED" w:rsidRPr="00AD4B40">
                    <w:rPr>
                      <w:b/>
                      <w:i/>
                    </w:rPr>
                    <w:t xml:space="preserve"> </w:t>
                  </w:r>
                  <w:r w:rsidR="00053040" w:rsidRPr="00831E24">
                    <w:rPr>
                      <w:b/>
                      <w:i/>
                    </w:rPr>
                    <w:t>eur</w:t>
                  </w:r>
                </w:p>
              </w:tc>
              <w:tc>
                <w:tcPr>
                  <w:tcW w:w="2948" w:type="dxa"/>
                </w:tcPr>
                <w:p w14:paraId="46DF60DF" w14:textId="30D34591" w:rsidR="009F2DFA" w:rsidRPr="00831E24" w:rsidRDefault="00305A7B" w:rsidP="00305A7B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471 950</w:t>
                  </w:r>
                  <w:r w:rsidR="0034298F" w:rsidRPr="00AD4B40">
                    <w:rPr>
                      <w:b/>
                      <w:i/>
                    </w:rPr>
                    <w:t xml:space="preserve"> </w:t>
                  </w:r>
                  <w:r w:rsidR="00053040" w:rsidRPr="00831E24">
                    <w:rPr>
                      <w:b/>
                      <w:i/>
                    </w:rPr>
                    <w:t>eur</w:t>
                  </w:r>
                </w:p>
              </w:tc>
            </w:tr>
            <w:tr w:rsidR="00E4216F" w:rsidRPr="00D73FED" w14:paraId="48AA9033" w14:textId="77777777" w:rsidTr="002645EF">
              <w:tc>
                <w:tcPr>
                  <w:tcW w:w="2952" w:type="dxa"/>
                </w:tcPr>
                <w:p w14:paraId="07E3960B" w14:textId="77777777" w:rsidR="009F2DFA" w:rsidRPr="00D73FED" w:rsidRDefault="009F2DFA" w:rsidP="00E4216F">
                  <w:pPr>
                    <w:jc w:val="both"/>
                    <w:rPr>
                      <w:b/>
                      <w:i/>
                    </w:rPr>
                  </w:pPr>
                  <w:r w:rsidRPr="00D73FED">
                    <w:rPr>
                      <w:b/>
                      <w:i/>
                    </w:rPr>
                    <w:t>Celkové náklady regulácie</w:t>
                  </w:r>
                  <w:r w:rsidR="00E4216F" w:rsidRPr="00D73FED">
                    <w:rPr>
                      <w:b/>
                      <w:i/>
                    </w:rPr>
                    <w:t xml:space="preserve"> </w:t>
                  </w:r>
                </w:p>
              </w:tc>
              <w:tc>
                <w:tcPr>
                  <w:tcW w:w="2936" w:type="dxa"/>
                </w:tcPr>
                <w:p w14:paraId="40FFE26A" w14:textId="5FEE337E" w:rsidR="009F2DFA" w:rsidRPr="00AD4B40" w:rsidRDefault="00305A7B" w:rsidP="00305A7B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1 411,39</w:t>
                  </w:r>
                  <w:r w:rsidR="00053040" w:rsidRPr="00AD4B40">
                    <w:rPr>
                      <w:b/>
                      <w:i/>
                    </w:rPr>
                    <w:t xml:space="preserve"> eur</w:t>
                  </w:r>
                </w:p>
              </w:tc>
              <w:tc>
                <w:tcPr>
                  <w:tcW w:w="2948" w:type="dxa"/>
                </w:tcPr>
                <w:p w14:paraId="339DD2BE" w14:textId="65B8971A" w:rsidR="009F2DFA" w:rsidRPr="00AD4B40" w:rsidRDefault="00AF033D" w:rsidP="00AF033D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7 056 950</w:t>
                  </w:r>
                  <w:r w:rsidR="00AD4B40" w:rsidRPr="00A15E96">
                    <w:rPr>
                      <w:b/>
                      <w:i/>
                    </w:rPr>
                    <w:t xml:space="preserve"> eur</w:t>
                  </w:r>
                </w:p>
              </w:tc>
            </w:tr>
          </w:tbl>
          <w:p w14:paraId="526AD1D0" w14:textId="77777777" w:rsidR="009F2DFA" w:rsidRPr="00D73FED" w:rsidRDefault="009F2DFA" w:rsidP="007B71A4">
            <w:pPr>
              <w:rPr>
                <w:i/>
              </w:rPr>
            </w:pPr>
          </w:p>
        </w:tc>
      </w:tr>
      <w:tr w:rsidR="009F2DFA" w:rsidRPr="00D73FED" w14:paraId="5E354E6A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04D501A7" w14:textId="77777777" w:rsidR="009F2DFA" w:rsidRPr="00D73FED" w:rsidRDefault="002B1108" w:rsidP="007B71A4">
            <w:pPr>
              <w:rPr>
                <w:b/>
                <w:sz w:val="24"/>
              </w:rPr>
            </w:pPr>
            <w:r w:rsidRPr="00D73FED">
              <w:rPr>
                <w:b/>
                <w:sz w:val="24"/>
              </w:rPr>
              <w:lastRenderedPageBreak/>
              <w:t>3</w:t>
            </w:r>
            <w:r w:rsidR="009F2DFA" w:rsidRPr="00D73FED">
              <w:rPr>
                <w:b/>
                <w:sz w:val="24"/>
              </w:rPr>
              <w:t>.4 Konkurencieschopnosť a správanie sa podnikov na trhu</w:t>
            </w:r>
          </w:p>
          <w:p w14:paraId="7AAD1CC3" w14:textId="77777777" w:rsidR="009F2DFA" w:rsidRPr="00D73FED" w:rsidRDefault="009F2DFA" w:rsidP="007B71A4">
            <w:r w:rsidRPr="00D73FED">
              <w:rPr>
                <w:b/>
                <w:sz w:val="24"/>
              </w:rPr>
              <w:t xml:space="preserve">       </w:t>
            </w:r>
            <w:r w:rsidRPr="00D73FED">
              <w:rPr>
                <w:sz w:val="24"/>
              </w:rPr>
              <w:t xml:space="preserve">- </w:t>
            </w:r>
            <w:r w:rsidRPr="00D73FED">
              <w:rPr>
                <w:b/>
                <w:sz w:val="24"/>
              </w:rPr>
              <w:t>z toho MSP</w:t>
            </w:r>
          </w:p>
        </w:tc>
      </w:tr>
      <w:tr w:rsidR="009F2DFA" w:rsidRPr="00D73FED" w14:paraId="61767DCF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3E0E0FCD" w14:textId="77777777" w:rsidR="009F2DFA" w:rsidRPr="00D73FED" w:rsidRDefault="009F2DFA" w:rsidP="00241D39">
            <w:pPr>
              <w:jc w:val="both"/>
              <w:rPr>
                <w:i/>
              </w:rPr>
            </w:pPr>
            <w:r w:rsidRPr="00D73FED">
              <w:rPr>
                <w:i/>
              </w:rPr>
              <w:t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14:paraId="3C80F667" w14:textId="77777777" w:rsidR="009F2DFA" w:rsidRPr="00D73FED" w:rsidRDefault="009F2DFA" w:rsidP="00241D39">
            <w:pPr>
              <w:jc w:val="both"/>
              <w:rPr>
                <w:i/>
              </w:rPr>
            </w:pPr>
            <w:r w:rsidRPr="00D73FE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14:paraId="3A799979" w14:textId="77777777" w:rsidR="009F2DFA" w:rsidRPr="00D73FED" w:rsidRDefault="009F2DFA" w:rsidP="00241D39">
            <w:pPr>
              <w:jc w:val="both"/>
              <w:rPr>
                <w:i/>
              </w:rPr>
            </w:pPr>
            <w:r w:rsidRPr="00D73FED">
              <w:rPr>
                <w:i/>
              </w:rPr>
              <w:t>Ako ovplyvní cenu alebo dostupnosť základných zdrojov (suroviny, mechanizmy, pracovná sila, energie atď.)?</w:t>
            </w:r>
          </w:p>
          <w:p w14:paraId="66017871" w14:textId="77777777" w:rsidR="00C92901" w:rsidRPr="00D73FED" w:rsidRDefault="009F2DFA" w:rsidP="00241D39">
            <w:pPr>
              <w:jc w:val="both"/>
              <w:rPr>
                <w:i/>
              </w:rPr>
            </w:pPr>
            <w:r w:rsidRPr="00D73FED">
              <w:rPr>
                <w:i/>
              </w:rPr>
              <w:t>Ovplyvňuje prístup k financiám? Ak áno, ako?</w:t>
            </w:r>
          </w:p>
        </w:tc>
      </w:tr>
      <w:tr w:rsidR="009F2DFA" w:rsidRPr="00D73FED" w14:paraId="45969DAF" w14:textId="77777777" w:rsidTr="007B71A4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14:paraId="19C56A95" w14:textId="77777777" w:rsidR="00836C43" w:rsidRPr="00D73FED" w:rsidRDefault="00BE751C" w:rsidP="00BE76D7">
            <w:pPr>
              <w:jc w:val="both"/>
              <w:rPr>
                <w:sz w:val="24"/>
                <w:szCs w:val="24"/>
              </w:rPr>
            </w:pPr>
            <w:r w:rsidRPr="00D73FED">
              <w:rPr>
                <w:sz w:val="24"/>
                <w:szCs w:val="24"/>
              </w:rPr>
              <w:t xml:space="preserve">Návrhom zákona </w:t>
            </w:r>
            <w:r w:rsidR="009C194C" w:rsidRPr="00D73FED">
              <w:rPr>
                <w:sz w:val="24"/>
                <w:szCs w:val="24"/>
              </w:rPr>
              <w:t xml:space="preserve">na základe zmeny legislatívy EÚ </w:t>
            </w:r>
            <w:r w:rsidRPr="00D73FED">
              <w:rPr>
                <w:sz w:val="24"/>
                <w:szCs w:val="24"/>
              </w:rPr>
              <w:t>dochádza k</w:t>
            </w:r>
            <w:r w:rsidR="009C194C" w:rsidRPr="00D73FED">
              <w:rPr>
                <w:sz w:val="24"/>
                <w:szCs w:val="24"/>
              </w:rPr>
              <w:t> zavedeniu podmienok podnikania prevádzkovateľov cestnej dopravy, ktorí budú vykonávať medzinárodnú prepravu tovaru vozidlami, ktorých najväčšia prípustná celková hmotnosť presahuje 2,5 tony, ale nepresahuje 3,5 tony</w:t>
            </w:r>
            <w:r w:rsidR="00836C43" w:rsidRPr="00D73FED">
              <w:rPr>
                <w:sz w:val="24"/>
                <w:szCs w:val="24"/>
              </w:rPr>
              <w:t>.</w:t>
            </w:r>
            <w:r w:rsidRPr="00D73FED">
              <w:rPr>
                <w:sz w:val="24"/>
                <w:szCs w:val="24"/>
              </w:rPr>
              <w:t xml:space="preserve"> </w:t>
            </w:r>
            <w:r w:rsidR="009C194C" w:rsidRPr="00D73FED">
              <w:rPr>
                <w:sz w:val="24"/>
                <w:szCs w:val="24"/>
              </w:rPr>
              <w:t>Ide o reguláciu tohto odvetvia v rámci Európskej únie</w:t>
            </w:r>
            <w:r w:rsidR="00877C61">
              <w:rPr>
                <w:sz w:val="24"/>
                <w:szCs w:val="24"/>
              </w:rPr>
              <w:t>,</w:t>
            </w:r>
            <w:r w:rsidR="009C194C" w:rsidRPr="00D73FED">
              <w:rPr>
                <w:sz w:val="24"/>
                <w:szCs w:val="24"/>
              </w:rPr>
              <w:t xml:space="preserve"> čo m</w:t>
            </w:r>
            <w:r w:rsidR="00BE76D7" w:rsidRPr="00D73FED">
              <w:rPr>
                <w:sz w:val="24"/>
                <w:szCs w:val="24"/>
              </w:rPr>
              <w:t xml:space="preserve">ôže mať </w:t>
            </w:r>
            <w:r w:rsidR="009C194C" w:rsidRPr="00D73FED">
              <w:rPr>
                <w:sz w:val="24"/>
                <w:szCs w:val="24"/>
              </w:rPr>
              <w:t>za následok zvýšené náklady</w:t>
            </w:r>
            <w:r w:rsidR="00BE76D7" w:rsidRPr="00D73FED">
              <w:rPr>
                <w:sz w:val="24"/>
                <w:szCs w:val="24"/>
              </w:rPr>
              <w:t xml:space="preserve"> u prevádzkovateľov. Z</w:t>
            </w:r>
            <w:r w:rsidR="009C194C" w:rsidRPr="00D73FED">
              <w:rPr>
                <w:sz w:val="24"/>
                <w:szCs w:val="24"/>
              </w:rPr>
              <w:t>ároveň ide o harmonizáciu podmienok v rámci Európskej únie</w:t>
            </w:r>
            <w:r w:rsidR="00BE76D7" w:rsidRPr="00D73FED">
              <w:rPr>
                <w:sz w:val="24"/>
                <w:szCs w:val="24"/>
              </w:rPr>
              <w:t xml:space="preserve"> a získanie licencie Spoločenstva, </w:t>
            </w:r>
            <w:r w:rsidR="009C194C" w:rsidRPr="00D73FED">
              <w:rPr>
                <w:sz w:val="24"/>
                <w:szCs w:val="24"/>
              </w:rPr>
              <w:t xml:space="preserve">z tohto dôvodu v tomto segmente by nemali platiť ďalšie národné podmienky </w:t>
            </w:r>
            <w:r w:rsidR="00BE76D7" w:rsidRPr="00D73FED">
              <w:rPr>
                <w:sz w:val="24"/>
                <w:szCs w:val="24"/>
              </w:rPr>
              <w:t xml:space="preserve">a </w:t>
            </w:r>
            <w:r w:rsidR="009C194C" w:rsidRPr="00D73FED">
              <w:rPr>
                <w:sz w:val="24"/>
                <w:szCs w:val="24"/>
              </w:rPr>
              <w:t xml:space="preserve">z tohto dôvodu v niektorých prípadoch to môže mať aj pozitívny dopad na rozvoj dopravných služieb v tomto segmente. </w:t>
            </w:r>
            <w:r w:rsidR="00836C43" w:rsidRPr="00D73FED">
              <w:rPr>
                <w:sz w:val="24"/>
                <w:szCs w:val="24"/>
              </w:rPr>
              <w:t>Zároveň návrh zákona nebude mať</w:t>
            </w:r>
            <w:r w:rsidRPr="00D73FED">
              <w:rPr>
                <w:sz w:val="24"/>
                <w:szCs w:val="24"/>
              </w:rPr>
              <w:t xml:space="preserve"> podľa nášho názoru </w:t>
            </w:r>
            <w:r w:rsidR="00836C43" w:rsidRPr="00D73FED">
              <w:rPr>
                <w:sz w:val="24"/>
                <w:szCs w:val="24"/>
              </w:rPr>
              <w:t xml:space="preserve"> vplyv na obchodné bariéry ani vplyv na vyv</w:t>
            </w:r>
            <w:r w:rsidR="00E406B2" w:rsidRPr="00D73FED">
              <w:rPr>
                <w:sz w:val="24"/>
                <w:szCs w:val="24"/>
              </w:rPr>
              <w:t>olanie cezhraničných investícií</w:t>
            </w:r>
            <w:r w:rsidRPr="00D73FED">
              <w:rPr>
                <w:sz w:val="24"/>
                <w:szCs w:val="24"/>
              </w:rPr>
              <w:t>,</w:t>
            </w:r>
            <w:r w:rsidR="00E406B2" w:rsidRPr="00D73FED">
              <w:rPr>
                <w:sz w:val="24"/>
                <w:szCs w:val="24"/>
              </w:rPr>
              <w:t xml:space="preserve"> ani na cenu a dostupnosť služieb. Návrh zákona nevytvára nové možnosti financovania aktivít</w:t>
            </w:r>
            <w:r w:rsidR="00DA26A8" w:rsidRPr="00D73FED">
              <w:rPr>
                <w:sz w:val="24"/>
                <w:szCs w:val="24"/>
              </w:rPr>
              <w:t>.</w:t>
            </w:r>
          </w:p>
        </w:tc>
      </w:tr>
      <w:tr w:rsidR="009F2DFA" w:rsidRPr="00D73FED" w14:paraId="7043F9F7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3E2C2E52" w14:textId="77777777" w:rsidR="009F2DFA" w:rsidRPr="00D73FED" w:rsidRDefault="002B1108" w:rsidP="007B71A4">
            <w:pPr>
              <w:rPr>
                <w:b/>
                <w:sz w:val="24"/>
              </w:rPr>
            </w:pPr>
            <w:r w:rsidRPr="00D73FED">
              <w:rPr>
                <w:b/>
                <w:sz w:val="24"/>
              </w:rPr>
              <w:t>3</w:t>
            </w:r>
            <w:r w:rsidR="009F2DFA" w:rsidRPr="00D73FED">
              <w:rPr>
                <w:b/>
                <w:sz w:val="24"/>
              </w:rPr>
              <w:t xml:space="preserve">.5 Inovácie </w:t>
            </w:r>
          </w:p>
          <w:p w14:paraId="3FF9E145" w14:textId="77777777" w:rsidR="009F2DFA" w:rsidRPr="00D73FED" w:rsidRDefault="009F2DFA" w:rsidP="007B71A4">
            <w:pPr>
              <w:rPr>
                <w:b/>
              </w:rPr>
            </w:pPr>
            <w:r w:rsidRPr="00D73FED">
              <w:rPr>
                <w:sz w:val="24"/>
              </w:rPr>
              <w:t xml:space="preserve">       - </w:t>
            </w:r>
            <w:r w:rsidRPr="00D73FED">
              <w:rPr>
                <w:b/>
                <w:sz w:val="24"/>
              </w:rPr>
              <w:t>z toho MSP</w:t>
            </w:r>
          </w:p>
        </w:tc>
      </w:tr>
      <w:tr w:rsidR="009F2DFA" w:rsidRPr="00D73FED" w14:paraId="3F43C457" w14:textId="77777777" w:rsidTr="007B71A4">
        <w:tc>
          <w:tcPr>
            <w:tcW w:w="9212" w:type="dxa"/>
          </w:tcPr>
          <w:p w14:paraId="7AD97A21" w14:textId="77777777" w:rsidR="009F2DFA" w:rsidRPr="00D73FED" w:rsidRDefault="009F2DFA" w:rsidP="006B28B1">
            <w:pPr>
              <w:jc w:val="both"/>
              <w:rPr>
                <w:i/>
              </w:rPr>
            </w:pPr>
            <w:r w:rsidRPr="00D73FED">
              <w:rPr>
                <w:i/>
              </w:rPr>
              <w:t>Uveďte, ako podporuje navrhovaná zmena inovácie.</w:t>
            </w:r>
          </w:p>
          <w:p w14:paraId="042F3881" w14:textId="77777777" w:rsidR="009F2DFA" w:rsidRPr="00D73FED" w:rsidRDefault="009F2DFA" w:rsidP="006B28B1">
            <w:pPr>
              <w:jc w:val="both"/>
              <w:rPr>
                <w:i/>
              </w:rPr>
            </w:pPr>
            <w:r w:rsidRPr="00D73FED">
              <w:rPr>
                <w:i/>
              </w:rPr>
              <w:t>Zjednodušuje uvedenie alebo rozšírenie nových výrobných metód, technológií a výrobkov na trh?</w:t>
            </w:r>
          </w:p>
          <w:p w14:paraId="229771B9" w14:textId="77777777" w:rsidR="009F2DFA" w:rsidRPr="00D73FED" w:rsidRDefault="009F2DFA" w:rsidP="006B28B1">
            <w:pPr>
              <w:jc w:val="both"/>
              <w:rPr>
                <w:i/>
              </w:rPr>
            </w:pPr>
            <w:r w:rsidRPr="00D73FED">
              <w:rPr>
                <w:i/>
              </w:rPr>
              <w:t xml:space="preserve">Uveďte, ako vplýva navrhovaná zmena na </w:t>
            </w:r>
            <w:r w:rsidR="00904C9B" w:rsidRPr="00D73FED">
              <w:rPr>
                <w:i/>
              </w:rPr>
              <w:t xml:space="preserve">jednotlivé </w:t>
            </w:r>
            <w:r w:rsidRPr="00D73FED">
              <w:rPr>
                <w:i/>
              </w:rPr>
              <w:t>práva duševného vlastníctva (</w:t>
            </w:r>
            <w:r w:rsidR="00904C9B" w:rsidRPr="00D73FED">
              <w:rPr>
                <w:i/>
              </w:rPr>
              <w:t xml:space="preserve">napr. </w:t>
            </w:r>
            <w:r w:rsidRPr="00D73FED">
              <w:rPr>
                <w:i/>
              </w:rPr>
              <w:t xml:space="preserve">patenty, ochranné známky, </w:t>
            </w:r>
            <w:r w:rsidR="00904C9B" w:rsidRPr="00D73FED">
              <w:rPr>
                <w:i/>
              </w:rPr>
              <w:t>autorské práva</w:t>
            </w:r>
            <w:r w:rsidRPr="00D73FED">
              <w:rPr>
                <w:i/>
              </w:rPr>
              <w:t>, vlastníctvo know-how).</w:t>
            </w:r>
          </w:p>
          <w:p w14:paraId="26F29D47" w14:textId="77777777" w:rsidR="009F2DFA" w:rsidRPr="00D73FED" w:rsidRDefault="009F2DFA" w:rsidP="006B28B1">
            <w:pPr>
              <w:jc w:val="both"/>
              <w:rPr>
                <w:i/>
              </w:rPr>
            </w:pPr>
            <w:r w:rsidRPr="00D73FED">
              <w:rPr>
                <w:i/>
              </w:rPr>
              <w:t>Podporuje vyššiu efektivitu výroby/využívania zdrojov? Ak áno, ako?</w:t>
            </w:r>
          </w:p>
          <w:p w14:paraId="448862D1" w14:textId="77777777" w:rsidR="00C92901" w:rsidRPr="00D73FED" w:rsidRDefault="00837639" w:rsidP="006063AF">
            <w:pPr>
              <w:jc w:val="both"/>
              <w:rPr>
                <w:i/>
              </w:rPr>
            </w:pPr>
            <w:r w:rsidRPr="00D73FED">
              <w:rPr>
                <w:i/>
              </w:rPr>
              <w:t>Vytvorí zmena nové pracovné miesta pre zamestnancov výskumu a vývoja v SR?</w:t>
            </w:r>
          </w:p>
        </w:tc>
      </w:tr>
      <w:tr w:rsidR="009F2DFA" w:rsidRPr="00BE052A" w14:paraId="3D0EABD8" w14:textId="77777777" w:rsidTr="00C92901">
        <w:trPr>
          <w:trHeight w:val="800"/>
        </w:trPr>
        <w:tc>
          <w:tcPr>
            <w:tcW w:w="9212" w:type="dxa"/>
          </w:tcPr>
          <w:p w14:paraId="25D02456" w14:textId="77777777" w:rsidR="009F2DFA" w:rsidRPr="00BE052A" w:rsidRDefault="00BE751C" w:rsidP="00BE76D7">
            <w:pPr>
              <w:jc w:val="both"/>
              <w:rPr>
                <w:sz w:val="24"/>
                <w:szCs w:val="24"/>
              </w:rPr>
            </w:pPr>
            <w:r w:rsidRPr="00D73FED">
              <w:rPr>
                <w:sz w:val="24"/>
                <w:szCs w:val="24"/>
              </w:rPr>
              <w:t xml:space="preserve">Návrh zákona </w:t>
            </w:r>
            <w:r w:rsidR="00BE76D7" w:rsidRPr="00D73FED">
              <w:rPr>
                <w:sz w:val="24"/>
                <w:szCs w:val="24"/>
              </w:rPr>
              <w:t xml:space="preserve">podľa nášho názoru nebude mať </w:t>
            </w:r>
            <w:r w:rsidRPr="00D73FED">
              <w:rPr>
                <w:sz w:val="24"/>
                <w:szCs w:val="24"/>
              </w:rPr>
              <w:t>vplyv na</w:t>
            </w:r>
            <w:r w:rsidR="00BE76D7" w:rsidRPr="00D73FED">
              <w:rPr>
                <w:sz w:val="24"/>
                <w:szCs w:val="24"/>
              </w:rPr>
              <w:t xml:space="preserve"> inovácie.</w:t>
            </w:r>
          </w:p>
        </w:tc>
      </w:tr>
    </w:tbl>
    <w:p w14:paraId="76E34493" w14:textId="77777777" w:rsidR="009F2DFA" w:rsidRDefault="009F2DFA" w:rsidP="00B512BC">
      <w:pPr>
        <w:jc w:val="both"/>
      </w:pPr>
    </w:p>
    <w:sectPr w:rsidR="009F2D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9C8CE" w14:textId="77777777" w:rsidR="005132CF" w:rsidRDefault="005132CF" w:rsidP="009F2DFA">
      <w:r>
        <w:separator/>
      </w:r>
    </w:p>
  </w:endnote>
  <w:endnote w:type="continuationSeparator" w:id="0">
    <w:p w14:paraId="05F935CD" w14:textId="77777777" w:rsidR="005132CF" w:rsidRDefault="005132CF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381234"/>
      <w:docPartObj>
        <w:docPartGallery w:val="Page Numbers (Bottom of Page)"/>
        <w:docPartUnique/>
      </w:docPartObj>
    </w:sdtPr>
    <w:sdtEndPr/>
    <w:sdtContent>
      <w:p w14:paraId="0759E39F" w14:textId="5BC2D918"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54F">
          <w:rPr>
            <w:noProof/>
          </w:rPr>
          <w:t>2</w:t>
        </w:r>
        <w:r>
          <w:fldChar w:fldCharType="end"/>
        </w:r>
      </w:p>
    </w:sdtContent>
  </w:sdt>
  <w:p w14:paraId="1E7DEFC7" w14:textId="77777777"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7FFDD" w14:textId="77777777" w:rsidR="005132CF" w:rsidRDefault="005132CF" w:rsidP="009F2DFA">
      <w:r>
        <w:separator/>
      </w:r>
    </w:p>
  </w:footnote>
  <w:footnote w:type="continuationSeparator" w:id="0">
    <w:p w14:paraId="1BC85D7C" w14:textId="77777777" w:rsidR="005132CF" w:rsidRDefault="005132CF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8A3D60"/>
    <w:multiLevelType w:val="hybridMultilevel"/>
    <w:tmpl w:val="FAE4B9CA"/>
    <w:lvl w:ilvl="0" w:tplc="B3DC6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1C0B"/>
    <w:multiLevelType w:val="hybridMultilevel"/>
    <w:tmpl w:val="2A2E8F70"/>
    <w:lvl w:ilvl="0" w:tplc="8AF66A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E5125"/>
    <w:multiLevelType w:val="hybridMultilevel"/>
    <w:tmpl w:val="6818CAB8"/>
    <w:lvl w:ilvl="0" w:tplc="BEC291D6"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305A5"/>
    <w:multiLevelType w:val="hybridMultilevel"/>
    <w:tmpl w:val="7BDC4D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71CA2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0F48A9C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B613F"/>
    <w:multiLevelType w:val="hybridMultilevel"/>
    <w:tmpl w:val="2AD23BA4"/>
    <w:lvl w:ilvl="0" w:tplc="1B9229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958B1"/>
    <w:multiLevelType w:val="hybridMultilevel"/>
    <w:tmpl w:val="EEEC669E"/>
    <w:lvl w:ilvl="0" w:tplc="4EE4F78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971CA2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0F48A9C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14"/>
  </w:num>
  <w:num w:numId="5">
    <w:abstractNumId w:val="3"/>
  </w:num>
  <w:num w:numId="6">
    <w:abstractNumId w:val="11"/>
  </w:num>
  <w:num w:numId="7">
    <w:abstractNumId w:val="16"/>
  </w:num>
  <w:num w:numId="8">
    <w:abstractNumId w:val="6"/>
  </w:num>
  <w:num w:numId="9">
    <w:abstractNumId w:val="0"/>
  </w:num>
  <w:num w:numId="10">
    <w:abstractNumId w:val="17"/>
  </w:num>
  <w:num w:numId="11">
    <w:abstractNumId w:val="12"/>
  </w:num>
  <w:num w:numId="12">
    <w:abstractNumId w:val="7"/>
  </w:num>
  <w:num w:numId="13">
    <w:abstractNumId w:val="5"/>
  </w:num>
  <w:num w:numId="14">
    <w:abstractNumId w:val="10"/>
  </w:num>
  <w:num w:numId="15">
    <w:abstractNumId w:val="4"/>
  </w:num>
  <w:num w:numId="16">
    <w:abstractNumId w:val="2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3"/>
    <w:rsid w:val="00024D7B"/>
    <w:rsid w:val="00031756"/>
    <w:rsid w:val="00053040"/>
    <w:rsid w:val="00077EC4"/>
    <w:rsid w:val="00082929"/>
    <w:rsid w:val="000D33DC"/>
    <w:rsid w:val="000E61CB"/>
    <w:rsid w:val="000E74CA"/>
    <w:rsid w:val="000F3DD9"/>
    <w:rsid w:val="00146597"/>
    <w:rsid w:val="00147AFC"/>
    <w:rsid w:val="00154881"/>
    <w:rsid w:val="001845F8"/>
    <w:rsid w:val="00186F9A"/>
    <w:rsid w:val="001A0816"/>
    <w:rsid w:val="001A2424"/>
    <w:rsid w:val="001A5F27"/>
    <w:rsid w:val="001B3B4F"/>
    <w:rsid w:val="001D3612"/>
    <w:rsid w:val="001D5A16"/>
    <w:rsid w:val="002350AF"/>
    <w:rsid w:val="00241D39"/>
    <w:rsid w:val="00241E70"/>
    <w:rsid w:val="00251450"/>
    <w:rsid w:val="00251590"/>
    <w:rsid w:val="00254A27"/>
    <w:rsid w:val="002645EF"/>
    <w:rsid w:val="002730BD"/>
    <w:rsid w:val="00280635"/>
    <w:rsid w:val="002921DB"/>
    <w:rsid w:val="002A12AC"/>
    <w:rsid w:val="002B1108"/>
    <w:rsid w:val="002B1CA1"/>
    <w:rsid w:val="002C733D"/>
    <w:rsid w:val="002D1387"/>
    <w:rsid w:val="002D59F9"/>
    <w:rsid w:val="002E73E2"/>
    <w:rsid w:val="003059C4"/>
    <w:rsid w:val="00305A7B"/>
    <w:rsid w:val="003203E3"/>
    <w:rsid w:val="0034298F"/>
    <w:rsid w:val="00390F94"/>
    <w:rsid w:val="003A7475"/>
    <w:rsid w:val="003B110A"/>
    <w:rsid w:val="003C7F2A"/>
    <w:rsid w:val="003D1528"/>
    <w:rsid w:val="003E369E"/>
    <w:rsid w:val="00402262"/>
    <w:rsid w:val="00412594"/>
    <w:rsid w:val="00421CF8"/>
    <w:rsid w:val="004572DA"/>
    <w:rsid w:val="00461C15"/>
    <w:rsid w:val="00464960"/>
    <w:rsid w:val="00477AF6"/>
    <w:rsid w:val="004A1AC3"/>
    <w:rsid w:val="004C2B06"/>
    <w:rsid w:val="004C7B45"/>
    <w:rsid w:val="004D254F"/>
    <w:rsid w:val="004D7455"/>
    <w:rsid w:val="004D777E"/>
    <w:rsid w:val="004F3175"/>
    <w:rsid w:val="005132CF"/>
    <w:rsid w:val="0052297F"/>
    <w:rsid w:val="00535353"/>
    <w:rsid w:val="00537BCF"/>
    <w:rsid w:val="00550EBA"/>
    <w:rsid w:val="00551548"/>
    <w:rsid w:val="005606F0"/>
    <w:rsid w:val="00567A32"/>
    <w:rsid w:val="0058512A"/>
    <w:rsid w:val="005856C5"/>
    <w:rsid w:val="005B446D"/>
    <w:rsid w:val="006063AF"/>
    <w:rsid w:val="006642D3"/>
    <w:rsid w:val="00667CE3"/>
    <w:rsid w:val="0069398A"/>
    <w:rsid w:val="006A525F"/>
    <w:rsid w:val="006B28B1"/>
    <w:rsid w:val="006C4DDC"/>
    <w:rsid w:val="006D423D"/>
    <w:rsid w:val="006E4620"/>
    <w:rsid w:val="006E76A7"/>
    <w:rsid w:val="00736168"/>
    <w:rsid w:val="00776B29"/>
    <w:rsid w:val="00780BA6"/>
    <w:rsid w:val="0079269B"/>
    <w:rsid w:val="007B42A3"/>
    <w:rsid w:val="007B4666"/>
    <w:rsid w:val="007D1AEE"/>
    <w:rsid w:val="007E121A"/>
    <w:rsid w:val="00831E24"/>
    <w:rsid w:val="00836C43"/>
    <w:rsid w:val="00837639"/>
    <w:rsid w:val="00843187"/>
    <w:rsid w:val="00862514"/>
    <w:rsid w:val="00877C61"/>
    <w:rsid w:val="008874BC"/>
    <w:rsid w:val="008913AB"/>
    <w:rsid w:val="008A1252"/>
    <w:rsid w:val="008A58B1"/>
    <w:rsid w:val="00902AD7"/>
    <w:rsid w:val="00904C9B"/>
    <w:rsid w:val="00910606"/>
    <w:rsid w:val="00916D1A"/>
    <w:rsid w:val="00933F23"/>
    <w:rsid w:val="0094580B"/>
    <w:rsid w:val="00961C7E"/>
    <w:rsid w:val="00966E7B"/>
    <w:rsid w:val="00973E58"/>
    <w:rsid w:val="00982C64"/>
    <w:rsid w:val="00991EE1"/>
    <w:rsid w:val="00995D24"/>
    <w:rsid w:val="0099754E"/>
    <w:rsid w:val="009A6539"/>
    <w:rsid w:val="009B3260"/>
    <w:rsid w:val="009C194C"/>
    <w:rsid w:val="009E57DF"/>
    <w:rsid w:val="009F2DFA"/>
    <w:rsid w:val="00A15E96"/>
    <w:rsid w:val="00A952BD"/>
    <w:rsid w:val="00A96F9F"/>
    <w:rsid w:val="00AA0026"/>
    <w:rsid w:val="00AA2E07"/>
    <w:rsid w:val="00AA7200"/>
    <w:rsid w:val="00AD4B40"/>
    <w:rsid w:val="00AF033D"/>
    <w:rsid w:val="00AF6FD2"/>
    <w:rsid w:val="00B308CE"/>
    <w:rsid w:val="00B31A8E"/>
    <w:rsid w:val="00B33F9B"/>
    <w:rsid w:val="00B512BC"/>
    <w:rsid w:val="00B6122B"/>
    <w:rsid w:val="00B77486"/>
    <w:rsid w:val="00B96B64"/>
    <w:rsid w:val="00BA073A"/>
    <w:rsid w:val="00BA31D3"/>
    <w:rsid w:val="00BC0337"/>
    <w:rsid w:val="00BC407A"/>
    <w:rsid w:val="00BE052A"/>
    <w:rsid w:val="00BE751C"/>
    <w:rsid w:val="00BE76D7"/>
    <w:rsid w:val="00BF0BF3"/>
    <w:rsid w:val="00BF2F50"/>
    <w:rsid w:val="00C008DB"/>
    <w:rsid w:val="00C32C0B"/>
    <w:rsid w:val="00C42FC3"/>
    <w:rsid w:val="00C7404A"/>
    <w:rsid w:val="00C92901"/>
    <w:rsid w:val="00CA5E99"/>
    <w:rsid w:val="00CB3623"/>
    <w:rsid w:val="00CB3E15"/>
    <w:rsid w:val="00CD199E"/>
    <w:rsid w:val="00CD1F9B"/>
    <w:rsid w:val="00CF3526"/>
    <w:rsid w:val="00D24448"/>
    <w:rsid w:val="00D25120"/>
    <w:rsid w:val="00D55EF5"/>
    <w:rsid w:val="00D73FED"/>
    <w:rsid w:val="00D94EF8"/>
    <w:rsid w:val="00D95F6A"/>
    <w:rsid w:val="00DA26A8"/>
    <w:rsid w:val="00DA4A65"/>
    <w:rsid w:val="00DF4133"/>
    <w:rsid w:val="00E26D16"/>
    <w:rsid w:val="00E406B2"/>
    <w:rsid w:val="00E4216F"/>
    <w:rsid w:val="00E45B74"/>
    <w:rsid w:val="00E51E76"/>
    <w:rsid w:val="00E53646"/>
    <w:rsid w:val="00E75AF7"/>
    <w:rsid w:val="00E8508E"/>
    <w:rsid w:val="00E86AD1"/>
    <w:rsid w:val="00E94D58"/>
    <w:rsid w:val="00EB4F79"/>
    <w:rsid w:val="00EF2BD7"/>
    <w:rsid w:val="00F05685"/>
    <w:rsid w:val="00F41620"/>
    <w:rsid w:val="00F44062"/>
    <w:rsid w:val="00F67F8B"/>
    <w:rsid w:val="00F71B7D"/>
    <w:rsid w:val="00F77699"/>
    <w:rsid w:val="00F828AE"/>
    <w:rsid w:val="00F84123"/>
    <w:rsid w:val="00F92A9B"/>
    <w:rsid w:val="00FB5C13"/>
    <w:rsid w:val="00FC1B26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AE89"/>
  <w15:docId w15:val="{8F454A94-67F2-4B93-BCA0-1EFEEF6F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3B110A"/>
    <w:rPr>
      <w:rFonts w:ascii="Times New Roman" w:hAnsi="Times New Roman" w:cs="Times New Roman" w:hint="default"/>
      <w:b/>
      <w:bCs/>
    </w:rPr>
  </w:style>
  <w:style w:type="paragraph" w:styleId="Zkladntext">
    <w:name w:val="Body Text"/>
    <w:basedOn w:val="Normlny"/>
    <w:link w:val="ZkladntextChar"/>
    <w:rsid w:val="00186F9A"/>
    <w:pPr>
      <w:suppressAutoHyphens/>
      <w:spacing w:after="120" w:line="100" w:lineRule="atLeast"/>
    </w:pPr>
    <w:rPr>
      <w:lang w:val="cs-CZ" w:eastAsia="ar-SA"/>
    </w:rPr>
  </w:style>
  <w:style w:type="character" w:customStyle="1" w:styleId="ZkladntextChar">
    <w:name w:val="Základný text Char"/>
    <w:basedOn w:val="Predvolenpsmoodseku"/>
    <w:link w:val="Zkladntext"/>
    <w:rsid w:val="00186F9A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customStyle="1" w:styleId="Odstavecseseznamem">
    <w:name w:val="Odstavec se seznamem"/>
    <w:basedOn w:val="Normlny"/>
    <w:uiPriority w:val="34"/>
    <w:qFormat/>
    <w:rsid w:val="00F828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tab-span">
    <w:name w:val="apple-tab-span"/>
    <w:basedOn w:val="Predvolenpsmoodseku"/>
    <w:rsid w:val="00F828AE"/>
  </w:style>
  <w:style w:type="paragraph" w:styleId="Textpoznmkypodiarou">
    <w:name w:val="footnote text"/>
    <w:basedOn w:val="Normlny"/>
    <w:link w:val="TextpoznmkypodiarouChar"/>
    <w:uiPriority w:val="99"/>
    <w:unhideWhenUsed/>
    <w:rsid w:val="00F77699"/>
    <w:rPr>
      <w:rFonts w:ascii="Calibri" w:eastAsia="Calibri" w:hAnsi="Calibri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77699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F77699"/>
    <w:rPr>
      <w:vertAlign w:val="superscript"/>
    </w:rPr>
  </w:style>
  <w:style w:type="character" w:customStyle="1" w:styleId="apple-converted-space">
    <w:name w:val="apple-converted-space"/>
    <w:basedOn w:val="Predvolenpsmoodseku"/>
    <w:rsid w:val="00973E58"/>
  </w:style>
  <w:style w:type="paragraph" w:styleId="Obyajntext">
    <w:name w:val="Plain Text"/>
    <w:basedOn w:val="Normlny"/>
    <w:link w:val="ObyajntextChar"/>
    <w:uiPriority w:val="99"/>
    <w:semiHidden/>
    <w:unhideWhenUsed/>
    <w:rsid w:val="006E4620"/>
    <w:rPr>
      <w:rFonts w:ascii="Calibri" w:eastAsiaTheme="minorHAnsi" w:hAnsi="Calibri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E4620"/>
    <w:rPr>
      <w:rFonts w:ascii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E36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E369E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E369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E36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E369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AF6FD2"/>
    <w:rPr>
      <w:b/>
      <w:bCs/>
      <w:i w:val="0"/>
      <w:iCs w:val="0"/>
    </w:rPr>
  </w:style>
  <w:style w:type="character" w:customStyle="1" w:styleId="st1">
    <w:name w:val="st1"/>
    <w:basedOn w:val="Predvolenpsmoodseku"/>
    <w:rsid w:val="00AF6FD2"/>
  </w:style>
  <w:style w:type="paragraph" w:customStyle="1" w:styleId="CharCharChar">
    <w:name w:val="Char Char Char"/>
    <w:basedOn w:val="Normlny"/>
    <w:uiPriority w:val="99"/>
    <w:rsid w:val="002C733D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Hypertextovprepojenie">
    <w:name w:val="Hyperlink"/>
    <w:basedOn w:val="Predvolenpsmoodseku"/>
    <w:uiPriority w:val="99"/>
    <w:unhideWhenUsed/>
    <w:rsid w:val="002C733D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rsid w:val="00AA2E07"/>
    <w:rPr>
      <w:rFonts w:ascii="Times New Roman" w:hAnsi="Times New Roman" w:cs="Times New Roman"/>
      <w:color w:val="000000"/>
    </w:rPr>
  </w:style>
  <w:style w:type="table" w:customStyle="1" w:styleId="Mriekatabuky1">
    <w:name w:val="Mriežka tabuľky1"/>
    <w:basedOn w:val="Normlnatabuka"/>
    <w:uiPriority w:val="59"/>
    <w:rsid w:val="00461C15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34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846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4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3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2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668183">
                                          <w:marLeft w:val="0"/>
                                          <w:marRight w:val="0"/>
                                          <w:marTop w:val="1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96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C0C2C5"/>
                                                <w:left w:val="single" w:sz="6" w:space="0" w:color="C0C2C5"/>
                                                <w:bottom w:val="single" w:sz="6" w:space="11" w:color="C0C2C5"/>
                                                <w:right w:val="single" w:sz="6" w:space="0" w:color="C0C2C5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conomy.gov.sk/podnikatelske-prostredie/jednotna-metodika/prebiehajuce-konzultacie-a-predbezne-informac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Dindofferová, Alexandra</cp:lastModifiedBy>
  <cp:revision>16</cp:revision>
  <cp:lastPrinted>2021-05-17T10:26:00Z</cp:lastPrinted>
  <dcterms:created xsi:type="dcterms:W3CDTF">2021-04-07T12:21:00Z</dcterms:created>
  <dcterms:modified xsi:type="dcterms:W3CDTF">2021-07-28T06:56:00Z</dcterms:modified>
</cp:coreProperties>
</file>