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EB4" w:rsidRPr="005F703B" w:rsidRDefault="00A42EB4" w:rsidP="00A42EB4">
      <w:pPr>
        <w:spacing w:before="0"/>
        <w:jc w:val="both"/>
        <w:rPr>
          <w:rFonts w:ascii="Times New Roman" w:hAnsi="Times New Roman"/>
          <w:bCs/>
          <w:sz w:val="24"/>
        </w:rPr>
      </w:pPr>
    </w:p>
    <w:p w:rsidR="00A42EB4" w:rsidRPr="005F703B" w:rsidRDefault="00A42EB4" w:rsidP="00A42EB4">
      <w:pPr>
        <w:spacing w:before="0"/>
        <w:jc w:val="both"/>
        <w:rPr>
          <w:rFonts w:ascii="Times New Roman" w:hAnsi="Times New Roman"/>
          <w:sz w:val="24"/>
        </w:rPr>
      </w:pPr>
    </w:p>
    <w:tbl>
      <w:tblPr>
        <w:tblStyle w:val="Mriekatabuky1"/>
        <w:tblW w:w="0" w:type="auto"/>
        <w:tblInd w:w="0" w:type="dxa"/>
        <w:tblLook w:val="04A0" w:firstRow="1" w:lastRow="0" w:firstColumn="1" w:lastColumn="0" w:noHBand="0" w:noVBand="1"/>
      </w:tblPr>
      <w:tblGrid>
        <w:gridCol w:w="9062"/>
      </w:tblGrid>
      <w:tr w:rsidR="00A42EB4" w:rsidRPr="005F703B" w:rsidTr="00D63EB3">
        <w:trPr>
          <w:trHeight w:val="567"/>
        </w:trPr>
        <w:tc>
          <w:tcPr>
            <w:tcW w:w="90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42EB4" w:rsidRPr="005F703B" w:rsidRDefault="00A42EB4" w:rsidP="00D63EB3">
            <w:pPr>
              <w:spacing w:before="0"/>
              <w:jc w:val="center"/>
              <w:rPr>
                <w:rFonts w:ascii="Times New Roman" w:hAnsi="Times New Roman"/>
                <w:b/>
                <w:sz w:val="24"/>
                <w:szCs w:val="20"/>
                <w:lang w:val="sk-SK" w:eastAsia="sk-SK"/>
              </w:rPr>
            </w:pPr>
            <w:r w:rsidRPr="005F703B">
              <w:rPr>
                <w:rFonts w:ascii="Times New Roman" w:hAnsi="Times New Roman"/>
                <w:b/>
                <w:sz w:val="28"/>
                <w:szCs w:val="20"/>
                <w:lang w:val="sk-SK" w:eastAsia="sk-SK"/>
              </w:rPr>
              <w:t>Analýza vplyvov na podnikateľské prostredie</w:t>
            </w:r>
          </w:p>
          <w:p w:rsidR="00A42EB4" w:rsidRPr="005F703B" w:rsidRDefault="00A42EB4" w:rsidP="00D63EB3">
            <w:pPr>
              <w:spacing w:before="0"/>
              <w:jc w:val="center"/>
              <w:rPr>
                <w:rFonts w:ascii="Times New Roman" w:hAnsi="Times New Roman"/>
                <w:b/>
                <w:szCs w:val="20"/>
                <w:lang w:val="sk-SK" w:eastAsia="sk-SK"/>
              </w:rPr>
            </w:pPr>
            <w:r w:rsidRPr="005F703B">
              <w:rPr>
                <w:rFonts w:ascii="Times New Roman" w:hAnsi="Times New Roman"/>
                <w:b/>
                <w:sz w:val="24"/>
                <w:szCs w:val="20"/>
                <w:lang w:val="sk-SK" w:eastAsia="sk-SK"/>
              </w:rPr>
              <w:t>(vrátane testu MSP)</w:t>
            </w:r>
          </w:p>
        </w:tc>
      </w:tr>
      <w:tr w:rsidR="00A42EB4" w:rsidRPr="005F703B" w:rsidTr="00D63EB3">
        <w:trPr>
          <w:trHeight w:val="567"/>
        </w:trPr>
        <w:tc>
          <w:tcPr>
            <w:tcW w:w="90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42EB4" w:rsidRPr="005F703B" w:rsidRDefault="00A42EB4" w:rsidP="00D63EB3">
            <w:pPr>
              <w:spacing w:before="0"/>
              <w:rPr>
                <w:rFonts w:ascii="Times New Roman" w:hAnsi="Times New Roman"/>
                <w:b/>
                <w:sz w:val="24"/>
                <w:szCs w:val="20"/>
                <w:lang w:val="sk-SK" w:eastAsia="sk-SK"/>
              </w:rPr>
            </w:pPr>
            <w:r w:rsidRPr="005F703B">
              <w:rPr>
                <w:rFonts w:ascii="Times New Roman" w:hAnsi="Times New Roman"/>
                <w:b/>
                <w:sz w:val="24"/>
                <w:szCs w:val="20"/>
                <w:lang w:val="sk-SK" w:eastAsia="sk-SK"/>
              </w:rPr>
              <w:t>Materiál bude mať vplyv s ohľadom na veľkostnú kategóriu podnikov:</w:t>
            </w:r>
          </w:p>
        </w:tc>
      </w:tr>
      <w:tr w:rsidR="00A42EB4" w:rsidRPr="005F703B" w:rsidTr="00D63EB3">
        <w:trPr>
          <w:trHeight w:val="567"/>
        </w:trPr>
        <w:tc>
          <w:tcPr>
            <w:tcW w:w="9062" w:type="dxa"/>
            <w:tcBorders>
              <w:top w:val="single" w:sz="4" w:space="0" w:color="auto"/>
              <w:left w:val="single" w:sz="4" w:space="0" w:color="auto"/>
              <w:bottom w:val="single" w:sz="4" w:space="0" w:color="auto"/>
              <w:right w:val="single" w:sz="4" w:space="0" w:color="auto"/>
            </w:tcBorders>
            <w:hideMark/>
          </w:tcPr>
          <w:tbl>
            <w:tblPr>
              <w:tblStyle w:val="Mriekatabuky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410"/>
            </w:tblGrid>
            <w:tr w:rsidR="00A42EB4" w:rsidRPr="005F703B" w:rsidTr="00D63EB3">
              <w:sdt>
                <w:sdtPr>
                  <w:rPr>
                    <w:rFonts w:ascii="Times New Roman" w:eastAsiaTheme="minorHAnsi" w:hAnsi="Times New Roman" w:cstheme="minorBidi"/>
                    <w:szCs w:val="20"/>
                    <w:lang w:eastAsia="sk-SK"/>
                  </w:rPr>
                  <w:id w:val="43339831"/>
                  <w14:checkbox>
                    <w14:checked w14:val="0"/>
                    <w14:checkedState w14:val="2612" w14:font="MS Gothic"/>
                    <w14:uncheckedState w14:val="2610" w14:font="MS Gothic"/>
                  </w14:checkbox>
                </w:sdtPr>
                <w:sdtEndPr/>
                <w:sdtContent>
                  <w:tc>
                    <w:tcPr>
                      <w:tcW w:w="436" w:type="dxa"/>
                      <w:hideMark/>
                    </w:tcPr>
                    <w:p w:rsidR="00A42EB4" w:rsidRPr="005F703B" w:rsidRDefault="00A42EB4" w:rsidP="00D63EB3">
                      <w:pPr>
                        <w:spacing w:before="0"/>
                        <w:jc w:val="center"/>
                        <w:rPr>
                          <w:rFonts w:ascii="Times New Roman" w:hAnsi="Times New Roman"/>
                          <w:szCs w:val="20"/>
                          <w:lang w:val="sk-SK" w:eastAsia="sk-SK"/>
                        </w:rPr>
                      </w:pPr>
                      <w:r w:rsidRPr="005F703B">
                        <w:rPr>
                          <w:rFonts w:ascii="MS Gothic" w:eastAsia="MS Gothic" w:hAnsi="MS Gothic" w:cstheme="minorBidi"/>
                          <w:szCs w:val="20"/>
                          <w:lang w:val="sk-SK" w:eastAsia="sk-SK"/>
                        </w:rPr>
                        <w:t>☐</w:t>
                      </w:r>
                    </w:p>
                  </w:tc>
                </w:sdtContent>
              </w:sdt>
              <w:tc>
                <w:tcPr>
                  <w:tcW w:w="8545" w:type="dxa"/>
                  <w:hideMark/>
                </w:tcPr>
                <w:p w:rsidR="00A42EB4" w:rsidRPr="005F703B" w:rsidRDefault="00A42EB4" w:rsidP="00D63EB3">
                  <w:pPr>
                    <w:spacing w:before="0"/>
                    <w:rPr>
                      <w:rFonts w:ascii="Times New Roman" w:hAnsi="Times New Roman"/>
                      <w:b/>
                      <w:sz w:val="24"/>
                      <w:lang w:val="sk-SK" w:eastAsia="sk-SK"/>
                    </w:rPr>
                  </w:pPr>
                  <w:r w:rsidRPr="005F703B">
                    <w:rPr>
                      <w:rFonts w:ascii="Times New Roman" w:hAnsi="Times New Roman"/>
                      <w:b/>
                      <w:sz w:val="24"/>
                      <w:lang w:val="sk-SK" w:eastAsia="sk-SK"/>
                    </w:rPr>
                    <w:t xml:space="preserve">iba na MSP (0 - 249 zamestnancov) </w:t>
                  </w:r>
                </w:p>
              </w:tc>
            </w:tr>
            <w:tr w:rsidR="00A42EB4" w:rsidRPr="005F703B" w:rsidTr="00D63EB3">
              <w:sdt>
                <w:sdtPr>
                  <w:rPr>
                    <w:rFonts w:ascii="Times New Roman" w:eastAsiaTheme="minorHAnsi" w:hAnsi="Times New Roman" w:cstheme="minorBidi"/>
                    <w:szCs w:val="20"/>
                    <w:lang w:eastAsia="sk-SK"/>
                  </w:rPr>
                  <w:id w:val="-79453833"/>
                  <w14:checkbox>
                    <w14:checked w14:val="0"/>
                    <w14:checkedState w14:val="2612" w14:font="MS Gothic"/>
                    <w14:uncheckedState w14:val="2610" w14:font="MS Gothic"/>
                  </w14:checkbox>
                </w:sdtPr>
                <w:sdtEndPr/>
                <w:sdtContent>
                  <w:tc>
                    <w:tcPr>
                      <w:tcW w:w="436" w:type="dxa"/>
                      <w:hideMark/>
                    </w:tcPr>
                    <w:p w:rsidR="00A42EB4" w:rsidRPr="005F703B" w:rsidRDefault="00A42EB4" w:rsidP="00D63EB3">
                      <w:pPr>
                        <w:spacing w:before="0"/>
                        <w:jc w:val="center"/>
                        <w:rPr>
                          <w:rFonts w:ascii="Times New Roman" w:hAnsi="Times New Roman"/>
                          <w:szCs w:val="20"/>
                          <w:lang w:val="sk-SK" w:eastAsia="sk-SK"/>
                        </w:rPr>
                      </w:pPr>
                      <w:r w:rsidRPr="005F703B">
                        <w:rPr>
                          <w:rFonts w:ascii="MS Gothic" w:eastAsia="MS Gothic" w:hAnsi="MS Gothic" w:cs="MS Gothic"/>
                          <w:szCs w:val="20"/>
                          <w:lang w:val="sk-SK" w:eastAsia="sk-SK"/>
                        </w:rPr>
                        <w:t>☐</w:t>
                      </w:r>
                    </w:p>
                  </w:tc>
                </w:sdtContent>
              </w:sdt>
              <w:tc>
                <w:tcPr>
                  <w:tcW w:w="8545" w:type="dxa"/>
                  <w:hideMark/>
                </w:tcPr>
                <w:p w:rsidR="00A42EB4" w:rsidRPr="005F703B" w:rsidRDefault="00A42EB4" w:rsidP="00D63EB3">
                  <w:pPr>
                    <w:spacing w:before="0"/>
                    <w:rPr>
                      <w:rFonts w:ascii="Times New Roman" w:hAnsi="Times New Roman"/>
                      <w:b/>
                      <w:sz w:val="24"/>
                      <w:lang w:val="sk-SK" w:eastAsia="sk-SK"/>
                    </w:rPr>
                  </w:pPr>
                  <w:r w:rsidRPr="005F703B">
                    <w:rPr>
                      <w:rFonts w:ascii="Times New Roman" w:hAnsi="Times New Roman"/>
                      <w:b/>
                      <w:sz w:val="24"/>
                      <w:lang w:val="sk-SK" w:eastAsia="sk-SK"/>
                    </w:rPr>
                    <w:t>iba na veľké podniky (250 a viac zamestnancov)</w:t>
                  </w:r>
                </w:p>
              </w:tc>
            </w:tr>
            <w:tr w:rsidR="00A42EB4" w:rsidRPr="005F703B" w:rsidTr="00D63EB3">
              <w:sdt>
                <w:sdtPr>
                  <w:rPr>
                    <w:rFonts w:ascii="Times New Roman" w:eastAsiaTheme="minorHAnsi" w:hAnsi="Times New Roman" w:cstheme="minorBidi"/>
                    <w:szCs w:val="20"/>
                    <w:lang w:eastAsia="sk-SK"/>
                  </w:rPr>
                  <w:id w:val="1290634502"/>
                  <w14:checkbox>
                    <w14:checked w14:val="1"/>
                    <w14:checkedState w14:val="2612" w14:font="MS Gothic"/>
                    <w14:uncheckedState w14:val="2610" w14:font="MS Gothic"/>
                  </w14:checkbox>
                </w:sdtPr>
                <w:sdtEndPr/>
                <w:sdtContent>
                  <w:tc>
                    <w:tcPr>
                      <w:tcW w:w="436" w:type="dxa"/>
                      <w:hideMark/>
                    </w:tcPr>
                    <w:p w:rsidR="00A42EB4" w:rsidRPr="005F703B" w:rsidRDefault="00A42EB4" w:rsidP="00D63EB3">
                      <w:pPr>
                        <w:spacing w:before="0"/>
                        <w:jc w:val="center"/>
                        <w:rPr>
                          <w:rFonts w:ascii="Times New Roman" w:hAnsi="Times New Roman"/>
                          <w:szCs w:val="20"/>
                          <w:lang w:val="sk-SK" w:eastAsia="sk-SK"/>
                        </w:rPr>
                      </w:pPr>
                      <w:r w:rsidRPr="005F703B">
                        <w:rPr>
                          <w:rFonts w:ascii="MS Gothic" w:eastAsia="MS Gothic" w:hAnsi="MS Gothic" w:cstheme="minorBidi"/>
                          <w:szCs w:val="20"/>
                          <w:lang w:val="sk-SK" w:eastAsia="sk-SK"/>
                        </w:rPr>
                        <w:t>☒</w:t>
                      </w:r>
                    </w:p>
                  </w:tc>
                </w:sdtContent>
              </w:sdt>
              <w:tc>
                <w:tcPr>
                  <w:tcW w:w="8545" w:type="dxa"/>
                  <w:hideMark/>
                </w:tcPr>
                <w:p w:rsidR="00A42EB4" w:rsidRPr="005F703B" w:rsidRDefault="00A42EB4" w:rsidP="00D63EB3">
                  <w:pPr>
                    <w:spacing w:before="0"/>
                    <w:rPr>
                      <w:rFonts w:ascii="Times New Roman" w:hAnsi="Times New Roman"/>
                      <w:sz w:val="24"/>
                      <w:lang w:val="sk-SK" w:eastAsia="sk-SK"/>
                    </w:rPr>
                  </w:pPr>
                  <w:r w:rsidRPr="005F703B">
                    <w:rPr>
                      <w:rFonts w:ascii="Times New Roman" w:hAnsi="Times New Roman"/>
                      <w:b/>
                      <w:sz w:val="24"/>
                      <w:lang w:val="sk-SK" w:eastAsia="sk-SK"/>
                    </w:rPr>
                    <w:t>na všetky kategórie podnikov</w:t>
                  </w:r>
                </w:p>
              </w:tc>
            </w:tr>
          </w:tbl>
          <w:p w:rsidR="00A42EB4" w:rsidRPr="005F703B" w:rsidRDefault="00A42EB4" w:rsidP="00D63EB3">
            <w:pPr>
              <w:spacing w:before="0"/>
              <w:rPr>
                <w:rFonts w:ascii="Times New Roman" w:hAnsi="Times New Roman"/>
                <w:b/>
                <w:szCs w:val="20"/>
                <w:lang w:val="sk-SK" w:eastAsia="sk-SK"/>
              </w:rPr>
            </w:pPr>
          </w:p>
        </w:tc>
      </w:tr>
      <w:tr w:rsidR="00A42EB4" w:rsidRPr="005F703B" w:rsidTr="00D63EB3">
        <w:tc>
          <w:tcPr>
            <w:tcW w:w="90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42EB4" w:rsidRPr="005F703B" w:rsidRDefault="00A42EB4" w:rsidP="00D63EB3">
            <w:pPr>
              <w:spacing w:before="0"/>
              <w:rPr>
                <w:rFonts w:ascii="Times New Roman" w:hAnsi="Times New Roman"/>
                <w:b/>
                <w:sz w:val="24"/>
                <w:szCs w:val="20"/>
                <w:lang w:val="sk-SK" w:eastAsia="sk-SK"/>
              </w:rPr>
            </w:pPr>
            <w:r w:rsidRPr="005F703B">
              <w:rPr>
                <w:rFonts w:ascii="Times New Roman" w:hAnsi="Times New Roman"/>
                <w:b/>
                <w:sz w:val="24"/>
                <w:szCs w:val="20"/>
                <w:lang w:val="sk-SK" w:eastAsia="sk-SK"/>
              </w:rPr>
              <w:t>3.1 Dotknuté podnikateľské subjekty</w:t>
            </w:r>
          </w:p>
          <w:p w:rsidR="00A42EB4" w:rsidRPr="005F703B" w:rsidRDefault="00A42EB4" w:rsidP="00D63EB3">
            <w:pPr>
              <w:spacing w:before="0"/>
              <w:ind w:left="284"/>
              <w:rPr>
                <w:rFonts w:ascii="Times New Roman" w:hAnsi="Times New Roman"/>
                <w:b/>
                <w:szCs w:val="20"/>
                <w:lang w:val="sk-SK" w:eastAsia="sk-SK"/>
              </w:rPr>
            </w:pPr>
            <w:r w:rsidRPr="005F703B">
              <w:rPr>
                <w:rFonts w:ascii="Times New Roman" w:hAnsi="Times New Roman"/>
                <w:sz w:val="24"/>
                <w:szCs w:val="20"/>
                <w:lang w:val="sk-SK" w:eastAsia="sk-SK"/>
              </w:rPr>
              <w:t xml:space="preserve"> - </w:t>
            </w:r>
            <w:r w:rsidRPr="005F703B">
              <w:rPr>
                <w:rFonts w:ascii="Times New Roman" w:hAnsi="Times New Roman"/>
                <w:b/>
                <w:sz w:val="24"/>
                <w:szCs w:val="20"/>
                <w:lang w:val="sk-SK" w:eastAsia="sk-SK"/>
              </w:rPr>
              <w:t>z toho MSP</w:t>
            </w:r>
          </w:p>
        </w:tc>
      </w:tr>
      <w:tr w:rsidR="00A42EB4" w:rsidRPr="005F703B" w:rsidTr="00D63EB3">
        <w:tc>
          <w:tcPr>
            <w:tcW w:w="9062" w:type="dxa"/>
            <w:tcBorders>
              <w:top w:val="single" w:sz="4" w:space="0" w:color="auto"/>
              <w:left w:val="single" w:sz="4" w:space="0" w:color="auto"/>
              <w:bottom w:val="single" w:sz="4" w:space="0" w:color="auto"/>
              <w:right w:val="single" w:sz="4" w:space="0" w:color="auto"/>
            </w:tcBorders>
            <w:hideMark/>
          </w:tcPr>
          <w:p w:rsidR="00A42EB4" w:rsidRPr="005F703B" w:rsidRDefault="00A42EB4" w:rsidP="00D63EB3">
            <w:pPr>
              <w:spacing w:before="0"/>
              <w:jc w:val="both"/>
              <w:rPr>
                <w:rFonts w:ascii="Times New Roman" w:hAnsi="Times New Roman"/>
                <w:i/>
                <w:szCs w:val="20"/>
                <w:lang w:val="sk-SK" w:eastAsia="sk-SK"/>
              </w:rPr>
            </w:pPr>
            <w:r w:rsidRPr="005F703B">
              <w:rPr>
                <w:rFonts w:ascii="Times New Roman" w:hAnsi="Times New Roman"/>
                <w:i/>
                <w:szCs w:val="20"/>
                <w:lang w:val="sk-SK" w:eastAsia="sk-SK"/>
              </w:rPr>
              <w:t>Uveďte, aké podnikateľské subjekty budú predkladaným návrhom ovplyvnené.</w:t>
            </w:r>
          </w:p>
          <w:p w:rsidR="00A42EB4" w:rsidRPr="005F703B" w:rsidRDefault="00A42EB4" w:rsidP="00D63EB3">
            <w:pPr>
              <w:spacing w:before="0"/>
              <w:jc w:val="both"/>
              <w:rPr>
                <w:rFonts w:ascii="Times New Roman" w:hAnsi="Times New Roman"/>
                <w:i/>
                <w:szCs w:val="20"/>
                <w:lang w:val="sk-SK" w:eastAsia="sk-SK"/>
              </w:rPr>
            </w:pPr>
            <w:r w:rsidRPr="005F703B">
              <w:rPr>
                <w:rFonts w:ascii="Times New Roman" w:hAnsi="Times New Roman"/>
                <w:i/>
                <w:szCs w:val="20"/>
                <w:lang w:val="sk-SK" w:eastAsia="sk-SK"/>
              </w:rPr>
              <w:t>Aký je ich počet?</w:t>
            </w:r>
          </w:p>
        </w:tc>
      </w:tr>
      <w:tr w:rsidR="00A42EB4" w:rsidRPr="005F703B" w:rsidTr="00D63EB3">
        <w:trPr>
          <w:trHeight w:val="1440"/>
        </w:trPr>
        <w:tc>
          <w:tcPr>
            <w:tcW w:w="9062" w:type="dxa"/>
            <w:tcBorders>
              <w:top w:val="single" w:sz="4" w:space="0" w:color="auto"/>
              <w:left w:val="single" w:sz="4" w:space="0" w:color="auto"/>
              <w:bottom w:val="single" w:sz="4" w:space="0" w:color="auto"/>
              <w:right w:val="single" w:sz="4" w:space="0" w:color="auto"/>
            </w:tcBorders>
            <w:hideMark/>
          </w:tcPr>
          <w:p w:rsidR="00A42EB4" w:rsidRPr="005F703B" w:rsidRDefault="00A42EB4" w:rsidP="00D63EB3">
            <w:pPr>
              <w:spacing w:before="0"/>
              <w:jc w:val="both"/>
              <w:rPr>
                <w:rFonts w:ascii="Times New Roman" w:hAnsi="Times New Roman"/>
                <w:sz w:val="24"/>
                <w:lang w:val="sk-SK" w:eastAsia="sk-SK"/>
              </w:rPr>
            </w:pPr>
            <w:r w:rsidRPr="005F703B">
              <w:rPr>
                <w:rFonts w:ascii="Times New Roman" w:hAnsi="Times New Roman"/>
                <w:sz w:val="24"/>
                <w:lang w:val="sk-SK" w:eastAsia="sk-SK"/>
              </w:rPr>
              <w:t>Návrh zákona sa bude týkať najmä dopravcov v nákladnej a v osobnej doprave</w:t>
            </w:r>
            <w:r w:rsidR="00432ECD">
              <w:rPr>
                <w:rFonts w:ascii="Times New Roman" w:hAnsi="Times New Roman"/>
                <w:sz w:val="24"/>
                <w:lang w:val="sk-SK" w:eastAsia="sk-SK"/>
              </w:rPr>
              <w:t>.</w:t>
            </w:r>
          </w:p>
          <w:p w:rsidR="00A42EB4" w:rsidRPr="005F703B" w:rsidRDefault="00A42EB4" w:rsidP="00D63EB3">
            <w:pPr>
              <w:spacing w:before="0"/>
              <w:jc w:val="both"/>
              <w:rPr>
                <w:rFonts w:ascii="Times New Roman" w:hAnsi="Times New Roman"/>
                <w:sz w:val="24"/>
                <w:lang w:val="sk-SK" w:eastAsia="sk-SK"/>
              </w:rPr>
            </w:pPr>
          </w:p>
          <w:p w:rsidR="00A42EB4" w:rsidRPr="005F703B" w:rsidRDefault="00A42EB4" w:rsidP="00D63EB3">
            <w:pPr>
              <w:spacing w:before="0"/>
              <w:jc w:val="both"/>
              <w:rPr>
                <w:rFonts w:ascii="Times New Roman" w:hAnsi="Times New Roman"/>
                <w:sz w:val="24"/>
                <w:lang w:val="sk-SK" w:eastAsia="sk-SK"/>
              </w:rPr>
            </w:pPr>
            <w:r w:rsidRPr="005F703B">
              <w:rPr>
                <w:rFonts w:ascii="Times New Roman" w:hAnsi="Times New Roman"/>
                <w:sz w:val="24"/>
                <w:lang w:val="sk-SK" w:eastAsia="sk-SK"/>
              </w:rPr>
              <w:t>K 31. decembru 2020 bolo v Slovenskej republike evidovaných 7</w:t>
            </w:r>
            <w:r w:rsidR="00A93A85">
              <w:rPr>
                <w:rFonts w:ascii="Times New Roman" w:hAnsi="Times New Roman"/>
                <w:sz w:val="24"/>
                <w:lang w:val="sk-SK" w:eastAsia="sk-SK"/>
              </w:rPr>
              <w:t xml:space="preserve"> </w:t>
            </w:r>
            <w:r w:rsidRPr="005F703B">
              <w:rPr>
                <w:rFonts w:ascii="Times New Roman" w:hAnsi="Times New Roman"/>
                <w:sz w:val="24"/>
                <w:lang w:val="sk-SK" w:eastAsia="sk-SK"/>
              </w:rPr>
              <w:t>152 dopravcov, ktorí boli držiteľmi licencie Spoločenstva pre nákladnú dopravu. Títo dopravcovia majú vydané overené kópie licencií Spoločenstva pre vozidlá v počte 53 662.</w:t>
            </w:r>
          </w:p>
          <w:p w:rsidR="00325BDE" w:rsidRPr="005F703B" w:rsidRDefault="00A42EB4" w:rsidP="00D63EB3">
            <w:pPr>
              <w:spacing w:before="0"/>
              <w:jc w:val="both"/>
              <w:rPr>
                <w:rFonts w:ascii="Times New Roman" w:hAnsi="Times New Roman"/>
                <w:sz w:val="24"/>
                <w:lang w:val="sk-SK" w:eastAsia="sk-SK"/>
              </w:rPr>
            </w:pPr>
            <w:r w:rsidRPr="005F703B">
              <w:rPr>
                <w:rFonts w:ascii="Times New Roman" w:hAnsi="Times New Roman"/>
                <w:sz w:val="24"/>
                <w:lang w:val="sk-SK" w:eastAsia="sk-SK"/>
              </w:rPr>
              <w:t>K 31. decembru 2020 bolo v Slovenskej republike evidovaných 826 dopravcov, ktorí boli držiteľmi licencie Spoločenstva na medzinárodnú osobnú prepravu autobusmi a autokarmi. Títo dopravcovia majú vydané 4</w:t>
            </w:r>
            <w:r w:rsidR="00A93A85">
              <w:rPr>
                <w:rFonts w:ascii="Times New Roman" w:hAnsi="Times New Roman"/>
                <w:sz w:val="24"/>
                <w:lang w:val="sk-SK" w:eastAsia="sk-SK"/>
              </w:rPr>
              <w:t xml:space="preserve"> </w:t>
            </w:r>
            <w:r w:rsidRPr="005F703B">
              <w:rPr>
                <w:rFonts w:ascii="Times New Roman" w:hAnsi="Times New Roman"/>
                <w:sz w:val="24"/>
                <w:lang w:val="sk-SK" w:eastAsia="sk-SK"/>
              </w:rPr>
              <w:t xml:space="preserve">058 overených kópii licencií Spoločenstva pre ich vozidlá. </w:t>
            </w:r>
          </w:p>
          <w:p w:rsidR="00325BDE" w:rsidRPr="005F703B" w:rsidRDefault="00325BDE" w:rsidP="00D63EB3">
            <w:pPr>
              <w:spacing w:before="0"/>
              <w:jc w:val="both"/>
              <w:rPr>
                <w:rFonts w:ascii="Times New Roman" w:hAnsi="Times New Roman"/>
                <w:sz w:val="24"/>
                <w:lang w:val="sk-SK" w:eastAsia="sk-SK"/>
              </w:rPr>
            </w:pPr>
          </w:p>
          <w:p w:rsidR="00A42EB4" w:rsidRPr="005F703B" w:rsidRDefault="00325BDE" w:rsidP="00D63EB3">
            <w:pPr>
              <w:spacing w:before="0"/>
              <w:jc w:val="both"/>
              <w:rPr>
                <w:rFonts w:ascii="Times New Roman" w:hAnsi="Times New Roman"/>
                <w:sz w:val="24"/>
                <w:lang w:val="sk-SK" w:eastAsia="sk-SK"/>
              </w:rPr>
            </w:pPr>
            <w:r w:rsidRPr="005F703B">
              <w:rPr>
                <w:rFonts w:ascii="Times New Roman" w:hAnsi="Times New Roman"/>
                <w:sz w:val="24"/>
                <w:lang w:val="sk-SK" w:eastAsia="sk-SK"/>
              </w:rPr>
              <w:t xml:space="preserve">Návrh zákona sa bude týkať aj </w:t>
            </w:r>
            <w:r w:rsidR="00432ECD" w:rsidRPr="005F703B">
              <w:rPr>
                <w:rFonts w:ascii="Times New Roman" w:hAnsi="Times New Roman"/>
                <w:sz w:val="24"/>
                <w:lang w:val="sk-SK" w:eastAsia="sk-SK"/>
              </w:rPr>
              <w:t>2</w:t>
            </w:r>
            <w:r w:rsidR="00432ECD">
              <w:rPr>
                <w:rFonts w:ascii="Times New Roman" w:hAnsi="Times New Roman"/>
                <w:sz w:val="24"/>
                <w:lang w:val="sk-SK" w:eastAsia="sk-SK"/>
              </w:rPr>
              <w:t xml:space="preserve"> </w:t>
            </w:r>
            <w:r w:rsidRPr="005F703B">
              <w:rPr>
                <w:rFonts w:ascii="Times New Roman" w:hAnsi="Times New Roman"/>
                <w:sz w:val="24"/>
                <w:lang w:val="sk-SK" w:eastAsia="sk-SK"/>
              </w:rPr>
              <w:t xml:space="preserve">registrovaných </w:t>
            </w:r>
            <w:r w:rsidR="00432ECD" w:rsidRPr="005F703B">
              <w:rPr>
                <w:rFonts w:ascii="Times New Roman" w:hAnsi="Times New Roman"/>
                <w:sz w:val="24"/>
                <w:lang w:val="sk-SK" w:eastAsia="sk-SK"/>
              </w:rPr>
              <w:t>dieln</w:t>
            </w:r>
            <w:r w:rsidR="00432ECD">
              <w:rPr>
                <w:rFonts w:ascii="Times New Roman" w:hAnsi="Times New Roman"/>
                <w:sz w:val="24"/>
                <w:lang w:val="sk-SK" w:eastAsia="sk-SK"/>
              </w:rPr>
              <w:t>í</w:t>
            </w:r>
            <w:r w:rsidR="00432ECD" w:rsidRPr="005F703B">
              <w:rPr>
                <w:rFonts w:ascii="Times New Roman" w:hAnsi="Times New Roman"/>
                <w:sz w:val="24"/>
                <w:lang w:val="sk-SK" w:eastAsia="sk-SK"/>
              </w:rPr>
              <w:t xml:space="preserve"> </w:t>
            </w:r>
            <w:r w:rsidRPr="005F703B">
              <w:rPr>
                <w:rFonts w:ascii="Times New Roman" w:hAnsi="Times New Roman"/>
                <w:sz w:val="24"/>
                <w:lang w:val="sk-SK" w:eastAsia="sk-SK"/>
              </w:rPr>
              <w:t>a</w:t>
            </w:r>
            <w:r w:rsidR="00432ECD">
              <w:rPr>
                <w:rFonts w:ascii="Times New Roman" w:hAnsi="Times New Roman"/>
                <w:sz w:val="24"/>
                <w:lang w:val="sk-SK" w:eastAsia="sk-SK"/>
              </w:rPr>
              <w:t> </w:t>
            </w:r>
            <w:r w:rsidR="00432ECD" w:rsidRPr="005F703B">
              <w:rPr>
                <w:rFonts w:ascii="Times New Roman" w:hAnsi="Times New Roman"/>
                <w:sz w:val="24"/>
                <w:lang w:val="sk-SK" w:eastAsia="sk-SK"/>
              </w:rPr>
              <w:t>29</w:t>
            </w:r>
            <w:r w:rsidR="00432ECD">
              <w:rPr>
                <w:rFonts w:ascii="Times New Roman" w:hAnsi="Times New Roman"/>
                <w:sz w:val="24"/>
                <w:lang w:val="sk-SK" w:eastAsia="sk-SK"/>
              </w:rPr>
              <w:t xml:space="preserve"> </w:t>
            </w:r>
            <w:r w:rsidRPr="005F703B">
              <w:rPr>
                <w:rFonts w:ascii="Times New Roman" w:hAnsi="Times New Roman"/>
                <w:sz w:val="24"/>
                <w:lang w:val="sk-SK" w:eastAsia="sk-SK"/>
              </w:rPr>
              <w:t>autorizovaných dielní vrátane pracovísk pre vykonávanie inštaláci</w:t>
            </w:r>
            <w:r w:rsidR="00A93A85">
              <w:rPr>
                <w:rFonts w:ascii="Times New Roman" w:hAnsi="Times New Roman"/>
                <w:sz w:val="24"/>
                <w:lang w:val="sk-SK" w:eastAsia="sk-SK"/>
              </w:rPr>
              <w:t>e</w:t>
            </w:r>
            <w:r w:rsidRPr="005F703B">
              <w:rPr>
                <w:rFonts w:ascii="Times New Roman" w:hAnsi="Times New Roman"/>
                <w:sz w:val="24"/>
                <w:lang w:val="sk-SK" w:eastAsia="sk-SK"/>
              </w:rPr>
              <w:t xml:space="preserve"> a overovanie záznamových zariadení.</w:t>
            </w:r>
          </w:p>
          <w:p w:rsidR="00A42EB4" w:rsidRPr="005F703B" w:rsidRDefault="00A42EB4" w:rsidP="00D63EB3">
            <w:pPr>
              <w:spacing w:before="0"/>
              <w:jc w:val="both"/>
              <w:rPr>
                <w:rFonts w:ascii="Times New Roman" w:hAnsi="Times New Roman"/>
                <w:sz w:val="24"/>
                <w:lang w:val="sk-SK" w:eastAsia="sk-SK"/>
              </w:rPr>
            </w:pPr>
          </w:p>
        </w:tc>
      </w:tr>
      <w:tr w:rsidR="00A42EB4" w:rsidRPr="005F703B" w:rsidTr="00D63EB3">
        <w:trPr>
          <w:trHeight w:val="339"/>
        </w:trPr>
        <w:tc>
          <w:tcPr>
            <w:tcW w:w="90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42EB4" w:rsidRPr="005F703B" w:rsidRDefault="00A42EB4" w:rsidP="00D63EB3">
            <w:pPr>
              <w:spacing w:before="0"/>
              <w:rPr>
                <w:rFonts w:ascii="Times New Roman" w:hAnsi="Times New Roman"/>
                <w:b/>
                <w:sz w:val="24"/>
                <w:szCs w:val="20"/>
                <w:lang w:val="sk-SK" w:eastAsia="sk-SK"/>
              </w:rPr>
            </w:pPr>
            <w:r w:rsidRPr="005F703B">
              <w:rPr>
                <w:rFonts w:ascii="Times New Roman" w:hAnsi="Times New Roman"/>
                <w:b/>
                <w:sz w:val="24"/>
                <w:szCs w:val="20"/>
                <w:lang w:val="sk-SK" w:eastAsia="sk-SK"/>
              </w:rPr>
              <w:t>3.2 Vyhodnotenie konzultácií</w:t>
            </w:r>
          </w:p>
          <w:p w:rsidR="00A42EB4" w:rsidRPr="005F703B" w:rsidRDefault="00A42EB4" w:rsidP="00D63EB3">
            <w:pPr>
              <w:spacing w:before="0"/>
              <w:rPr>
                <w:rFonts w:ascii="Times New Roman" w:hAnsi="Times New Roman"/>
                <w:b/>
                <w:szCs w:val="20"/>
                <w:lang w:val="sk-SK" w:eastAsia="sk-SK"/>
              </w:rPr>
            </w:pPr>
            <w:r w:rsidRPr="005F703B">
              <w:rPr>
                <w:rFonts w:ascii="Times New Roman" w:hAnsi="Times New Roman"/>
                <w:sz w:val="24"/>
                <w:szCs w:val="20"/>
                <w:lang w:val="sk-SK" w:eastAsia="sk-SK"/>
              </w:rPr>
              <w:t xml:space="preserve">       - </w:t>
            </w:r>
            <w:r w:rsidRPr="005F703B">
              <w:rPr>
                <w:rFonts w:ascii="Times New Roman" w:hAnsi="Times New Roman"/>
                <w:b/>
                <w:sz w:val="24"/>
                <w:szCs w:val="20"/>
                <w:lang w:val="sk-SK" w:eastAsia="sk-SK"/>
              </w:rPr>
              <w:t>z toho MSP</w:t>
            </w:r>
          </w:p>
        </w:tc>
      </w:tr>
      <w:tr w:rsidR="00A42EB4" w:rsidRPr="005F703B" w:rsidTr="00D63EB3">
        <w:trPr>
          <w:trHeight w:val="557"/>
        </w:trPr>
        <w:tc>
          <w:tcPr>
            <w:tcW w:w="9062" w:type="dxa"/>
            <w:tcBorders>
              <w:top w:val="single" w:sz="4" w:space="0" w:color="auto"/>
              <w:left w:val="single" w:sz="4" w:space="0" w:color="auto"/>
              <w:bottom w:val="single" w:sz="4" w:space="0" w:color="auto"/>
              <w:right w:val="single" w:sz="4" w:space="0" w:color="auto"/>
            </w:tcBorders>
            <w:hideMark/>
          </w:tcPr>
          <w:p w:rsidR="00A42EB4" w:rsidRPr="005F703B" w:rsidRDefault="00A42EB4" w:rsidP="00D63EB3">
            <w:pPr>
              <w:spacing w:before="0"/>
              <w:jc w:val="both"/>
              <w:rPr>
                <w:rFonts w:ascii="Times New Roman" w:hAnsi="Times New Roman"/>
                <w:i/>
                <w:szCs w:val="20"/>
                <w:lang w:val="sk-SK" w:eastAsia="sk-SK"/>
              </w:rPr>
            </w:pPr>
            <w:r w:rsidRPr="005F703B">
              <w:rPr>
                <w:rFonts w:ascii="Times New Roman" w:hAnsi="Times New Roman"/>
                <w:i/>
                <w:szCs w:val="20"/>
                <w:lang w:val="sk-SK" w:eastAsia="sk-SK"/>
              </w:rPr>
              <w:t>Uveďte, akou formou (verejné alebo cielené konzultácie a prečo) a s kým bol návrh konzultovaný.</w:t>
            </w:r>
          </w:p>
          <w:p w:rsidR="00A42EB4" w:rsidRPr="005F703B" w:rsidRDefault="00A42EB4" w:rsidP="00D63EB3">
            <w:pPr>
              <w:spacing w:before="0"/>
              <w:jc w:val="both"/>
              <w:rPr>
                <w:rFonts w:ascii="Times New Roman" w:hAnsi="Times New Roman"/>
                <w:i/>
                <w:szCs w:val="20"/>
                <w:lang w:val="sk-SK" w:eastAsia="sk-SK"/>
              </w:rPr>
            </w:pPr>
            <w:r w:rsidRPr="005F703B">
              <w:rPr>
                <w:rFonts w:ascii="Times New Roman" w:hAnsi="Times New Roman"/>
                <w:i/>
                <w:szCs w:val="20"/>
                <w:lang w:val="sk-SK" w:eastAsia="sk-SK"/>
              </w:rPr>
              <w:t>Ako dlho trvali konzultácie?</w:t>
            </w:r>
          </w:p>
          <w:p w:rsidR="00A42EB4" w:rsidRPr="005F703B" w:rsidRDefault="00A42EB4" w:rsidP="00D63EB3">
            <w:pPr>
              <w:spacing w:before="0"/>
              <w:jc w:val="both"/>
              <w:rPr>
                <w:rFonts w:ascii="Times New Roman" w:hAnsi="Times New Roman"/>
                <w:i/>
                <w:szCs w:val="20"/>
                <w:lang w:val="sk-SK" w:eastAsia="sk-SK"/>
              </w:rPr>
            </w:pPr>
            <w:r w:rsidRPr="005F703B">
              <w:rPr>
                <w:rFonts w:ascii="Times New Roman" w:hAnsi="Times New Roman"/>
                <w:i/>
                <w:szCs w:val="20"/>
                <w:lang w:val="sk-SK" w:eastAsia="sk-SK"/>
              </w:rPr>
              <w:t>Uveďte hlavné body konzultácií a výsledky konzultácií.</w:t>
            </w:r>
          </w:p>
        </w:tc>
      </w:tr>
      <w:tr w:rsidR="00A42EB4" w:rsidRPr="005F703B" w:rsidTr="00D63EB3">
        <w:trPr>
          <w:trHeight w:val="1440"/>
        </w:trPr>
        <w:tc>
          <w:tcPr>
            <w:tcW w:w="9062" w:type="dxa"/>
            <w:tcBorders>
              <w:top w:val="single" w:sz="4" w:space="0" w:color="auto"/>
              <w:left w:val="single" w:sz="4" w:space="0" w:color="auto"/>
              <w:bottom w:val="single" w:sz="4" w:space="0" w:color="auto"/>
              <w:right w:val="single" w:sz="4" w:space="0" w:color="auto"/>
            </w:tcBorders>
            <w:hideMark/>
          </w:tcPr>
          <w:p w:rsidR="00A42EB4" w:rsidRPr="005F703B" w:rsidRDefault="00A42EB4" w:rsidP="00D63EB3">
            <w:pPr>
              <w:spacing w:before="0"/>
              <w:jc w:val="both"/>
              <w:rPr>
                <w:rFonts w:ascii="Times New Roman" w:hAnsi="Times New Roman"/>
                <w:sz w:val="24"/>
                <w:lang w:val="sk-SK" w:eastAsia="sk-SK"/>
              </w:rPr>
            </w:pPr>
            <w:r w:rsidRPr="005F703B">
              <w:rPr>
                <w:rFonts w:ascii="Times New Roman" w:hAnsi="Times New Roman"/>
                <w:sz w:val="24"/>
                <w:lang w:val="sk-SK" w:eastAsia="sk-SK"/>
              </w:rPr>
              <w:t>Verejnosť do prípravy návrhu zákona bola zapojená formou možnosti zasielania podnetov. Predbežná informácia (PI/2021/28) bola vypracovaná podľa § 9 zákona č. 400/2015 Z. z. o tvorbe právnych predpisov a o Zbierke zákonov Slovenskej republiky a o zmene a doplnení niektorých zákonov a bola zverejnená na stránke portálu Slov-Lex v období od 10. 2. 2021 do 12.</w:t>
            </w:r>
            <w:r w:rsidR="00432ECD">
              <w:rPr>
                <w:rFonts w:ascii="Times New Roman" w:hAnsi="Times New Roman"/>
                <w:sz w:val="24"/>
                <w:lang w:val="sk-SK" w:eastAsia="sk-SK"/>
              </w:rPr>
              <w:t xml:space="preserve"> </w:t>
            </w:r>
            <w:r w:rsidRPr="005F703B">
              <w:rPr>
                <w:rFonts w:ascii="Times New Roman" w:hAnsi="Times New Roman"/>
                <w:sz w:val="24"/>
                <w:lang w:val="sk-SK" w:eastAsia="sk-SK"/>
              </w:rPr>
              <w:t>3. 2021.</w:t>
            </w:r>
          </w:p>
          <w:p w:rsidR="00A42EB4" w:rsidRPr="005F703B" w:rsidRDefault="00A42EB4" w:rsidP="00D63EB3">
            <w:pPr>
              <w:spacing w:before="0"/>
              <w:jc w:val="both"/>
              <w:rPr>
                <w:rFonts w:ascii="Times New Roman" w:hAnsi="Times New Roman"/>
                <w:sz w:val="24"/>
                <w:lang w:val="sk-SK" w:eastAsia="sk-SK"/>
              </w:rPr>
            </w:pPr>
            <w:r w:rsidRPr="005F703B">
              <w:rPr>
                <w:rFonts w:ascii="Times New Roman" w:hAnsi="Times New Roman"/>
                <w:sz w:val="24"/>
                <w:lang w:val="sk-SK" w:eastAsia="sk-SK"/>
              </w:rPr>
              <w:t xml:space="preserve">Zároveň informácia o konzultáciách bola zverejnená na webovom sídle Ministerstva hospodárstva SR </w:t>
            </w:r>
            <w:hyperlink r:id="rId7" w:history="1">
              <w:r w:rsidRPr="005F703B">
                <w:rPr>
                  <w:rStyle w:val="Hypertextovprepojenie"/>
                  <w:rFonts w:ascii="Times New Roman" w:hAnsi="Times New Roman"/>
                  <w:sz w:val="24"/>
                  <w:lang w:val="sk-SK" w:eastAsia="sk-SK"/>
                </w:rPr>
                <w:t>https://www.economy.gov.sk/podnikatelske-prostredie/jednotna-metodika/prebiehajuce-konzultacie-a-predbezne-informacie</w:t>
              </w:r>
            </w:hyperlink>
          </w:p>
          <w:p w:rsidR="00A42EB4" w:rsidRPr="005F703B" w:rsidRDefault="00A42EB4" w:rsidP="00D63EB3">
            <w:pPr>
              <w:spacing w:before="0"/>
              <w:jc w:val="both"/>
              <w:rPr>
                <w:rFonts w:ascii="Times New Roman" w:hAnsi="Times New Roman"/>
                <w:sz w:val="24"/>
                <w:lang w:val="sk-SK" w:eastAsia="sk-SK"/>
              </w:rPr>
            </w:pPr>
            <w:r w:rsidRPr="005F703B">
              <w:rPr>
                <w:rFonts w:ascii="Times New Roman" w:hAnsi="Times New Roman"/>
                <w:sz w:val="24"/>
                <w:lang w:val="sk-SK" w:eastAsia="sk-SK"/>
              </w:rPr>
              <w:t>Konzultácie prebiehali v období od 10. 2. 2021 do 12.</w:t>
            </w:r>
            <w:r w:rsidR="00A93A85">
              <w:rPr>
                <w:rFonts w:ascii="Times New Roman" w:hAnsi="Times New Roman"/>
                <w:sz w:val="24"/>
                <w:lang w:val="sk-SK" w:eastAsia="sk-SK"/>
              </w:rPr>
              <w:t xml:space="preserve"> </w:t>
            </w:r>
            <w:r w:rsidRPr="005F703B">
              <w:rPr>
                <w:rFonts w:ascii="Times New Roman" w:hAnsi="Times New Roman"/>
                <w:sz w:val="24"/>
                <w:lang w:val="sk-SK" w:eastAsia="sk-SK"/>
              </w:rPr>
              <w:t xml:space="preserve">3. 2021. </w:t>
            </w:r>
          </w:p>
          <w:p w:rsidR="00A42EB4" w:rsidRPr="005F703B" w:rsidRDefault="00A42EB4" w:rsidP="00D63EB3">
            <w:pPr>
              <w:spacing w:before="0"/>
              <w:jc w:val="both"/>
              <w:rPr>
                <w:rFonts w:ascii="Times New Roman" w:hAnsi="Times New Roman"/>
                <w:sz w:val="24"/>
                <w:lang w:val="sk-SK" w:eastAsia="sk-SK"/>
              </w:rPr>
            </w:pPr>
          </w:p>
          <w:p w:rsidR="00A42EB4" w:rsidRPr="005F703B" w:rsidRDefault="00A42EB4" w:rsidP="00D63EB3">
            <w:pPr>
              <w:spacing w:before="0"/>
              <w:jc w:val="both"/>
              <w:rPr>
                <w:rFonts w:ascii="Times New Roman" w:hAnsi="Times New Roman"/>
                <w:bCs/>
                <w:sz w:val="24"/>
                <w:lang w:val="sk-SK" w:eastAsia="sk-SK"/>
              </w:rPr>
            </w:pPr>
            <w:r w:rsidRPr="005F703B">
              <w:rPr>
                <w:rFonts w:ascii="Times New Roman" w:hAnsi="Times New Roman"/>
                <w:sz w:val="24"/>
                <w:lang w:val="sk-SK" w:eastAsia="sk-SK"/>
              </w:rPr>
              <w:t>Konzultácie prebiehali s Ministerstvom práce</w:t>
            </w:r>
            <w:r w:rsidR="00432ECD">
              <w:rPr>
                <w:rFonts w:ascii="Times New Roman" w:hAnsi="Times New Roman"/>
                <w:sz w:val="24"/>
                <w:lang w:val="sk-SK" w:eastAsia="sk-SK"/>
              </w:rPr>
              <w:t>,</w:t>
            </w:r>
            <w:r w:rsidRPr="005F703B">
              <w:rPr>
                <w:rFonts w:ascii="Times New Roman" w:hAnsi="Times New Roman"/>
                <w:sz w:val="24"/>
                <w:lang w:val="sk-SK" w:eastAsia="sk-SK"/>
              </w:rPr>
              <w:t xml:space="preserve"> sociálnych vecí a rodiny SR a Národným inšpektorátom práce SR. Konzultácia vo forme videokonferencie sa uskutočnila aj s Ministerstvom dopravy Českej republiky. Hlavnou témou bola príprava ustanovení v oblasti vysielania vodičov. Čiastkovo sa konali konzultácie so zainteresovanými subjektmi najmä v oblasti dopravy, overovania záznamových zariadení a v oblasti štátnej správy. </w:t>
            </w:r>
            <w:r w:rsidRPr="005F703B">
              <w:rPr>
                <w:rFonts w:ascii="Times New Roman" w:hAnsi="Times New Roman"/>
                <w:bCs/>
                <w:sz w:val="24"/>
                <w:lang w:val="sk-SK" w:eastAsia="sk-SK"/>
              </w:rPr>
              <w:t>Hlavným cieľom týchto stretnutí bolo získať podnety z aplikačnej praxe a spätnú väzbu na prípadné zmeny a návrhy. Z nášho pohľadu cieľ stretnutí bol splnený. Na základe pracovných stretnutí bol pripravený návrh zákona a predložený do schvaľovacieho procesu.</w:t>
            </w:r>
          </w:p>
          <w:p w:rsidR="00A42EB4" w:rsidRPr="005F703B" w:rsidRDefault="00A42EB4" w:rsidP="00D63EB3">
            <w:pPr>
              <w:jc w:val="both"/>
              <w:rPr>
                <w:rFonts w:ascii="Times New Roman" w:hAnsi="Times New Roman"/>
                <w:bCs/>
                <w:sz w:val="24"/>
                <w:lang w:val="sk-SK" w:eastAsia="sk-SK"/>
              </w:rPr>
            </w:pPr>
            <w:r w:rsidRPr="005F703B">
              <w:rPr>
                <w:rFonts w:ascii="Times New Roman" w:hAnsi="Times New Roman"/>
                <w:bCs/>
                <w:sz w:val="24"/>
                <w:lang w:val="sk-SK" w:eastAsia="sk-SK"/>
              </w:rPr>
              <w:t>Ďalšou formou zapojenia verejnosti bude medzirezortné pripomienkové konanie.</w:t>
            </w:r>
          </w:p>
          <w:p w:rsidR="00A42EB4" w:rsidRPr="005F703B" w:rsidRDefault="00A42EB4" w:rsidP="00D63EB3">
            <w:pPr>
              <w:spacing w:before="0"/>
              <w:jc w:val="both"/>
              <w:rPr>
                <w:rFonts w:ascii="Times New Roman" w:hAnsi="Times New Roman"/>
                <w:sz w:val="24"/>
                <w:lang w:val="sk-SK" w:eastAsia="sk-SK"/>
              </w:rPr>
            </w:pPr>
          </w:p>
        </w:tc>
      </w:tr>
      <w:tr w:rsidR="00A42EB4" w:rsidRPr="005F703B" w:rsidTr="00D63EB3">
        <w:tc>
          <w:tcPr>
            <w:tcW w:w="90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42EB4" w:rsidRPr="005F703B" w:rsidRDefault="00A42EB4" w:rsidP="00D63EB3">
            <w:pPr>
              <w:spacing w:before="0"/>
              <w:rPr>
                <w:rFonts w:ascii="Times New Roman" w:hAnsi="Times New Roman"/>
                <w:b/>
                <w:sz w:val="24"/>
                <w:szCs w:val="20"/>
                <w:lang w:val="sk-SK" w:eastAsia="sk-SK"/>
              </w:rPr>
            </w:pPr>
            <w:r w:rsidRPr="005F703B">
              <w:rPr>
                <w:rFonts w:ascii="Times New Roman" w:hAnsi="Times New Roman"/>
                <w:b/>
                <w:sz w:val="24"/>
                <w:szCs w:val="20"/>
                <w:lang w:val="sk-SK" w:eastAsia="sk-SK"/>
              </w:rPr>
              <w:lastRenderedPageBreak/>
              <w:t>3.3 Náklady regulácie</w:t>
            </w:r>
          </w:p>
          <w:p w:rsidR="00A42EB4" w:rsidRPr="005F703B" w:rsidRDefault="00A42EB4" w:rsidP="00D63EB3">
            <w:pPr>
              <w:spacing w:before="0"/>
              <w:rPr>
                <w:rFonts w:ascii="Times New Roman" w:hAnsi="Times New Roman"/>
                <w:b/>
                <w:szCs w:val="20"/>
                <w:lang w:val="sk-SK" w:eastAsia="sk-SK"/>
              </w:rPr>
            </w:pPr>
            <w:r w:rsidRPr="005F703B">
              <w:rPr>
                <w:rFonts w:ascii="Times New Roman" w:hAnsi="Times New Roman"/>
                <w:sz w:val="24"/>
                <w:szCs w:val="20"/>
                <w:lang w:val="sk-SK" w:eastAsia="sk-SK"/>
              </w:rPr>
              <w:t xml:space="preserve">      - </w:t>
            </w:r>
            <w:r w:rsidRPr="005F703B">
              <w:rPr>
                <w:rFonts w:ascii="Times New Roman" w:hAnsi="Times New Roman"/>
                <w:b/>
                <w:sz w:val="24"/>
                <w:szCs w:val="20"/>
                <w:lang w:val="sk-SK" w:eastAsia="sk-SK"/>
              </w:rPr>
              <w:t>z toho MSP</w:t>
            </w:r>
          </w:p>
        </w:tc>
      </w:tr>
      <w:tr w:rsidR="00A42EB4" w:rsidRPr="005F703B" w:rsidTr="00D63EB3">
        <w:tc>
          <w:tcPr>
            <w:tcW w:w="9062" w:type="dxa"/>
            <w:tcBorders>
              <w:top w:val="single" w:sz="4" w:space="0" w:color="auto"/>
              <w:left w:val="single" w:sz="4" w:space="0" w:color="auto"/>
              <w:bottom w:val="single" w:sz="4" w:space="0" w:color="auto"/>
              <w:right w:val="single" w:sz="4" w:space="0" w:color="auto"/>
            </w:tcBorders>
            <w:hideMark/>
          </w:tcPr>
          <w:p w:rsidR="00A42EB4" w:rsidRPr="005F703B" w:rsidRDefault="00A42EB4" w:rsidP="00D63EB3">
            <w:pPr>
              <w:spacing w:before="0"/>
              <w:rPr>
                <w:rFonts w:ascii="Times New Roman" w:hAnsi="Times New Roman"/>
                <w:b/>
                <w:i/>
                <w:szCs w:val="20"/>
                <w:lang w:val="sk-SK" w:eastAsia="sk-SK"/>
              </w:rPr>
            </w:pPr>
            <w:r w:rsidRPr="005F703B">
              <w:rPr>
                <w:rFonts w:ascii="Times New Roman" w:hAnsi="Times New Roman"/>
                <w:b/>
                <w:i/>
                <w:szCs w:val="20"/>
                <w:lang w:val="sk-SK" w:eastAsia="sk-SK"/>
              </w:rPr>
              <w:t>3.3.1 Priame finančné náklady</w:t>
            </w:r>
          </w:p>
          <w:p w:rsidR="00A42EB4" w:rsidRPr="005F703B" w:rsidRDefault="00A42EB4" w:rsidP="00D63EB3">
            <w:pPr>
              <w:spacing w:before="0"/>
              <w:jc w:val="both"/>
              <w:rPr>
                <w:rFonts w:ascii="Times New Roman" w:hAnsi="Times New Roman"/>
                <w:i/>
                <w:szCs w:val="20"/>
                <w:lang w:val="sk-SK" w:eastAsia="sk-SK"/>
              </w:rPr>
            </w:pPr>
            <w:r w:rsidRPr="005F703B">
              <w:rPr>
                <w:rFonts w:ascii="Times New Roman" w:hAnsi="Times New Roman"/>
                <w:i/>
                <w:szCs w:val="20"/>
                <w:lang w:val="sk-SK" w:eastAsia="sk-SK"/>
              </w:rPr>
              <w:t>Dochádza k zvýšeniu/zníženiu priamych finančných nákladov (poplatky, odvody, dane clá...)? Ak áno, popíšte a vyčíslite ich. Uveďte tiež spôsob ich výpočtu</w:t>
            </w:r>
          </w:p>
        </w:tc>
      </w:tr>
      <w:tr w:rsidR="00A42EB4" w:rsidRPr="005F703B" w:rsidTr="00D63EB3">
        <w:tc>
          <w:tcPr>
            <w:tcW w:w="9062" w:type="dxa"/>
            <w:tcBorders>
              <w:top w:val="single" w:sz="4" w:space="0" w:color="auto"/>
              <w:left w:val="single" w:sz="4" w:space="0" w:color="auto"/>
              <w:bottom w:val="single" w:sz="4" w:space="0" w:color="auto"/>
              <w:right w:val="single" w:sz="4" w:space="0" w:color="auto"/>
            </w:tcBorders>
          </w:tcPr>
          <w:p w:rsidR="00CA629A" w:rsidRPr="00DA3269" w:rsidRDefault="00A42EB4" w:rsidP="00CA629A">
            <w:pPr>
              <w:spacing w:before="0"/>
              <w:jc w:val="both"/>
              <w:rPr>
                <w:rFonts w:ascii="Times New Roman" w:hAnsi="Times New Roman"/>
                <w:sz w:val="24"/>
                <w:lang w:val="sk-SK"/>
              </w:rPr>
            </w:pPr>
            <w:r w:rsidRPr="005F703B">
              <w:rPr>
                <w:rFonts w:ascii="Times New Roman" w:hAnsi="Times New Roman"/>
                <w:sz w:val="24"/>
                <w:lang w:val="sk-SK" w:eastAsia="sk-SK"/>
              </w:rPr>
              <w:t xml:space="preserve">Návrhom zákona sa upravujú pokuty za porušenie ustanovení zákona. </w:t>
            </w:r>
            <w:r w:rsidR="00CA629A" w:rsidRPr="005F703B">
              <w:rPr>
                <w:rFonts w:ascii="Times New Roman" w:hAnsi="Times New Roman"/>
                <w:sz w:val="24"/>
                <w:lang w:val="sk-SK" w:eastAsia="sk-SK"/>
              </w:rPr>
              <w:t xml:space="preserve">Tento vplyv platí len v súvislosti s porušením zákona. </w:t>
            </w:r>
            <w:r w:rsidRPr="005F703B">
              <w:rPr>
                <w:rFonts w:ascii="Times New Roman" w:hAnsi="Times New Roman"/>
                <w:sz w:val="24"/>
                <w:lang w:val="sk-SK" w:eastAsia="sk-SK"/>
              </w:rPr>
              <w:t xml:space="preserve">Odhadujeme negatívny vplyv vo výške </w:t>
            </w:r>
            <w:r w:rsidR="00A85C88" w:rsidRPr="005F703B">
              <w:rPr>
                <w:rFonts w:ascii="Times New Roman" w:hAnsi="Times New Roman"/>
                <w:sz w:val="24"/>
                <w:lang w:val="sk-SK" w:eastAsia="sk-SK"/>
              </w:rPr>
              <w:t>107 640</w:t>
            </w:r>
            <w:r w:rsidRPr="005F703B">
              <w:rPr>
                <w:rFonts w:ascii="Times New Roman" w:hAnsi="Times New Roman"/>
                <w:sz w:val="24"/>
                <w:lang w:val="sk-SK" w:eastAsia="sk-SK"/>
              </w:rPr>
              <w:t xml:space="preserve"> eur. </w:t>
            </w:r>
            <w:r w:rsidR="00CA629A">
              <w:rPr>
                <w:rFonts w:ascii="Times New Roman" w:hAnsi="Times New Roman"/>
                <w:sz w:val="24"/>
                <w:lang w:val="sk-SK" w:eastAsia="sk-SK"/>
              </w:rPr>
              <w:t xml:space="preserve">Odhad vznikol na základe štatistických údajov </w:t>
            </w:r>
            <w:r w:rsidR="00CA629A" w:rsidRPr="00DA3269">
              <w:rPr>
                <w:rFonts w:ascii="Times New Roman" w:hAnsi="Times New Roman"/>
                <w:sz w:val="24"/>
                <w:lang w:val="sk-SK"/>
              </w:rPr>
              <w:t xml:space="preserve">Národného inšpektorátu práce v sledovanom období od 01. 01. 2020 do 31. 12. 2020 a na základe štatistických údajov Prezídia policajného zboru MV SR v sledovanom období od 01. 01. 2020 do 31. 12. 2020. Podrobnosti sú uvedené v analýze na rozpočet verejnej správy. </w:t>
            </w:r>
          </w:p>
          <w:p w:rsidR="00A42EB4" w:rsidRPr="005F703B" w:rsidRDefault="00A42EB4" w:rsidP="00CA629A">
            <w:pPr>
              <w:spacing w:before="0"/>
              <w:jc w:val="both"/>
              <w:rPr>
                <w:rFonts w:ascii="Times New Roman" w:hAnsi="Times New Roman"/>
                <w:sz w:val="24"/>
                <w:lang w:val="sk-SK" w:eastAsia="sk-SK"/>
              </w:rPr>
            </w:pPr>
          </w:p>
        </w:tc>
      </w:tr>
      <w:tr w:rsidR="00A42EB4" w:rsidRPr="005F703B" w:rsidTr="00D63EB3">
        <w:tc>
          <w:tcPr>
            <w:tcW w:w="9062" w:type="dxa"/>
            <w:tcBorders>
              <w:top w:val="single" w:sz="4" w:space="0" w:color="auto"/>
              <w:left w:val="single" w:sz="4" w:space="0" w:color="auto"/>
              <w:bottom w:val="single" w:sz="4" w:space="0" w:color="auto"/>
              <w:right w:val="single" w:sz="4" w:space="0" w:color="auto"/>
            </w:tcBorders>
            <w:hideMark/>
          </w:tcPr>
          <w:p w:rsidR="00A42EB4" w:rsidRPr="005F703B" w:rsidRDefault="00A42EB4" w:rsidP="00D63EB3">
            <w:pPr>
              <w:spacing w:before="0"/>
              <w:rPr>
                <w:rFonts w:ascii="Times New Roman" w:hAnsi="Times New Roman"/>
                <w:b/>
                <w:i/>
                <w:szCs w:val="20"/>
                <w:lang w:val="sk-SK" w:eastAsia="sk-SK"/>
              </w:rPr>
            </w:pPr>
            <w:r w:rsidRPr="005F703B">
              <w:rPr>
                <w:rFonts w:ascii="Times New Roman" w:hAnsi="Times New Roman"/>
                <w:b/>
                <w:i/>
                <w:szCs w:val="20"/>
                <w:lang w:val="sk-SK" w:eastAsia="sk-SK"/>
              </w:rPr>
              <w:t>3.3.2 Nepriame finančné náklady</w:t>
            </w:r>
          </w:p>
          <w:p w:rsidR="00A42EB4" w:rsidRPr="005F703B" w:rsidRDefault="00A42EB4" w:rsidP="00D63EB3">
            <w:pPr>
              <w:spacing w:before="0"/>
              <w:jc w:val="both"/>
              <w:rPr>
                <w:rFonts w:ascii="Times New Roman" w:hAnsi="Times New Roman"/>
                <w:i/>
                <w:szCs w:val="20"/>
                <w:lang w:val="sk-SK" w:eastAsia="sk-SK"/>
              </w:rPr>
            </w:pPr>
            <w:r w:rsidRPr="005F703B">
              <w:rPr>
                <w:rFonts w:ascii="Times New Roman" w:hAnsi="Times New Roman"/>
                <w:i/>
                <w:szCs w:val="20"/>
                <w:lang w:val="sk-SK" w:eastAsia="sk-SK"/>
              </w:rPr>
              <w:t>Vyžaduje si predkladaný návrh dodatočné náklady na nákup tovarov alebo služieb? Zvyšuje predkladaný návrh náklady súvisiace so zamestnávaním? Ak áno, popíšte a vyčíslite ich. Uveďte tiež spôsob ich výpočtu.</w:t>
            </w:r>
          </w:p>
        </w:tc>
      </w:tr>
      <w:tr w:rsidR="00A42EB4" w:rsidRPr="005F703B" w:rsidTr="00D63EB3">
        <w:tc>
          <w:tcPr>
            <w:tcW w:w="9062" w:type="dxa"/>
            <w:tcBorders>
              <w:top w:val="single" w:sz="4" w:space="0" w:color="auto"/>
              <w:left w:val="single" w:sz="4" w:space="0" w:color="auto"/>
              <w:bottom w:val="single" w:sz="4" w:space="0" w:color="auto"/>
              <w:right w:val="single" w:sz="4" w:space="0" w:color="auto"/>
            </w:tcBorders>
          </w:tcPr>
          <w:p w:rsidR="00A42EB4" w:rsidRPr="005F703B" w:rsidRDefault="00A42EB4" w:rsidP="00D63EB3">
            <w:pPr>
              <w:spacing w:before="0"/>
              <w:jc w:val="both"/>
              <w:rPr>
                <w:rFonts w:ascii="Times New Roman" w:hAnsi="Times New Roman"/>
                <w:sz w:val="24"/>
                <w:lang w:val="sk-SK"/>
              </w:rPr>
            </w:pPr>
            <w:r w:rsidRPr="005F703B">
              <w:rPr>
                <w:rFonts w:ascii="Times New Roman" w:hAnsi="Times New Roman"/>
                <w:sz w:val="24"/>
                <w:lang w:val="sk-SK" w:eastAsia="sk-SK"/>
              </w:rPr>
              <w:t xml:space="preserve">Vodiči nákladných vozidiel nesmú čerpať </w:t>
            </w:r>
            <w:r w:rsidRPr="005F703B">
              <w:rPr>
                <w:rFonts w:ascii="Times New Roman" w:hAnsi="Times New Roman"/>
                <w:sz w:val="24"/>
                <w:lang w:val="sk-SK"/>
              </w:rPr>
              <w:t>doby pravidelného týždenného odpočinku a každú dobu týždenného odpočinku v trvaní viac ako 45 hodín vo vozidle. V tejto súvislosti môžu vzniknúť dopravcom zvýšené náklady na ubytovanie vodiča. Presné náklady nevieme vyčísliť, pretože tie</w:t>
            </w:r>
            <w:bookmarkStart w:id="0" w:name="_GoBack"/>
            <w:bookmarkEnd w:id="0"/>
            <w:r w:rsidRPr="005F703B">
              <w:rPr>
                <w:rFonts w:ascii="Times New Roman" w:hAnsi="Times New Roman"/>
                <w:sz w:val="24"/>
                <w:lang w:val="sk-SK"/>
              </w:rPr>
              <w:t xml:space="preserve">to náklady budú závisieť od </w:t>
            </w:r>
            <w:r w:rsidR="00432ECD" w:rsidRPr="005F703B">
              <w:rPr>
                <w:rFonts w:ascii="Times New Roman" w:hAnsi="Times New Roman"/>
                <w:sz w:val="24"/>
                <w:lang w:val="sk-SK"/>
              </w:rPr>
              <w:t>organizáci</w:t>
            </w:r>
            <w:r w:rsidR="00432ECD">
              <w:rPr>
                <w:rFonts w:ascii="Times New Roman" w:hAnsi="Times New Roman"/>
                <w:sz w:val="24"/>
                <w:lang w:val="sk-SK"/>
              </w:rPr>
              <w:t>e</w:t>
            </w:r>
            <w:r w:rsidR="00432ECD" w:rsidRPr="005F703B">
              <w:rPr>
                <w:rFonts w:ascii="Times New Roman" w:hAnsi="Times New Roman"/>
                <w:sz w:val="24"/>
                <w:lang w:val="sk-SK"/>
              </w:rPr>
              <w:t xml:space="preserve"> </w:t>
            </w:r>
            <w:r w:rsidRPr="005F703B">
              <w:rPr>
                <w:rFonts w:ascii="Times New Roman" w:hAnsi="Times New Roman"/>
                <w:sz w:val="24"/>
                <w:lang w:val="sk-SK"/>
              </w:rPr>
              <w:t>práce vodiča, prípadne aj od druhu a kvality ubytovania. Odhadované náklady na ubytovanie, cestu na ubytovanie</w:t>
            </w:r>
            <w:r w:rsidR="00A93A85">
              <w:rPr>
                <w:rFonts w:ascii="Times New Roman" w:hAnsi="Times New Roman"/>
                <w:sz w:val="24"/>
                <w:lang w:val="sk-SK"/>
              </w:rPr>
              <w:t xml:space="preserve"> a</w:t>
            </w:r>
            <w:r w:rsidRPr="005F703B">
              <w:rPr>
                <w:rFonts w:ascii="Times New Roman" w:hAnsi="Times New Roman"/>
                <w:sz w:val="24"/>
                <w:lang w:val="sk-SK"/>
              </w:rPr>
              <w:t>, strážené parkovisko vozidla sa môžu v niektorých prípadoch v závislosti od štátu Európskej únie pohybovať aj na úrovni cca 250 eur/vozidlo/vodič/mesiac. Nevieme presne v akom počte a v akých nákladoch takáto povinnosť bude mať dopad na podnikateľské prostredie avšak, ak by sa táto povinnosť týkala napríklad 10 % vozidiel</w:t>
            </w:r>
            <w:r w:rsidR="00432ECD">
              <w:rPr>
                <w:rFonts w:ascii="Times New Roman" w:hAnsi="Times New Roman"/>
                <w:sz w:val="24"/>
                <w:lang w:val="sk-SK"/>
              </w:rPr>
              <w:t>,</w:t>
            </w:r>
            <w:r w:rsidRPr="005F703B">
              <w:rPr>
                <w:rFonts w:ascii="Times New Roman" w:hAnsi="Times New Roman"/>
                <w:sz w:val="24"/>
                <w:lang w:val="sk-SK"/>
              </w:rPr>
              <w:t xml:space="preserve"> ktoré majú vydanú licenciu Spoločenstva (5 772)</w:t>
            </w:r>
            <w:r w:rsidR="00432ECD">
              <w:rPr>
                <w:rFonts w:ascii="Times New Roman" w:hAnsi="Times New Roman"/>
                <w:sz w:val="24"/>
                <w:lang w:val="sk-SK"/>
              </w:rPr>
              <w:t>,</w:t>
            </w:r>
            <w:r w:rsidRPr="005F703B">
              <w:rPr>
                <w:rFonts w:ascii="Times New Roman" w:hAnsi="Times New Roman"/>
                <w:sz w:val="24"/>
                <w:lang w:val="sk-SK"/>
              </w:rPr>
              <w:t xml:space="preserve"> tak náklady na podnikateľské prostredie by tvorili sumu 1 443</w:t>
            </w:r>
            <w:r w:rsidR="00432ECD">
              <w:rPr>
                <w:rFonts w:ascii="Times New Roman" w:hAnsi="Times New Roman"/>
                <w:sz w:val="24"/>
                <w:lang w:val="sk-SK"/>
              </w:rPr>
              <w:t> </w:t>
            </w:r>
            <w:r w:rsidRPr="005F703B">
              <w:rPr>
                <w:rFonts w:ascii="Times New Roman" w:hAnsi="Times New Roman"/>
                <w:sz w:val="24"/>
                <w:lang w:val="sk-SK"/>
              </w:rPr>
              <w:t>000</w:t>
            </w:r>
            <w:r w:rsidR="00432ECD">
              <w:rPr>
                <w:rFonts w:ascii="Times New Roman" w:hAnsi="Times New Roman"/>
                <w:sz w:val="24"/>
                <w:lang w:val="sk-SK"/>
              </w:rPr>
              <w:t xml:space="preserve"> eur</w:t>
            </w:r>
            <w:r w:rsidRPr="005F703B">
              <w:rPr>
                <w:rFonts w:ascii="Times New Roman" w:hAnsi="Times New Roman"/>
                <w:sz w:val="24"/>
                <w:lang w:val="sk-SK"/>
              </w:rPr>
              <w:t xml:space="preserve"> mesačne, a na celé podnikateľské prostredie ročne to tvorí náklady vo výške 17 316</w:t>
            </w:r>
            <w:r w:rsidR="00432ECD">
              <w:rPr>
                <w:rFonts w:ascii="Times New Roman" w:hAnsi="Times New Roman"/>
                <w:sz w:val="24"/>
                <w:lang w:val="sk-SK"/>
              </w:rPr>
              <w:t> </w:t>
            </w:r>
            <w:r w:rsidRPr="005F703B">
              <w:rPr>
                <w:rFonts w:ascii="Times New Roman" w:hAnsi="Times New Roman"/>
                <w:sz w:val="24"/>
                <w:lang w:val="sk-SK"/>
              </w:rPr>
              <w:t>000</w:t>
            </w:r>
            <w:r w:rsidR="00432ECD">
              <w:rPr>
                <w:rFonts w:ascii="Times New Roman" w:hAnsi="Times New Roman"/>
                <w:sz w:val="24"/>
                <w:lang w:val="sk-SK"/>
              </w:rPr>
              <w:t xml:space="preserve"> eur</w:t>
            </w:r>
            <w:r w:rsidRPr="005F703B">
              <w:rPr>
                <w:rFonts w:ascii="Times New Roman" w:hAnsi="Times New Roman"/>
                <w:sz w:val="24"/>
                <w:lang w:val="sk-SK"/>
              </w:rPr>
              <w:t>.   (53</w:t>
            </w:r>
            <w:r w:rsidR="00053CED">
              <w:rPr>
                <w:rFonts w:ascii="Times New Roman" w:hAnsi="Times New Roman"/>
                <w:sz w:val="24"/>
                <w:lang w:val="sk-SK"/>
              </w:rPr>
              <w:t> </w:t>
            </w:r>
            <w:r w:rsidRPr="005F703B">
              <w:rPr>
                <w:rFonts w:ascii="Times New Roman" w:hAnsi="Times New Roman"/>
                <w:sz w:val="24"/>
                <w:lang w:val="sk-SK"/>
              </w:rPr>
              <w:t>662</w:t>
            </w:r>
            <w:r w:rsidR="00053CED">
              <w:rPr>
                <w:rFonts w:ascii="Times New Roman" w:hAnsi="Times New Roman"/>
                <w:sz w:val="24"/>
                <w:lang w:val="sk-SK"/>
              </w:rPr>
              <w:t xml:space="preserve"> </w:t>
            </w:r>
            <w:r w:rsidRPr="005F703B">
              <w:rPr>
                <w:rFonts w:ascii="Times New Roman" w:hAnsi="Times New Roman"/>
                <w:sz w:val="24"/>
                <w:lang w:val="sk-SK"/>
              </w:rPr>
              <w:t>+</w:t>
            </w:r>
            <w:r w:rsidR="00053CED">
              <w:rPr>
                <w:rFonts w:ascii="Times New Roman" w:hAnsi="Times New Roman"/>
                <w:sz w:val="24"/>
                <w:lang w:val="sk-SK"/>
              </w:rPr>
              <w:t xml:space="preserve"> </w:t>
            </w:r>
            <w:r w:rsidRPr="005F703B">
              <w:rPr>
                <w:rFonts w:ascii="Times New Roman" w:hAnsi="Times New Roman"/>
                <w:sz w:val="24"/>
                <w:lang w:val="sk-SK"/>
              </w:rPr>
              <w:t>4</w:t>
            </w:r>
            <w:r w:rsidR="00053CED">
              <w:rPr>
                <w:rFonts w:ascii="Times New Roman" w:hAnsi="Times New Roman"/>
                <w:sz w:val="24"/>
                <w:lang w:val="sk-SK"/>
              </w:rPr>
              <w:t> </w:t>
            </w:r>
            <w:r w:rsidRPr="005F703B">
              <w:rPr>
                <w:rFonts w:ascii="Times New Roman" w:hAnsi="Times New Roman"/>
                <w:sz w:val="24"/>
                <w:lang w:val="sk-SK"/>
              </w:rPr>
              <w:t>058</w:t>
            </w:r>
            <w:r w:rsidR="00053CED">
              <w:rPr>
                <w:rFonts w:ascii="Times New Roman" w:hAnsi="Times New Roman"/>
                <w:sz w:val="24"/>
                <w:lang w:val="sk-SK"/>
              </w:rPr>
              <w:t xml:space="preserve"> </w:t>
            </w:r>
            <w:r w:rsidRPr="005F703B">
              <w:rPr>
                <w:rFonts w:ascii="Times New Roman" w:hAnsi="Times New Roman"/>
                <w:sz w:val="24"/>
                <w:lang w:val="sk-SK"/>
              </w:rPr>
              <w:t xml:space="preserve">= 57 720 </w:t>
            </w:r>
            <w:r w:rsidR="00432ECD" w:rsidRPr="005F703B">
              <w:rPr>
                <w:rFonts w:ascii="Times New Roman" w:hAnsi="Times New Roman"/>
                <w:sz w:val="24"/>
                <w:lang w:val="sk-SK"/>
              </w:rPr>
              <w:t>licenc</w:t>
            </w:r>
            <w:r w:rsidR="00432ECD">
              <w:rPr>
                <w:rFonts w:ascii="Times New Roman" w:hAnsi="Times New Roman"/>
                <w:sz w:val="24"/>
                <w:lang w:val="sk-SK"/>
              </w:rPr>
              <w:t>ií</w:t>
            </w:r>
            <w:r w:rsidR="00432ECD" w:rsidRPr="005F703B">
              <w:rPr>
                <w:rFonts w:ascii="Times New Roman" w:hAnsi="Times New Roman"/>
                <w:sz w:val="24"/>
                <w:lang w:val="sk-SK"/>
              </w:rPr>
              <w:t xml:space="preserve"> </w:t>
            </w:r>
            <w:r w:rsidRPr="005F703B">
              <w:rPr>
                <w:rFonts w:ascii="Times New Roman" w:hAnsi="Times New Roman"/>
                <w:sz w:val="24"/>
                <w:lang w:val="sk-SK"/>
              </w:rPr>
              <w:t xml:space="preserve">Spoločenstva, </w:t>
            </w:r>
            <w:r w:rsidR="00432ECD">
              <w:rPr>
                <w:rFonts w:ascii="Times New Roman" w:hAnsi="Times New Roman"/>
                <w:sz w:val="24"/>
                <w:lang w:val="sk-SK"/>
              </w:rPr>
              <w:t xml:space="preserve">z toho </w:t>
            </w:r>
            <w:r w:rsidRPr="005F703B">
              <w:rPr>
                <w:rFonts w:ascii="Times New Roman" w:hAnsi="Times New Roman"/>
                <w:sz w:val="24"/>
                <w:lang w:val="sk-SK"/>
              </w:rPr>
              <w:t>10</w:t>
            </w:r>
            <w:r w:rsidR="00432ECD">
              <w:rPr>
                <w:rFonts w:ascii="Times New Roman" w:hAnsi="Times New Roman"/>
                <w:sz w:val="24"/>
                <w:lang w:val="sk-SK"/>
              </w:rPr>
              <w:t xml:space="preserve"> </w:t>
            </w:r>
            <w:r w:rsidRPr="005F703B">
              <w:rPr>
                <w:rFonts w:ascii="Times New Roman" w:hAnsi="Times New Roman"/>
                <w:sz w:val="24"/>
                <w:lang w:val="sk-SK"/>
              </w:rPr>
              <w:t xml:space="preserve">% </w:t>
            </w:r>
            <w:r w:rsidR="00432ECD">
              <w:rPr>
                <w:rFonts w:ascii="Times New Roman" w:hAnsi="Times New Roman"/>
                <w:sz w:val="24"/>
                <w:lang w:val="sk-SK"/>
              </w:rPr>
              <w:t>predstavuje</w:t>
            </w:r>
            <w:r w:rsidRPr="005F703B">
              <w:rPr>
                <w:rFonts w:ascii="Times New Roman" w:hAnsi="Times New Roman"/>
                <w:sz w:val="24"/>
                <w:lang w:val="sk-SK"/>
              </w:rPr>
              <w:t xml:space="preserve"> 5</w:t>
            </w:r>
            <w:r w:rsidR="00432ECD">
              <w:rPr>
                <w:rFonts w:ascii="Times New Roman" w:hAnsi="Times New Roman"/>
                <w:sz w:val="24"/>
                <w:lang w:val="sk-SK"/>
              </w:rPr>
              <w:t> </w:t>
            </w:r>
            <w:r w:rsidRPr="005F703B">
              <w:rPr>
                <w:rFonts w:ascii="Times New Roman" w:hAnsi="Times New Roman"/>
                <w:sz w:val="24"/>
                <w:lang w:val="sk-SK"/>
              </w:rPr>
              <w:t>772</w:t>
            </w:r>
            <w:r w:rsidR="00432ECD">
              <w:rPr>
                <w:rFonts w:ascii="Times New Roman" w:hAnsi="Times New Roman"/>
                <w:sz w:val="24"/>
                <w:lang w:val="sk-SK"/>
              </w:rPr>
              <w:t xml:space="preserve">; </w:t>
            </w:r>
            <w:r w:rsidR="00432ECD">
              <w:rPr>
                <w:rFonts w:ascii="Times New Roman" w:hAnsi="Times New Roman"/>
                <w:sz w:val="24"/>
                <w:lang w:val="sk-SK"/>
              </w:rPr>
              <w:br/>
              <w:t>Výpočet</w:t>
            </w:r>
            <w:r w:rsidR="00053CED">
              <w:rPr>
                <w:rFonts w:ascii="Times New Roman" w:hAnsi="Times New Roman"/>
                <w:sz w:val="24"/>
                <w:lang w:val="sk-SK"/>
              </w:rPr>
              <w:t xml:space="preserve"> nákladov</w:t>
            </w:r>
            <w:r w:rsidR="00432ECD">
              <w:rPr>
                <w:rFonts w:ascii="Times New Roman" w:hAnsi="Times New Roman"/>
                <w:sz w:val="24"/>
                <w:lang w:val="sk-SK"/>
              </w:rPr>
              <w:t>:</w:t>
            </w:r>
            <w:r w:rsidRPr="005F703B">
              <w:rPr>
                <w:rFonts w:ascii="Times New Roman" w:hAnsi="Times New Roman"/>
                <w:sz w:val="24"/>
                <w:lang w:val="sk-SK"/>
              </w:rPr>
              <w:t xml:space="preserve"> </w:t>
            </w:r>
            <w:r w:rsidR="00432ECD">
              <w:rPr>
                <w:rFonts w:ascii="Times New Roman" w:hAnsi="Times New Roman"/>
                <w:sz w:val="24"/>
                <w:lang w:val="sk-SK"/>
              </w:rPr>
              <w:t>5</w:t>
            </w:r>
            <w:r w:rsidR="00053CED">
              <w:rPr>
                <w:rFonts w:ascii="Times New Roman" w:hAnsi="Times New Roman"/>
                <w:sz w:val="24"/>
                <w:lang w:val="sk-SK"/>
              </w:rPr>
              <w:t> </w:t>
            </w:r>
            <w:r w:rsidR="00432ECD">
              <w:rPr>
                <w:rFonts w:ascii="Times New Roman" w:hAnsi="Times New Roman"/>
                <w:sz w:val="24"/>
                <w:lang w:val="sk-SK"/>
              </w:rPr>
              <w:t>772</w:t>
            </w:r>
            <w:r w:rsidR="00053CED">
              <w:rPr>
                <w:rFonts w:ascii="Times New Roman" w:hAnsi="Times New Roman"/>
                <w:sz w:val="24"/>
                <w:lang w:val="sk-SK"/>
              </w:rPr>
              <w:t xml:space="preserve"> x </w:t>
            </w:r>
            <w:r w:rsidRPr="005F703B">
              <w:rPr>
                <w:rFonts w:ascii="Times New Roman" w:hAnsi="Times New Roman"/>
                <w:sz w:val="24"/>
                <w:lang w:val="sk-SK"/>
              </w:rPr>
              <w:t>250 eur = 1 443 000 eur</w:t>
            </w:r>
            <w:r w:rsidR="00053CED">
              <w:rPr>
                <w:rFonts w:ascii="Times New Roman" w:hAnsi="Times New Roman"/>
                <w:sz w:val="24"/>
                <w:lang w:val="sk-SK"/>
              </w:rPr>
              <w:t xml:space="preserve"> za mesiac; 1 443 000 eur </w:t>
            </w:r>
            <w:r w:rsidRPr="005F703B">
              <w:rPr>
                <w:rFonts w:ascii="Times New Roman" w:hAnsi="Times New Roman"/>
                <w:sz w:val="24"/>
                <w:lang w:val="sk-SK"/>
              </w:rPr>
              <w:t>x 12 = 17 316</w:t>
            </w:r>
            <w:r w:rsidR="00432ECD">
              <w:rPr>
                <w:rFonts w:ascii="Times New Roman" w:hAnsi="Times New Roman"/>
                <w:sz w:val="24"/>
                <w:lang w:val="sk-SK"/>
              </w:rPr>
              <w:t> </w:t>
            </w:r>
            <w:r w:rsidRPr="005F703B">
              <w:rPr>
                <w:rFonts w:ascii="Times New Roman" w:hAnsi="Times New Roman"/>
                <w:sz w:val="24"/>
                <w:lang w:val="sk-SK"/>
              </w:rPr>
              <w:t>000</w:t>
            </w:r>
            <w:r w:rsidR="00432ECD">
              <w:rPr>
                <w:rFonts w:ascii="Times New Roman" w:hAnsi="Times New Roman"/>
                <w:sz w:val="24"/>
                <w:lang w:val="sk-SK"/>
              </w:rPr>
              <w:t xml:space="preserve"> eur</w:t>
            </w:r>
            <w:r w:rsidR="00053CED">
              <w:rPr>
                <w:rFonts w:ascii="Times New Roman" w:hAnsi="Times New Roman"/>
                <w:sz w:val="24"/>
                <w:lang w:val="sk-SK"/>
              </w:rPr>
              <w:t xml:space="preserve"> za celý rok</w:t>
            </w:r>
            <w:r w:rsidRPr="005F703B">
              <w:rPr>
                <w:rFonts w:ascii="Times New Roman" w:hAnsi="Times New Roman"/>
                <w:sz w:val="24"/>
                <w:lang w:val="sk-SK"/>
              </w:rPr>
              <w:t>).</w:t>
            </w:r>
          </w:p>
          <w:p w:rsidR="00A42EB4" w:rsidRPr="005F703B" w:rsidRDefault="00A42EB4" w:rsidP="00D63EB3">
            <w:pPr>
              <w:spacing w:before="0"/>
              <w:jc w:val="both"/>
              <w:rPr>
                <w:rFonts w:ascii="Times New Roman" w:hAnsi="Times New Roman"/>
                <w:sz w:val="24"/>
                <w:lang w:val="sk-SK"/>
              </w:rPr>
            </w:pPr>
          </w:p>
          <w:p w:rsidR="00A42EB4" w:rsidRPr="005F703B" w:rsidRDefault="00A42EB4" w:rsidP="00D63EB3">
            <w:pPr>
              <w:pStyle w:val="Obyajntext"/>
              <w:jc w:val="both"/>
              <w:rPr>
                <w:rFonts w:ascii="Times New Roman" w:hAnsi="Times New Roman" w:cs="Times New Roman"/>
                <w:sz w:val="24"/>
                <w:szCs w:val="24"/>
                <w:lang w:val="sk-SK"/>
              </w:rPr>
            </w:pPr>
            <w:r w:rsidRPr="005F703B">
              <w:rPr>
                <w:rFonts w:ascii="Times New Roman" w:eastAsia="Times New Roman" w:hAnsi="Times New Roman" w:cs="Times New Roman"/>
                <w:sz w:val="24"/>
                <w:szCs w:val="24"/>
                <w:lang w:val="sk-SK"/>
              </w:rPr>
              <w:t>Nariadením Európskeho parlamentu a Rady (EÚ) 2020/1054 sa zavádzajú inteligentné tachografy druhej generácie. Inteligentný tachograf druhej generácie bude automaticky zaznamenávať prekročenie hraníc, bude zaznamenávať polohu pri nakládke a vykládke a zlepší monitorovanie</w:t>
            </w:r>
            <w:r w:rsidRPr="005F703B">
              <w:rPr>
                <w:rFonts w:ascii="Times New Roman" w:hAnsi="Times New Roman" w:cs="Times New Roman"/>
                <w:sz w:val="24"/>
                <w:szCs w:val="24"/>
                <w:lang w:val="sk-SK"/>
              </w:rPr>
              <w:t xml:space="preserve"> doby jazdy a odpočinku. </w:t>
            </w:r>
          </w:p>
          <w:p w:rsidR="00A42EB4" w:rsidRPr="005F703B" w:rsidRDefault="00A42EB4" w:rsidP="00D63EB3">
            <w:pPr>
              <w:pStyle w:val="Obyajntext"/>
              <w:jc w:val="both"/>
              <w:rPr>
                <w:rFonts w:ascii="Times New Roman" w:hAnsi="Times New Roman" w:cs="Times New Roman"/>
                <w:sz w:val="24"/>
                <w:szCs w:val="24"/>
                <w:lang w:val="sk-SK"/>
              </w:rPr>
            </w:pPr>
            <w:r w:rsidRPr="005F703B">
              <w:rPr>
                <w:rFonts w:ascii="Times New Roman" w:hAnsi="Times New Roman" w:cs="Times New Roman"/>
                <w:sz w:val="24"/>
                <w:szCs w:val="24"/>
                <w:lang w:val="sk-SK"/>
              </w:rPr>
              <w:t xml:space="preserve">Inteligentný tachograf druhej generácie bude z hľadiska funkčnosti viac odolný voči </w:t>
            </w:r>
            <w:r w:rsidR="00053CED" w:rsidRPr="005F703B">
              <w:rPr>
                <w:rFonts w:ascii="Times New Roman" w:hAnsi="Times New Roman" w:cs="Times New Roman"/>
                <w:sz w:val="24"/>
                <w:szCs w:val="24"/>
                <w:lang w:val="sk-SK"/>
              </w:rPr>
              <w:t>manipuláci</w:t>
            </w:r>
            <w:r w:rsidR="00053CED">
              <w:rPr>
                <w:rFonts w:ascii="Times New Roman" w:hAnsi="Times New Roman" w:cs="Times New Roman"/>
                <w:sz w:val="24"/>
                <w:szCs w:val="24"/>
                <w:lang w:val="sk-SK"/>
              </w:rPr>
              <w:t>i</w:t>
            </w:r>
            <w:r w:rsidR="00053CED" w:rsidRPr="005F703B">
              <w:rPr>
                <w:rFonts w:ascii="Times New Roman" w:hAnsi="Times New Roman" w:cs="Times New Roman"/>
                <w:sz w:val="24"/>
                <w:szCs w:val="24"/>
                <w:lang w:val="sk-SK"/>
              </w:rPr>
              <w:t xml:space="preserve"> </w:t>
            </w:r>
            <w:r w:rsidRPr="005F703B">
              <w:rPr>
                <w:rFonts w:ascii="Times New Roman" w:hAnsi="Times New Roman" w:cs="Times New Roman"/>
                <w:sz w:val="24"/>
                <w:szCs w:val="24"/>
                <w:lang w:val="sk-SK"/>
              </w:rPr>
              <w:t xml:space="preserve">a bude mať prípravu na autentifikáciu satelitného signálu Galileo, akonáhle bude systém Galileo funkčný. Inteligentný tachograf druhej generácie už by mal byť prispôsobený na implementovanie budúcich nových špecifikácií prostredníctvom aktualizácií softvéru bez nutnosti fyzickej výmeny. </w:t>
            </w:r>
          </w:p>
          <w:p w:rsidR="00A42EB4" w:rsidRPr="005F703B" w:rsidRDefault="00A42EB4" w:rsidP="00D63EB3">
            <w:pPr>
              <w:pStyle w:val="Obyajntext"/>
              <w:jc w:val="both"/>
              <w:rPr>
                <w:rFonts w:ascii="Times New Roman" w:hAnsi="Times New Roman" w:cs="Times New Roman"/>
                <w:sz w:val="24"/>
                <w:szCs w:val="24"/>
                <w:lang w:val="sk-SK"/>
              </w:rPr>
            </w:pPr>
          </w:p>
          <w:p w:rsidR="00A42EB4" w:rsidRPr="005F703B" w:rsidRDefault="00A42EB4" w:rsidP="00D63EB3">
            <w:pPr>
              <w:pStyle w:val="Obyajntext"/>
              <w:jc w:val="both"/>
              <w:rPr>
                <w:rFonts w:ascii="Times New Roman" w:eastAsia="Times New Roman" w:hAnsi="Times New Roman" w:cs="Times New Roman"/>
                <w:sz w:val="24"/>
                <w:szCs w:val="24"/>
                <w:lang w:val="sk-SK"/>
              </w:rPr>
            </w:pPr>
            <w:r w:rsidRPr="005F703B">
              <w:rPr>
                <w:rFonts w:ascii="Times New Roman" w:eastAsia="Times New Roman" w:hAnsi="Times New Roman" w:cs="Times New Roman"/>
                <w:sz w:val="24"/>
                <w:szCs w:val="24"/>
                <w:lang w:val="sk-SK"/>
              </w:rPr>
              <w:t>Časový harmonogram pre zavedenie inteligentných tachografov druhej generácie zá</w:t>
            </w:r>
            <w:r w:rsidR="00A85C88" w:rsidRPr="005F703B">
              <w:rPr>
                <w:rFonts w:ascii="Times New Roman" w:eastAsia="Times New Roman" w:hAnsi="Times New Roman" w:cs="Times New Roman"/>
                <w:sz w:val="24"/>
                <w:szCs w:val="24"/>
                <w:lang w:val="sk-SK"/>
              </w:rPr>
              <w:t xml:space="preserve">visí od </w:t>
            </w:r>
            <w:r w:rsidRPr="005F703B">
              <w:rPr>
                <w:rFonts w:ascii="Times New Roman" w:eastAsia="Times New Roman" w:hAnsi="Times New Roman" w:cs="Times New Roman"/>
                <w:sz w:val="24"/>
                <w:szCs w:val="24"/>
                <w:lang w:val="sk-SK"/>
              </w:rPr>
              <w:t xml:space="preserve">vykonávajúceho nariadenia, ktoré musí prijať Európska komisia do 21. augusta 2021. </w:t>
            </w:r>
          </w:p>
          <w:p w:rsidR="00A42EB4" w:rsidRPr="005F703B" w:rsidRDefault="00A42EB4" w:rsidP="00D63EB3">
            <w:pPr>
              <w:pStyle w:val="Obyajntext"/>
              <w:jc w:val="both"/>
              <w:rPr>
                <w:rFonts w:ascii="Times New Roman" w:eastAsia="Times New Roman" w:hAnsi="Times New Roman" w:cs="Times New Roman"/>
                <w:sz w:val="24"/>
                <w:szCs w:val="24"/>
                <w:lang w:val="sk-SK"/>
              </w:rPr>
            </w:pPr>
          </w:p>
          <w:p w:rsidR="00A42EB4" w:rsidRPr="005F703B" w:rsidRDefault="00A42EB4" w:rsidP="00D63EB3">
            <w:pPr>
              <w:pStyle w:val="Obyajntext"/>
              <w:jc w:val="both"/>
              <w:rPr>
                <w:rFonts w:ascii="Times New Roman" w:eastAsia="Times New Roman" w:hAnsi="Times New Roman" w:cs="Times New Roman"/>
                <w:sz w:val="24"/>
                <w:szCs w:val="24"/>
                <w:lang w:val="sk-SK"/>
              </w:rPr>
            </w:pPr>
            <w:r w:rsidRPr="005F703B">
              <w:rPr>
                <w:rFonts w:ascii="Times New Roman" w:eastAsia="Times New Roman" w:hAnsi="Times New Roman" w:cs="Times New Roman"/>
                <w:sz w:val="24"/>
                <w:szCs w:val="24"/>
                <w:lang w:val="sk-SK"/>
              </w:rPr>
              <w:t xml:space="preserve">Inteligentné tachografy druhej generácie budú inštalované v nových vozidlách, ktorých prvá evidencia bude od 21. augusta 2023. </w:t>
            </w:r>
          </w:p>
          <w:p w:rsidR="00A42EB4" w:rsidRPr="005F703B" w:rsidRDefault="00A42EB4" w:rsidP="00D63EB3">
            <w:pPr>
              <w:pStyle w:val="Obyajntext"/>
              <w:jc w:val="both"/>
              <w:rPr>
                <w:rFonts w:ascii="Times New Roman" w:eastAsia="Times New Roman" w:hAnsi="Times New Roman" w:cs="Times New Roman"/>
                <w:sz w:val="24"/>
                <w:szCs w:val="24"/>
                <w:lang w:val="sk-SK"/>
              </w:rPr>
            </w:pPr>
            <w:r w:rsidRPr="005F703B">
              <w:rPr>
                <w:rFonts w:ascii="Times New Roman" w:eastAsia="Times New Roman" w:hAnsi="Times New Roman" w:cs="Times New Roman"/>
                <w:sz w:val="24"/>
                <w:szCs w:val="24"/>
                <w:lang w:val="sk-SK"/>
              </w:rPr>
              <w:t>Povinná výmena analógových tachografov a digitálnych tachografov vo vozidlách, ktoré budú vykonávať medzinárodnú dopravu za inteligentné tachografy druhej generácie sa musí uskutočniť do 31.</w:t>
            </w:r>
            <w:r w:rsidR="00053CED">
              <w:rPr>
                <w:rFonts w:ascii="Times New Roman" w:eastAsia="Times New Roman" w:hAnsi="Times New Roman" w:cs="Times New Roman"/>
                <w:sz w:val="24"/>
                <w:szCs w:val="24"/>
                <w:lang w:val="sk-SK"/>
              </w:rPr>
              <w:t xml:space="preserve"> </w:t>
            </w:r>
            <w:r w:rsidRPr="005F703B">
              <w:rPr>
                <w:rFonts w:ascii="Times New Roman" w:eastAsia="Times New Roman" w:hAnsi="Times New Roman" w:cs="Times New Roman"/>
                <w:sz w:val="24"/>
                <w:szCs w:val="24"/>
                <w:lang w:val="sk-SK"/>
              </w:rPr>
              <w:t xml:space="preserve">decembra 2024. </w:t>
            </w:r>
          </w:p>
          <w:p w:rsidR="00A42EB4" w:rsidRPr="005F703B" w:rsidRDefault="00A42EB4" w:rsidP="00D63EB3">
            <w:pPr>
              <w:pStyle w:val="Obyajntext"/>
              <w:jc w:val="both"/>
              <w:rPr>
                <w:rFonts w:ascii="Times New Roman" w:eastAsia="Times New Roman" w:hAnsi="Times New Roman" w:cs="Times New Roman"/>
                <w:sz w:val="24"/>
                <w:szCs w:val="24"/>
                <w:lang w:val="sk-SK"/>
              </w:rPr>
            </w:pPr>
            <w:r w:rsidRPr="005F703B">
              <w:rPr>
                <w:rFonts w:ascii="Times New Roman" w:eastAsia="Times New Roman" w:hAnsi="Times New Roman" w:cs="Times New Roman"/>
                <w:sz w:val="24"/>
                <w:szCs w:val="24"/>
                <w:lang w:val="sk-SK"/>
              </w:rPr>
              <w:t>Povinná výmena inteligentných tachografov prvej generácie vo vozidlách, ktoré budú vykonávať medzinárodnú dopravu za inteligentné tachografy druhej generácie bude do 21.</w:t>
            </w:r>
            <w:r w:rsidR="00A93A85">
              <w:rPr>
                <w:rFonts w:ascii="Times New Roman" w:eastAsia="Times New Roman" w:hAnsi="Times New Roman" w:cs="Times New Roman"/>
                <w:sz w:val="24"/>
                <w:szCs w:val="24"/>
                <w:lang w:val="sk-SK"/>
              </w:rPr>
              <w:t> </w:t>
            </w:r>
            <w:r w:rsidRPr="005F703B">
              <w:rPr>
                <w:rFonts w:ascii="Times New Roman" w:eastAsia="Times New Roman" w:hAnsi="Times New Roman" w:cs="Times New Roman"/>
                <w:sz w:val="24"/>
                <w:szCs w:val="24"/>
                <w:lang w:val="sk-SK"/>
              </w:rPr>
              <w:t>augusta 2025</w:t>
            </w:r>
            <w:r w:rsidR="00053CED">
              <w:rPr>
                <w:rFonts w:ascii="Times New Roman" w:eastAsia="Times New Roman" w:hAnsi="Times New Roman" w:cs="Times New Roman"/>
                <w:sz w:val="24"/>
                <w:szCs w:val="24"/>
                <w:lang w:val="sk-SK"/>
              </w:rPr>
              <w:t>.</w:t>
            </w:r>
            <w:r w:rsidRPr="005F703B">
              <w:rPr>
                <w:rFonts w:ascii="Times New Roman" w:eastAsia="Times New Roman" w:hAnsi="Times New Roman" w:cs="Times New Roman"/>
                <w:sz w:val="24"/>
                <w:szCs w:val="24"/>
                <w:lang w:val="sk-SK"/>
              </w:rPr>
              <w:t xml:space="preserve"> </w:t>
            </w:r>
          </w:p>
          <w:p w:rsidR="00A42EB4" w:rsidRPr="005F703B" w:rsidRDefault="00A42EB4" w:rsidP="00D63EB3">
            <w:pPr>
              <w:pStyle w:val="Obyajntext"/>
              <w:jc w:val="both"/>
              <w:rPr>
                <w:rFonts w:ascii="Times New Roman" w:eastAsia="Times New Roman" w:hAnsi="Times New Roman" w:cs="Times New Roman"/>
                <w:sz w:val="24"/>
                <w:szCs w:val="24"/>
                <w:lang w:val="sk-SK"/>
              </w:rPr>
            </w:pPr>
            <w:r w:rsidRPr="005F703B">
              <w:rPr>
                <w:rFonts w:ascii="Times New Roman" w:eastAsia="Times New Roman" w:hAnsi="Times New Roman" w:cs="Times New Roman"/>
                <w:sz w:val="24"/>
                <w:szCs w:val="24"/>
                <w:lang w:val="sk-SK"/>
              </w:rPr>
              <w:lastRenderedPageBreak/>
              <w:t>Inteligentné tachografy druhej generácie budú povinné od 1. júla 2026 vo vozidlách vykonávajúce medzinárodnú dopravu, u ktorých maximálna prípustná hmotnosť vozidla vrátane každého prívesu alebo návesu je vyššia ako 2,5 ton.</w:t>
            </w:r>
          </w:p>
          <w:p w:rsidR="00A42EB4" w:rsidRPr="005F703B" w:rsidRDefault="00A42EB4" w:rsidP="00D63EB3">
            <w:pPr>
              <w:spacing w:before="0"/>
              <w:jc w:val="both"/>
              <w:rPr>
                <w:rFonts w:ascii="Times New Roman" w:hAnsi="Times New Roman"/>
                <w:sz w:val="24"/>
                <w:lang w:val="sk-SK"/>
              </w:rPr>
            </w:pPr>
          </w:p>
          <w:p w:rsidR="00A42EB4" w:rsidRPr="005F703B" w:rsidRDefault="00A42EB4" w:rsidP="00D63EB3">
            <w:pPr>
              <w:spacing w:before="0"/>
              <w:jc w:val="both"/>
              <w:rPr>
                <w:rFonts w:ascii="Times New Roman" w:hAnsi="Times New Roman"/>
                <w:sz w:val="24"/>
                <w:lang w:val="sk-SK"/>
              </w:rPr>
            </w:pPr>
            <w:r w:rsidRPr="005F703B">
              <w:rPr>
                <w:rFonts w:ascii="Times New Roman" w:hAnsi="Times New Roman"/>
                <w:bCs/>
                <w:sz w:val="24"/>
                <w:lang w:val="sk-SK"/>
              </w:rPr>
              <w:t>Výmena tachografu vo vozidlách bude závisieť od dopravcu či vykonáva medzinárodnú dopravu. Významným faktorom pre výmenu môže byť to, že vozidlá vybavené inteligentným tachografom druhej generácie môžu využívať vo väčšej miere výnimky z vysielania. Z tohto dôvodu očakávame, že dopravcovia budú mať záujem o výmenu v skoršom termíne potom čo bude inteligentný tachograf druhej generácie dostupný na trhu. Náklady na výmenu vrátane potrebných súčastí, montáže, overenia digitálneho tachografu, inteligentného tachografu prvej generácie za inteligentných tachograf druhej generácie budú závisieť od ponuky na trhu avšak tieto náklady odhadujeme vo výške 1</w:t>
            </w:r>
            <w:r w:rsidR="00A93A85">
              <w:rPr>
                <w:rFonts w:ascii="Times New Roman" w:hAnsi="Times New Roman"/>
                <w:bCs/>
                <w:sz w:val="24"/>
                <w:lang w:val="sk-SK"/>
              </w:rPr>
              <w:t xml:space="preserve"> </w:t>
            </w:r>
            <w:r w:rsidRPr="005F703B">
              <w:rPr>
                <w:rFonts w:ascii="Times New Roman" w:hAnsi="Times New Roman"/>
                <w:bCs/>
                <w:sz w:val="24"/>
                <w:lang w:val="sk-SK"/>
              </w:rPr>
              <w:t xml:space="preserve">100 eur/ vozidlo. </w:t>
            </w:r>
          </w:p>
          <w:p w:rsidR="00A42EB4" w:rsidRPr="005F703B" w:rsidRDefault="00A42EB4" w:rsidP="00D63EB3">
            <w:pPr>
              <w:spacing w:before="0"/>
              <w:jc w:val="both"/>
              <w:rPr>
                <w:rFonts w:ascii="Times New Roman" w:hAnsi="Times New Roman"/>
                <w:sz w:val="24"/>
                <w:lang w:val="sk-SK"/>
              </w:rPr>
            </w:pPr>
            <w:r w:rsidRPr="005F703B">
              <w:rPr>
                <w:rFonts w:ascii="Times New Roman" w:hAnsi="Times New Roman"/>
                <w:sz w:val="24"/>
                <w:lang w:val="sk-SK"/>
              </w:rPr>
              <w:t>Nevieme presne v akom počte bude táto výmena uskutočnená. Ak by sa výmena týkala v roku 2024 napríklad 50 % vozidiel</w:t>
            </w:r>
            <w:r w:rsidR="00053CED">
              <w:rPr>
                <w:rFonts w:ascii="Times New Roman" w:hAnsi="Times New Roman"/>
                <w:sz w:val="24"/>
                <w:lang w:val="sk-SK"/>
              </w:rPr>
              <w:t>,</w:t>
            </w:r>
            <w:r w:rsidRPr="005F703B">
              <w:rPr>
                <w:rFonts w:ascii="Times New Roman" w:hAnsi="Times New Roman"/>
                <w:sz w:val="24"/>
                <w:lang w:val="sk-SK"/>
              </w:rPr>
              <w:t xml:space="preserve"> ktoré majú vydanú licenciu Spoločenstva (28 860)</w:t>
            </w:r>
            <w:r w:rsidR="00053CED">
              <w:rPr>
                <w:rFonts w:ascii="Times New Roman" w:hAnsi="Times New Roman"/>
                <w:sz w:val="24"/>
                <w:lang w:val="sk-SK"/>
              </w:rPr>
              <w:t>,</w:t>
            </w:r>
            <w:r w:rsidRPr="005F703B">
              <w:rPr>
                <w:rFonts w:ascii="Times New Roman" w:hAnsi="Times New Roman"/>
                <w:sz w:val="24"/>
                <w:lang w:val="sk-SK"/>
              </w:rPr>
              <w:t xml:space="preserve"> tak náklady na výmenu na celé podnikateľské prostredie by tvorili sumu 31 746 000 eur</w:t>
            </w:r>
            <w:r w:rsidR="00053CED">
              <w:rPr>
                <w:rFonts w:ascii="Times New Roman" w:hAnsi="Times New Roman"/>
                <w:sz w:val="24"/>
                <w:lang w:val="sk-SK"/>
              </w:rPr>
              <w:t>.</w:t>
            </w:r>
            <w:r w:rsidRPr="005F703B">
              <w:rPr>
                <w:rFonts w:ascii="Times New Roman" w:hAnsi="Times New Roman"/>
                <w:sz w:val="24"/>
                <w:lang w:val="sk-SK"/>
              </w:rPr>
              <w:t xml:space="preserve"> (53</w:t>
            </w:r>
            <w:r w:rsidR="00053CED">
              <w:rPr>
                <w:rFonts w:ascii="Times New Roman" w:hAnsi="Times New Roman"/>
                <w:sz w:val="24"/>
                <w:lang w:val="sk-SK"/>
              </w:rPr>
              <w:t> </w:t>
            </w:r>
            <w:r w:rsidRPr="005F703B">
              <w:rPr>
                <w:rFonts w:ascii="Times New Roman" w:hAnsi="Times New Roman"/>
                <w:sz w:val="24"/>
                <w:lang w:val="sk-SK"/>
              </w:rPr>
              <w:t>662</w:t>
            </w:r>
            <w:r w:rsidR="00053CED">
              <w:rPr>
                <w:rFonts w:ascii="Times New Roman" w:hAnsi="Times New Roman"/>
                <w:sz w:val="24"/>
                <w:lang w:val="sk-SK"/>
              </w:rPr>
              <w:t xml:space="preserve"> </w:t>
            </w:r>
            <w:r w:rsidRPr="005F703B">
              <w:rPr>
                <w:rFonts w:ascii="Times New Roman" w:hAnsi="Times New Roman"/>
                <w:sz w:val="24"/>
                <w:lang w:val="sk-SK"/>
              </w:rPr>
              <w:t>+</w:t>
            </w:r>
            <w:r w:rsidR="00053CED">
              <w:rPr>
                <w:rFonts w:ascii="Times New Roman" w:hAnsi="Times New Roman"/>
                <w:sz w:val="24"/>
                <w:lang w:val="sk-SK"/>
              </w:rPr>
              <w:t xml:space="preserve"> </w:t>
            </w:r>
            <w:r w:rsidRPr="005F703B">
              <w:rPr>
                <w:rFonts w:ascii="Times New Roman" w:hAnsi="Times New Roman"/>
                <w:sz w:val="24"/>
                <w:lang w:val="sk-SK"/>
              </w:rPr>
              <w:t>4</w:t>
            </w:r>
            <w:r w:rsidR="00053CED">
              <w:rPr>
                <w:rFonts w:ascii="Times New Roman" w:hAnsi="Times New Roman"/>
                <w:sz w:val="24"/>
                <w:lang w:val="sk-SK"/>
              </w:rPr>
              <w:t xml:space="preserve"> </w:t>
            </w:r>
            <w:r w:rsidRPr="005F703B">
              <w:rPr>
                <w:rFonts w:ascii="Times New Roman" w:hAnsi="Times New Roman"/>
                <w:sz w:val="24"/>
                <w:lang w:val="sk-SK"/>
              </w:rPr>
              <w:t>058= 57</w:t>
            </w:r>
            <w:r w:rsidR="00053CED">
              <w:rPr>
                <w:rFonts w:ascii="Times New Roman" w:hAnsi="Times New Roman"/>
                <w:sz w:val="24"/>
                <w:lang w:val="sk-SK"/>
              </w:rPr>
              <w:t> </w:t>
            </w:r>
            <w:r w:rsidRPr="005F703B">
              <w:rPr>
                <w:rFonts w:ascii="Times New Roman" w:hAnsi="Times New Roman"/>
                <w:sz w:val="24"/>
                <w:lang w:val="sk-SK"/>
              </w:rPr>
              <w:t>720</w:t>
            </w:r>
            <w:r w:rsidR="00053CED">
              <w:rPr>
                <w:rFonts w:ascii="Times New Roman" w:hAnsi="Times New Roman"/>
                <w:sz w:val="24"/>
                <w:lang w:val="sk-SK"/>
              </w:rPr>
              <w:t xml:space="preserve"> licencií Spoločenstva</w:t>
            </w:r>
            <w:r w:rsidRPr="005F703B">
              <w:rPr>
                <w:rFonts w:ascii="Times New Roman" w:hAnsi="Times New Roman"/>
                <w:sz w:val="24"/>
                <w:lang w:val="sk-SK"/>
              </w:rPr>
              <w:t xml:space="preserve">, </w:t>
            </w:r>
            <w:r w:rsidR="00053CED">
              <w:rPr>
                <w:rFonts w:ascii="Times New Roman" w:hAnsi="Times New Roman"/>
                <w:sz w:val="24"/>
                <w:lang w:val="sk-SK"/>
              </w:rPr>
              <w:t xml:space="preserve">z toho </w:t>
            </w:r>
            <w:r w:rsidRPr="005F703B">
              <w:rPr>
                <w:rFonts w:ascii="Times New Roman" w:hAnsi="Times New Roman"/>
                <w:sz w:val="24"/>
                <w:lang w:val="sk-SK"/>
              </w:rPr>
              <w:t>50</w:t>
            </w:r>
            <w:r w:rsidR="00053CED">
              <w:rPr>
                <w:rFonts w:ascii="Times New Roman" w:hAnsi="Times New Roman"/>
                <w:sz w:val="24"/>
                <w:lang w:val="sk-SK"/>
              </w:rPr>
              <w:t xml:space="preserve"> </w:t>
            </w:r>
            <w:r w:rsidRPr="005F703B">
              <w:rPr>
                <w:rFonts w:ascii="Times New Roman" w:hAnsi="Times New Roman"/>
                <w:sz w:val="24"/>
                <w:lang w:val="sk-SK"/>
              </w:rPr>
              <w:t xml:space="preserve">% </w:t>
            </w:r>
            <w:r w:rsidR="00053CED">
              <w:rPr>
                <w:rFonts w:ascii="Times New Roman" w:hAnsi="Times New Roman"/>
                <w:sz w:val="24"/>
                <w:lang w:val="sk-SK"/>
              </w:rPr>
              <w:t>predstavuje</w:t>
            </w:r>
            <w:r w:rsidR="00053CED" w:rsidRPr="005F703B">
              <w:rPr>
                <w:rFonts w:ascii="Times New Roman" w:hAnsi="Times New Roman"/>
                <w:sz w:val="24"/>
                <w:lang w:val="sk-SK"/>
              </w:rPr>
              <w:t xml:space="preserve"> </w:t>
            </w:r>
            <w:r w:rsidRPr="005F703B">
              <w:rPr>
                <w:rFonts w:ascii="Times New Roman" w:hAnsi="Times New Roman"/>
                <w:sz w:val="24"/>
                <w:lang w:val="sk-SK"/>
              </w:rPr>
              <w:t>28</w:t>
            </w:r>
            <w:r w:rsidR="00053CED">
              <w:rPr>
                <w:rFonts w:ascii="Times New Roman" w:hAnsi="Times New Roman"/>
                <w:sz w:val="24"/>
                <w:lang w:val="sk-SK"/>
              </w:rPr>
              <w:t> </w:t>
            </w:r>
            <w:r w:rsidRPr="005F703B">
              <w:rPr>
                <w:rFonts w:ascii="Times New Roman" w:hAnsi="Times New Roman"/>
                <w:sz w:val="24"/>
                <w:lang w:val="sk-SK"/>
              </w:rPr>
              <w:t>860</w:t>
            </w:r>
            <w:r w:rsidR="00053CED">
              <w:rPr>
                <w:rFonts w:ascii="Times New Roman" w:hAnsi="Times New Roman"/>
                <w:sz w:val="24"/>
                <w:lang w:val="sk-SK"/>
              </w:rPr>
              <w:t>; Výpočet nákladov:</w:t>
            </w:r>
            <w:r w:rsidRPr="005F703B">
              <w:rPr>
                <w:rFonts w:ascii="Times New Roman" w:hAnsi="Times New Roman"/>
                <w:sz w:val="24"/>
                <w:lang w:val="sk-SK"/>
              </w:rPr>
              <w:t xml:space="preserve"> </w:t>
            </w:r>
            <w:r w:rsidR="00053CED">
              <w:rPr>
                <w:rFonts w:ascii="Times New Roman" w:hAnsi="Times New Roman"/>
                <w:sz w:val="24"/>
                <w:lang w:val="sk-SK"/>
              </w:rPr>
              <w:t xml:space="preserve">28 860 x </w:t>
            </w:r>
            <w:r w:rsidRPr="005F703B">
              <w:rPr>
                <w:rFonts w:ascii="Times New Roman" w:hAnsi="Times New Roman"/>
                <w:sz w:val="24"/>
                <w:lang w:val="sk-SK"/>
              </w:rPr>
              <w:t>1100 eur = 31 746 000 eur ).</w:t>
            </w:r>
          </w:p>
          <w:p w:rsidR="00A42EB4" w:rsidRPr="005F703B" w:rsidRDefault="00A42EB4" w:rsidP="00D63EB3">
            <w:pPr>
              <w:spacing w:before="0"/>
              <w:jc w:val="both"/>
              <w:rPr>
                <w:rFonts w:ascii="Times New Roman" w:hAnsi="Times New Roman"/>
                <w:sz w:val="24"/>
                <w:lang w:val="sk-SK"/>
              </w:rPr>
            </w:pPr>
          </w:p>
          <w:p w:rsidR="00CA629A" w:rsidRPr="00CA629A" w:rsidRDefault="00A42EB4" w:rsidP="00CA629A">
            <w:pPr>
              <w:spacing w:before="0"/>
              <w:jc w:val="both"/>
              <w:rPr>
                <w:rFonts w:ascii="Times New Roman" w:hAnsi="Times New Roman"/>
                <w:sz w:val="24"/>
                <w:lang w:val="sk-SK"/>
              </w:rPr>
            </w:pPr>
            <w:r w:rsidRPr="005F703B">
              <w:rPr>
                <w:rFonts w:ascii="Times New Roman" w:hAnsi="Times New Roman"/>
                <w:sz w:val="24"/>
                <w:lang w:val="sk-SK"/>
              </w:rPr>
              <w:t>Výmena tachografov bude mať negatívne dopady pre dopravné spoločnosti</w:t>
            </w:r>
            <w:r w:rsidR="00053CED">
              <w:rPr>
                <w:rFonts w:ascii="Times New Roman" w:hAnsi="Times New Roman"/>
                <w:sz w:val="24"/>
                <w:lang w:val="sk-SK"/>
              </w:rPr>
              <w:t>,</w:t>
            </w:r>
            <w:r w:rsidRPr="005F703B">
              <w:rPr>
                <w:rFonts w:ascii="Times New Roman" w:hAnsi="Times New Roman"/>
                <w:sz w:val="24"/>
                <w:lang w:val="sk-SK"/>
              </w:rPr>
              <w:t xml:space="preserve"> avšak naopak pozitívne dopady to môže mať pre podnikateľské subjekty</w:t>
            </w:r>
            <w:r w:rsidR="00CA629A">
              <w:rPr>
                <w:rFonts w:ascii="Times New Roman" w:hAnsi="Times New Roman"/>
                <w:sz w:val="24"/>
                <w:lang w:val="sk-SK"/>
              </w:rPr>
              <w:t xml:space="preserve"> </w:t>
            </w:r>
            <w:r w:rsidR="00CA629A" w:rsidRPr="00CA629A">
              <w:rPr>
                <w:rFonts w:ascii="Times New Roman" w:hAnsi="Times New Roman"/>
                <w:sz w:val="24"/>
                <w:lang w:val="sk-SK"/>
              </w:rPr>
              <w:t xml:space="preserve">(vrátane MSP) </w:t>
            </w:r>
            <w:r w:rsidRPr="005F703B">
              <w:rPr>
                <w:rFonts w:ascii="Times New Roman" w:hAnsi="Times New Roman"/>
                <w:sz w:val="24"/>
                <w:lang w:val="sk-SK"/>
              </w:rPr>
              <w:t xml:space="preserve">zabezpečujúce overovanie a výmenu tachografov. </w:t>
            </w:r>
            <w:r w:rsidR="00CA629A" w:rsidRPr="00CA629A">
              <w:rPr>
                <w:rFonts w:ascii="Times New Roman" w:hAnsi="Times New Roman"/>
                <w:sz w:val="24"/>
                <w:lang w:val="sk-SK"/>
              </w:rPr>
              <w:t xml:space="preserve">Ak odhadujeme cenu za montáž  a cenu za overenie záznamového zariadenia vo výške cca 250 eur/vozidlo tak pozitívne dopady na 28 860 vozidiel pre podnikateľské subjekty sú vo výške 7 215 000 eur. </w:t>
            </w:r>
          </w:p>
          <w:p w:rsidR="00CA629A" w:rsidRDefault="00CA629A" w:rsidP="00D63EB3">
            <w:pPr>
              <w:spacing w:before="0"/>
              <w:jc w:val="both"/>
              <w:rPr>
                <w:rFonts w:ascii="Times New Roman" w:hAnsi="Times New Roman"/>
                <w:sz w:val="24"/>
                <w:lang w:val="sk-SK"/>
              </w:rPr>
            </w:pPr>
          </w:p>
          <w:p w:rsidR="00A42EB4" w:rsidRPr="005F703B" w:rsidRDefault="00A42EB4" w:rsidP="00D63EB3">
            <w:pPr>
              <w:spacing w:before="0"/>
              <w:jc w:val="both"/>
              <w:rPr>
                <w:rFonts w:ascii="Times New Roman" w:hAnsi="Times New Roman"/>
                <w:sz w:val="24"/>
                <w:lang w:val="sk-SK"/>
              </w:rPr>
            </w:pPr>
            <w:r w:rsidRPr="005F703B">
              <w:rPr>
                <w:rFonts w:ascii="Times New Roman" w:hAnsi="Times New Roman"/>
                <w:sz w:val="24"/>
                <w:lang w:val="sk-SK"/>
              </w:rPr>
              <w:t xml:space="preserve">Vzhľadom </w:t>
            </w:r>
            <w:r w:rsidR="00053CED">
              <w:rPr>
                <w:rFonts w:ascii="Times New Roman" w:hAnsi="Times New Roman"/>
                <w:sz w:val="24"/>
                <w:lang w:val="sk-SK"/>
              </w:rPr>
              <w:t xml:space="preserve">na </w:t>
            </w:r>
            <w:r w:rsidRPr="005F703B">
              <w:rPr>
                <w:rFonts w:ascii="Times New Roman" w:hAnsi="Times New Roman"/>
                <w:sz w:val="24"/>
                <w:lang w:val="sk-SK"/>
              </w:rPr>
              <w:t xml:space="preserve">vysoký počet vozidiel podliehajúcich výmene môžu nastať problémy so zvládnutím kapacitných možností pracovísk zabezpečujúcich výmenu. </w:t>
            </w:r>
          </w:p>
          <w:p w:rsidR="00A42EB4" w:rsidRPr="005F703B" w:rsidRDefault="00A42EB4" w:rsidP="00D63EB3">
            <w:pPr>
              <w:tabs>
                <w:tab w:val="left" w:pos="1134"/>
              </w:tabs>
              <w:spacing w:before="0"/>
              <w:contextualSpacing/>
              <w:jc w:val="both"/>
              <w:rPr>
                <w:rFonts w:ascii="Times New Roman" w:hAnsi="Times New Roman"/>
                <w:sz w:val="24"/>
                <w:highlight w:val="yellow"/>
                <w:lang w:val="sk-SK"/>
              </w:rPr>
            </w:pPr>
          </w:p>
          <w:tbl>
            <w:tblPr>
              <w:tblStyle w:val="Mriekatabuky1"/>
              <w:tblW w:w="0" w:type="auto"/>
              <w:tblInd w:w="0" w:type="dxa"/>
              <w:tblLook w:val="04A0" w:firstRow="1" w:lastRow="0" w:firstColumn="1" w:lastColumn="0" w:noHBand="0" w:noVBand="1"/>
            </w:tblPr>
            <w:tblGrid>
              <w:gridCol w:w="2955"/>
              <w:gridCol w:w="2938"/>
              <w:gridCol w:w="2943"/>
            </w:tblGrid>
            <w:tr w:rsidR="00A42EB4" w:rsidRPr="005F703B" w:rsidTr="00D63EB3">
              <w:tc>
                <w:tcPr>
                  <w:tcW w:w="2955" w:type="dxa"/>
                  <w:tcBorders>
                    <w:top w:val="single" w:sz="4" w:space="0" w:color="auto"/>
                    <w:left w:val="single" w:sz="4" w:space="0" w:color="auto"/>
                    <w:bottom w:val="single" w:sz="4" w:space="0" w:color="auto"/>
                    <w:right w:val="single" w:sz="4" w:space="0" w:color="auto"/>
                  </w:tcBorders>
                  <w:hideMark/>
                </w:tcPr>
                <w:p w:rsidR="00A42EB4" w:rsidRPr="005F703B" w:rsidRDefault="00A42EB4" w:rsidP="00D63EB3">
                  <w:pPr>
                    <w:spacing w:before="0"/>
                    <w:rPr>
                      <w:rFonts w:ascii="Times New Roman" w:hAnsi="Times New Roman"/>
                      <w:i/>
                      <w:szCs w:val="20"/>
                      <w:lang w:val="sk-SK" w:eastAsia="sk-SK"/>
                    </w:rPr>
                  </w:pPr>
                  <w:r w:rsidRPr="005F703B">
                    <w:rPr>
                      <w:rFonts w:ascii="Times New Roman" w:hAnsi="Times New Roman"/>
                      <w:i/>
                      <w:szCs w:val="20"/>
                      <w:lang w:val="sk-SK" w:eastAsia="sk-SK"/>
                    </w:rPr>
                    <w:t>Nepriame finančné náklady</w:t>
                  </w:r>
                </w:p>
              </w:tc>
              <w:tc>
                <w:tcPr>
                  <w:tcW w:w="2938" w:type="dxa"/>
                  <w:tcBorders>
                    <w:top w:val="single" w:sz="4" w:space="0" w:color="auto"/>
                    <w:left w:val="single" w:sz="4" w:space="0" w:color="auto"/>
                    <w:bottom w:val="single" w:sz="4" w:space="0" w:color="auto"/>
                    <w:right w:val="single" w:sz="4" w:space="0" w:color="auto"/>
                  </w:tcBorders>
                  <w:hideMark/>
                </w:tcPr>
                <w:p w:rsidR="00A42EB4" w:rsidRPr="005F703B" w:rsidRDefault="00A42EB4" w:rsidP="00D63EB3">
                  <w:pPr>
                    <w:spacing w:before="0"/>
                    <w:jc w:val="center"/>
                    <w:rPr>
                      <w:rFonts w:ascii="Times New Roman" w:hAnsi="Times New Roman"/>
                      <w:i/>
                      <w:szCs w:val="20"/>
                      <w:lang w:val="sk-SK" w:eastAsia="sk-SK"/>
                    </w:rPr>
                  </w:pPr>
                  <w:r w:rsidRPr="005F703B">
                    <w:rPr>
                      <w:rFonts w:ascii="Times New Roman" w:hAnsi="Times New Roman"/>
                      <w:i/>
                      <w:szCs w:val="20"/>
                      <w:lang w:val="sk-SK" w:eastAsia="sk-SK"/>
                    </w:rPr>
                    <w:t>Náklady</w:t>
                  </w:r>
                </w:p>
              </w:tc>
              <w:tc>
                <w:tcPr>
                  <w:tcW w:w="2943" w:type="dxa"/>
                  <w:tcBorders>
                    <w:top w:val="single" w:sz="4" w:space="0" w:color="auto"/>
                    <w:left w:val="single" w:sz="4" w:space="0" w:color="auto"/>
                    <w:bottom w:val="single" w:sz="4" w:space="0" w:color="auto"/>
                    <w:right w:val="single" w:sz="4" w:space="0" w:color="auto"/>
                  </w:tcBorders>
                </w:tcPr>
                <w:p w:rsidR="00A42EB4" w:rsidRPr="005F703B" w:rsidRDefault="00A42EB4" w:rsidP="00D63EB3">
                  <w:pPr>
                    <w:spacing w:before="0"/>
                    <w:jc w:val="center"/>
                    <w:rPr>
                      <w:rFonts w:ascii="Times New Roman" w:hAnsi="Times New Roman"/>
                      <w:i/>
                      <w:szCs w:val="20"/>
                      <w:lang w:val="sk-SK" w:eastAsia="sk-SK"/>
                    </w:rPr>
                  </w:pPr>
                  <w:r w:rsidRPr="005F703B">
                    <w:rPr>
                      <w:rFonts w:ascii="Times New Roman" w:hAnsi="Times New Roman"/>
                      <w:i/>
                      <w:szCs w:val="20"/>
                      <w:lang w:val="sk-SK" w:eastAsia="sk-SK"/>
                    </w:rPr>
                    <w:t>Náklady na podnikateľské prostredie</w:t>
                  </w:r>
                </w:p>
                <w:p w:rsidR="00A42EB4" w:rsidRPr="005F703B" w:rsidRDefault="00A42EB4" w:rsidP="00D63EB3">
                  <w:pPr>
                    <w:spacing w:before="0"/>
                    <w:jc w:val="center"/>
                    <w:rPr>
                      <w:rFonts w:ascii="Times New Roman" w:hAnsi="Times New Roman"/>
                      <w:i/>
                      <w:szCs w:val="20"/>
                      <w:lang w:val="sk-SK" w:eastAsia="sk-SK"/>
                    </w:rPr>
                  </w:pPr>
                </w:p>
              </w:tc>
            </w:tr>
            <w:tr w:rsidR="00A42EB4" w:rsidRPr="005F703B" w:rsidTr="00D63EB3">
              <w:tc>
                <w:tcPr>
                  <w:tcW w:w="2955" w:type="dxa"/>
                  <w:tcBorders>
                    <w:top w:val="single" w:sz="4" w:space="0" w:color="auto"/>
                    <w:left w:val="single" w:sz="4" w:space="0" w:color="auto"/>
                    <w:bottom w:val="single" w:sz="4" w:space="0" w:color="auto"/>
                    <w:right w:val="single" w:sz="4" w:space="0" w:color="auto"/>
                  </w:tcBorders>
                  <w:hideMark/>
                </w:tcPr>
                <w:p w:rsidR="00A42EB4" w:rsidRPr="005F703B" w:rsidRDefault="00A42EB4" w:rsidP="00D63EB3">
                  <w:pPr>
                    <w:spacing w:before="0"/>
                    <w:jc w:val="both"/>
                    <w:rPr>
                      <w:rFonts w:ascii="Times New Roman" w:hAnsi="Times New Roman"/>
                      <w:i/>
                      <w:szCs w:val="20"/>
                      <w:lang w:val="sk-SK" w:eastAsia="sk-SK"/>
                    </w:rPr>
                  </w:pPr>
                  <w:r w:rsidRPr="005F703B">
                    <w:rPr>
                      <w:rFonts w:ascii="Times New Roman" w:hAnsi="Times New Roman"/>
                      <w:i/>
                      <w:szCs w:val="20"/>
                      <w:lang w:val="sk-SK" w:eastAsia="sk-SK"/>
                    </w:rPr>
                    <w:t>Pravidelný odpočinok mimo vozidla</w:t>
                  </w:r>
                </w:p>
              </w:tc>
              <w:tc>
                <w:tcPr>
                  <w:tcW w:w="2938" w:type="dxa"/>
                  <w:tcBorders>
                    <w:top w:val="single" w:sz="4" w:space="0" w:color="auto"/>
                    <w:left w:val="single" w:sz="4" w:space="0" w:color="auto"/>
                    <w:bottom w:val="single" w:sz="4" w:space="0" w:color="auto"/>
                    <w:right w:val="single" w:sz="4" w:space="0" w:color="auto"/>
                  </w:tcBorders>
                  <w:hideMark/>
                </w:tcPr>
                <w:p w:rsidR="00A42EB4" w:rsidRPr="005F703B" w:rsidRDefault="00A42EB4" w:rsidP="00D63EB3">
                  <w:pPr>
                    <w:spacing w:before="0"/>
                    <w:jc w:val="center"/>
                    <w:rPr>
                      <w:rFonts w:ascii="Times New Roman" w:hAnsi="Times New Roman"/>
                      <w:i/>
                      <w:szCs w:val="20"/>
                      <w:lang w:val="sk-SK" w:eastAsia="sk-SK"/>
                    </w:rPr>
                  </w:pPr>
                  <w:r w:rsidRPr="005F703B">
                    <w:rPr>
                      <w:rFonts w:ascii="Times New Roman" w:hAnsi="Times New Roman"/>
                      <w:i/>
                      <w:szCs w:val="20"/>
                      <w:lang w:val="sk-SK" w:eastAsia="sk-SK"/>
                    </w:rPr>
                    <w:t>250 eur/ vozidlo</w:t>
                  </w:r>
                </w:p>
              </w:tc>
              <w:tc>
                <w:tcPr>
                  <w:tcW w:w="2943" w:type="dxa"/>
                  <w:tcBorders>
                    <w:top w:val="single" w:sz="4" w:space="0" w:color="auto"/>
                    <w:left w:val="single" w:sz="4" w:space="0" w:color="auto"/>
                    <w:bottom w:val="single" w:sz="4" w:space="0" w:color="auto"/>
                    <w:right w:val="single" w:sz="4" w:space="0" w:color="auto"/>
                  </w:tcBorders>
                  <w:hideMark/>
                </w:tcPr>
                <w:p w:rsidR="00A42EB4" w:rsidRPr="005F703B" w:rsidRDefault="00A42EB4" w:rsidP="00D63EB3">
                  <w:pPr>
                    <w:spacing w:before="0"/>
                    <w:jc w:val="center"/>
                    <w:rPr>
                      <w:rFonts w:ascii="Times New Roman" w:hAnsi="Times New Roman"/>
                      <w:i/>
                      <w:szCs w:val="20"/>
                      <w:lang w:val="sk-SK" w:eastAsia="sk-SK"/>
                    </w:rPr>
                  </w:pPr>
                  <w:r w:rsidRPr="005F703B">
                    <w:rPr>
                      <w:rFonts w:ascii="Times New Roman" w:hAnsi="Times New Roman"/>
                      <w:i/>
                      <w:szCs w:val="20"/>
                      <w:lang w:val="sk-SK" w:eastAsia="sk-SK"/>
                    </w:rPr>
                    <w:t>17 316 000 eur /5</w:t>
                  </w:r>
                  <w:r w:rsidR="00053CED">
                    <w:rPr>
                      <w:rFonts w:ascii="Times New Roman" w:hAnsi="Times New Roman"/>
                      <w:i/>
                      <w:szCs w:val="20"/>
                      <w:lang w:val="sk-SK" w:eastAsia="sk-SK"/>
                    </w:rPr>
                    <w:t xml:space="preserve"> </w:t>
                  </w:r>
                  <w:r w:rsidRPr="005F703B">
                    <w:rPr>
                      <w:rFonts w:ascii="Times New Roman" w:hAnsi="Times New Roman"/>
                      <w:i/>
                      <w:szCs w:val="20"/>
                      <w:lang w:val="sk-SK" w:eastAsia="sk-SK"/>
                    </w:rPr>
                    <w:t>772 vozid</w:t>
                  </w:r>
                  <w:r w:rsidR="00053CED">
                    <w:rPr>
                      <w:rFonts w:ascii="Times New Roman" w:hAnsi="Times New Roman"/>
                      <w:i/>
                      <w:szCs w:val="20"/>
                      <w:lang w:val="sk-SK" w:eastAsia="sk-SK"/>
                    </w:rPr>
                    <w:t>i</w:t>
                  </w:r>
                  <w:r w:rsidRPr="005F703B">
                    <w:rPr>
                      <w:rFonts w:ascii="Times New Roman" w:hAnsi="Times New Roman"/>
                      <w:i/>
                      <w:szCs w:val="20"/>
                      <w:lang w:val="sk-SK" w:eastAsia="sk-SK"/>
                    </w:rPr>
                    <w:t>el/</w:t>
                  </w:r>
                  <w:r w:rsidR="00053CED">
                    <w:rPr>
                      <w:rFonts w:ascii="Times New Roman" w:hAnsi="Times New Roman"/>
                      <w:i/>
                      <w:szCs w:val="20"/>
                      <w:lang w:val="sk-SK" w:eastAsia="sk-SK"/>
                    </w:rPr>
                    <w:t xml:space="preserve"> </w:t>
                  </w:r>
                  <w:r w:rsidRPr="005F703B">
                    <w:rPr>
                      <w:rFonts w:ascii="Times New Roman" w:hAnsi="Times New Roman"/>
                      <w:i/>
                      <w:szCs w:val="20"/>
                      <w:lang w:val="sk-SK" w:eastAsia="sk-SK"/>
                    </w:rPr>
                    <w:t xml:space="preserve">rok </w:t>
                  </w:r>
                </w:p>
              </w:tc>
            </w:tr>
            <w:tr w:rsidR="00A42EB4" w:rsidRPr="005F703B" w:rsidTr="00D63EB3">
              <w:tc>
                <w:tcPr>
                  <w:tcW w:w="2955" w:type="dxa"/>
                  <w:tcBorders>
                    <w:top w:val="single" w:sz="4" w:space="0" w:color="auto"/>
                    <w:left w:val="single" w:sz="4" w:space="0" w:color="auto"/>
                    <w:bottom w:val="single" w:sz="4" w:space="0" w:color="auto"/>
                    <w:right w:val="single" w:sz="4" w:space="0" w:color="auto"/>
                  </w:tcBorders>
                  <w:hideMark/>
                </w:tcPr>
                <w:p w:rsidR="00A42EB4" w:rsidRPr="005F703B" w:rsidRDefault="00A42EB4" w:rsidP="00D63EB3">
                  <w:pPr>
                    <w:spacing w:before="0"/>
                    <w:jc w:val="both"/>
                    <w:rPr>
                      <w:rFonts w:ascii="Times New Roman" w:hAnsi="Times New Roman"/>
                      <w:i/>
                      <w:szCs w:val="20"/>
                      <w:lang w:val="sk-SK" w:eastAsia="sk-SK"/>
                    </w:rPr>
                  </w:pPr>
                  <w:r w:rsidRPr="005F703B">
                    <w:rPr>
                      <w:rFonts w:ascii="Times New Roman" w:hAnsi="Times New Roman"/>
                      <w:i/>
                      <w:szCs w:val="20"/>
                      <w:lang w:val="sk-SK" w:eastAsia="sk-SK"/>
                    </w:rPr>
                    <w:t>Vybavenie inteligentným tachografom druhej generácie</w:t>
                  </w:r>
                </w:p>
              </w:tc>
              <w:tc>
                <w:tcPr>
                  <w:tcW w:w="2938" w:type="dxa"/>
                  <w:tcBorders>
                    <w:top w:val="single" w:sz="4" w:space="0" w:color="auto"/>
                    <w:left w:val="single" w:sz="4" w:space="0" w:color="auto"/>
                    <w:bottom w:val="single" w:sz="4" w:space="0" w:color="auto"/>
                    <w:right w:val="single" w:sz="4" w:space="0" w:color="auto"/>
                  </w:tcBorders>
                  <w:hideMark/>
                </w:tcPr>
                <w:p w:rsidR="00A42EB4" w:rsidRPr="005F703B" w:rsidRDefault="00A42EB4" w:rsidP="00D63EB3">
                  <w:pPr>
                    <w:spacing w:before="0"/>
                    <w:jc w:val="center"/>
                    <w:rPr>
                      <w:rFonts w:ascii="Times New Roman" w:hAnsi="Times New Roman"/>
                      <w:i/>
                      <w:szCs w:val="20"/>
                      <w:lang w:val="sk-SK" w:eastAsia="sk-SK"/>
                    </w:rPr>
                  </w:pPr>
                  <w:r w:rsidRPr="005F703B">
                    <w:rPr>
                      <w:rFonts w:ascii="Times New Roman" w:hAnsi="Times New Roman"/>
                      <w:i/>
                      <w:szCs w:val="20"/>
                      <w:lang w:val="sk-SK" w:eastAsia="sk-SK"/>
                    </w:rPr>
                    <w:t>1 100 eur/vozidlo</w:t>
                  </w:r>
                </w:p>
              </w:tc>
              <w:tc>
                <w:tcPr>
                  <w:tcW w:w="2943" w:type="dxa"/>
                  <w:tcBorders>
                    <w:top w:val="single" w:sz="4" w:space="0" w:color="auto"/>
                    <w:left w:val="single" w:sz="4" w:space="0" w:color="auto"/>
                    <w:bottom w:val="single" w:sz="4" w:space="0" w:color="auto"/>
                    <w:right w:val="single" w:sz="4" w:space="0" w:color="auto"/>
                  </w:tcBorders>
                  <w:hideMark/>
                </w:tcPr>
                <w:p w:rsidR="00A42EB4" w:rsidRPr="005F703B" w:rsidRDefault="00A42EB4" w:rsidP="00D63EB3">
                  <w:pPr>
                    <w:spacing w:before="0"/>
                    <w:jc w:val="center"/>
                    <w:rPr>
                      <w:rFonts w:ascii="Times New Roman" w:hAnsi="Times New Roman"/>
                      <w:i/>
                      <w:szCs w:val="20"/>
                      <w:lang w:val="sk-SK" w:eastAsia="sk-SK"/>
                    </w:rPr>
                  </w:pPr>
                  <w:r w:rsidRPr="005F703B">
                    <w:rPr>
                      <w:rFonts w:ascii="Times New Roman" w:hAnsi="Times New Roman"/>
                      <w:i/>
                      <w:szCs w:val="20"/>
                      <w:lang w:val="sk-SK" w:eastAsia="sk-SK"/>
                    </w:rPr>
                    <w:t>31 746 000 eur/ 28 860 vozidiel</w:t>
                  </w:r>
                  <w:r w:rsidR="00053CED">
                    <w:rPr>
                      <w:rFonts w:ascii="Times New Roman" w:hAnsi="Times New Roman"/>
                      <w:i/>
                      <w:szCs w:val="20"/>
                      <w:lang w:val="sk-SK" w:eastAsia="sk-SK"/>
                    </w:rPr>
                    <w:t>/ rok</w:t>
                  </w:r>
                </w:p>
              </w:tc>
            </w:tr>
            <w:tr w:rsidR="00A42EB4" w:rsidRPr="005F703B" w:rsidTr="00D63EB3">
              <w:tc>
                <w:tcPr>
                  <w:tcW w:w="2955" w:type="dxa"/>
                  <w:tcBorders>
                    <w:top w:val="single" w:sz="4" w:space="0" w:color="auto"/>
                    <w:left w:val="single" w:sz="4" w:space="0" w:color="auto"/>
                    <w:bottom w:val="single" w:sz="4" w:space="0" w:color="auto"/>
                    <w:right w:val="single" w:sz="4" w:space="0" w:color="auto"/>
                  </w:tcBorders>
                  <w:hideMark/>
                </w:tcPr>
                <w:p w:rsidR="00A42EB4" w:rsidRPr="005F703B" w:rsidRDefault="00A42EB4" w:rsidP="00D63EB3">
                  <w:pPr>
                    <w:spacing w:before="0"/>
                    <w:jc w:val="both"/>
                    <w:rPr>
                      <w:rFonts w:ascii="Times New Roman" w:hAnsi="Times New Roman"/>
                      <w:b/>
                      <w:i/>
                      <w:szCs w:val="20"/>
                      <w:lang w:val="sk-SK" w:eastAsia="sk-SK"/>
                    </w:rPr>
                  </w:pPr>
                  <w:r w:rsidRPr="005F703B">
                    <w:rPr>
                      <w:rFonts w:ascii="Times New Roman" w:hAnsi="Times New Roman"/>
                      <w:b/>
                      <w:i/>
                      <w:szCs w:val="20"/>
                      <w:lang w:val="sk-SK" w:eastAsia="sk-SK"/>
                    </w:rPr>
                    <w:t xml:space="preserve">Celkové nepriame finančné náklady  </w:t>
                  </w:r>
                </w:p>
              </w:tc>
              <w:tc>
                <w:tcPr>
                  <w:tcW w:w="2938" w:type="dxa"/>
                  <w:tcBorders>
                    <w:top w:val="single" w:sz="4" w:space="0" w:color="auto"/>
                    <w:left w:val="single" w:sz="4" w:space="0" w:color="auto"/>
                    <w:bottom w:val="single" w:sz="4" w:space="0" w:color="auto"/>
                    <w:right w:val="single" w:sz="4" w:space="0" w:color="auto"/>
                  </w:tcBorders>
                  <w:hideMark/>
                </w:tcPr>
                <w:p w:rsidR="00A42EB4" w:rsidRPr="005F703B" w:rsidRDefault="00A42EB4" w:rsidP="00D63EB3">
                  <w:pPr>
                    <w:spacing w:before="0"/>
                    <w:jc w:val="center"/>
                    <w:rPr>
                      <w:rFonts w:ascii="Times New Roman" w:hAnsi="Times New Roman"/>
                      <w:b/>
                      <w:i/>
                      <w:szCs w:val="20"/>
                      <w:lang w:val="sk-SK" w:eastAsia="sk-SK"/>
                    </w:rPr>
                  </w:pPr>
                  <w:r w:rsidRPr="005F703B">
                    <w:rPr>
                      <w:rFonts w:ascii="Times New Roman" w:hAnsi="Times New Roman"/>
                      <w:b/>
                      <w:i/>
                      <w:szCs w:val="20"/>
                      <w:lang w:val="sk-SK" w:eastAsia="sk-SK"/>
                    </w:rPr>
                    <w:t>1</w:t>
                  </w:r>
                  <w:r w:rsidR="00401AB8">
                    <w:rPr>
                      <w:rFonts w:ascii="Times New Roman" w:hAnsi="Times New Roman"/>
                      <w:b/>
                      <w:i/>
                      <w:szCs w:val="20"/>
                      <w:lang w:val="sk-SK" w:eastAsia="sk-SK"/>
                    </w:rPr>
                    <w:t xml:space="preserve"> </w:t>
                  </w:r>
                  <w:r w:rsidRPr="005F703B">
                    <w:rPr>
                      <w:rFonts w:ascii="Times New Roman" w:hAnsi="Times New Roman"/>
                      <w:b/>
                      <w:i/>
                      <w:szCs w:val="20"/>
                      <w:lang w:val="sk-SK" w:eastAsia="sk-SK"/>
                    </w:rPr>
                    <w:t>350 eur</w:t>
                  </w:r>
                </w:p>
              </w:tc>
              <w:tc>
                <w:tcPr>
                  <w:tcW w:w="2943" w:type="dxa"/>
                  <w:tcBorders>
                    <w:top w:val="single" w:sz="4" w:space="0" w:color="auto"/>
                    <w:left w:val="single" w:sz="4" w:space="0" w:color="auto"/>
                    <w:bottom w:val="single" w:sz="4" w:space="0" w:color="auto"/>
                    <w:right w:val="single" w:sz="4" w:space="0" w:color="auto"/>
                  </w:tcBorders>
                  <w:hideMark/>
                </w:tcPr>
                <w:p w:rsidR="00A42EB4" w:rsidRPr="005F703B" w:rsidRDefault="00A42EB4" w:rsidP="00D63EB3">
                  <w:pPr>
                    <w:spacing w:before="0"/>
                    <w:jc w:val="center"/>
                    <w:rPr>
                      <w:rFonts w:ascii="Times New Roman" w:hAnsi="Times New Roman"/>
                      <w:b/>
                      <w:i/>
                      <w:szCs w:val="20"/>
                      <w:lang w:val="sk-SK" w:eastAsia="sk-SK"/>
                    </w:rPr>
                  </w:pPr>
                  <w:r w:rsidRPr="005F703B">
                    <w:rPr>
                      <w:rFonts w:ascii="Times New Roman" w:hAnsi="Times New Roman"/>
                      <w:b/>
                      <w:i/>
                      <w:szCs w:val="20"/>
                      <w:lang w:val="sk-SK" w:eastAsia="sk-SK"/>
                    </w:rPr>
                    <w:t xml:space="preserve"> 49 062 000 eur</w:t>
                  </w:r>
                </w:p>
              </w:tc>
            </w:tr>
          </w:tbl>
          <w:p w:rsidR="00A42EB4" w:rsidRPr="005F703B" w:rsidRDefault="00A42EB4" w:rsidP="00D63EB3">
            <w:pPr>
              <w:tabs>
                <w:tab w:val="left" w:pos="1134"/>
              </w:tabs>
              <w:spacing w:before="0"/>
              <w:contextualSpacing/>
              <w:jc w:val="both"/>
              <w:rPr>
                <w:rFonts w:ascii="Times New Roman" w:hAnsi="Times New Roman"/>
                <w:sz w:val="24"/>
                <w:highlight w:val="yellow"/>
                <w:lang w:val="sk-SK"/>
              </w:rPr>
            </w:pPr>
          </w:p>
          <w:p w:rsidR="00A42EB4" w:rsidRPr="005F703B" w:rsidRDefault="00A42EB4" w:rsidP="00D63EB3">
            <w:pPr>
              <w:spacing w:before="0"/>
              <w:jc w:val="both"/>
              <w:rPr>
                <w:rFonts w:ascii="Times New Roman" w:hAnsi="Times New Roman"/>
                <w:szCs w:val="20"/>
                <w:highlight w:val="yellow"/>
                <w:lang w:val="sk-SK" w:eastAsia="sk-SK"/>
              </w:rPr>
            </w:pPr>
          </w:p>
          <w:p w:rsidR="00A42EB4" w:rsidRPr="005F703B" w:rsidRDefault="00A42EB4" w:rsidP="00D63EB3">
            <w:pPr>
              <w:spacing w:before="0"/>
              <w:jc w:val="both"/>
              <w:rPr>
                <w:rFonts w:ascii="Times New Roman" w:hAnsi="Times New Roman"/>
                <w:i/>
                <w:sz w:val="24"/>
                <w:highlight w:val="yellow"/>
                <w:lang w:val="sk-SK" w:eastAsia="sk-SK"/>
              </w:rPr>
            </w:pPr>
          </w:p>
        </w:tc>
      </w:tr>
      <w:tr w:rsidR="00A42EB4" w:rsidRPr="005F703B" w:rsidTr="00D63EB3">
        <w:tc>
          <w:tcPr>
            <w:tcW w:w="9062" w:type="dxa"/>
            <w:tcBorders>
              <w:top w:val="single" w:sz="4" w:space="0" w:color="auto"/>
              <w:left w:val="single" w:sz="4" w:space="0" w:color="auto"/>
              <w:bottom w:val="single" w:sz="4" w:space="0" w:color="auto"/>
              <w:right w:val="single" w:sz="4" w:space="0" w:color="auto"/>
            </w:tcBorders>
            <w:hideMark/>
          </w:tcPr>
          <w:p w:rsidR="00A42EB4" w:rsidRPr="005F703B" w:rsidRDefault="00A42EB4" w:rsidP="00D63EB3">
            <w:pPr>
              <w:spacing w:before="0"/>
              <w:rPr>
                <w:rFonts w:ascii="Times New Roman" w:hAnsi="Times New Roman"/>
                <w:b/>
                <w:i/>
                <w:szCs w:val="20"/>
                <w:lang w:val="sk-SK" w:eastAsia="sk-SK"/>
              </w:rPr>
            </w:pPr>
            <w:r w:rsidRPr="005F703B">
              <w:rPr>
                <w:rFonts w:ascii="Times New Roman" w:hAnsi="Times New Roman"/>
                <w:b/>
                <w:i/>
                <w:szCs w:val="20"/>
                <w:lang w:val="sk-SK" w:eastAsia="sk-SK"/>
              </w:rPr>
              <w:lastRenderedPageBreak/>
              <w:t>3.3.3 Administratívne náklady</w:t>
            </w:r>
          </w:p>
          <w:p w:rsidR="00A42EB4" w:rsidRPr="005F703B" w:rsidRDefault="00A42EB4" w:rsidP="00D63EB3">
            <w:pPr>
              <w:spacing w:before="0"/>
              <w:jc w:val="both"/>
              <w:rPr>
                <w:rFonts w:ascii="Times New Roman" w:hAnsi="Times New Roman"/>
                <w:i/>
                <w:szCs w:val="20"/>
                <w:lang w:val="sk-SK" w:eastAsia="sk-SK"/>
              </w:rPr>
            </w:pPr>
            <w:r w:rsidRPr="005F703B">
              <w:rPr>
                <w:rFonts w:ascii="Times New Roman" w:hAnsi="Times New Roman"/>
                <w:i/>
                <w:szCs w:val="20"/>
                <w:lang w:val="sk-SK" w:eastAsia="sk-SK"/>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rsidR="00A42EB4" w:rsidRPr="005F703B" w:rsidTr="00D63EB3">
        <w:tc>
          <w:tcPr>
            <w:tcW w:w="9062" w:type="dxa"/>
            <w:tcBorders>
              <w:top w:val="single" w:sz="4" w:space="0" w:color="auto"/>
              <w:left w:val="single" w:sz="4" w:space="0" w:color="auto"/>
              <w:bottom w:val="single" w:sz="4" w:space="0" w:color="auto"/>
              <w:right w:val="single" w:sz="4" w:space="0" w:color="auto"/>
            </w:tcBorders>
          </w:tcPr>
          <w:p w:rsidR="00A42EB4" w:rsidRPr="005F703B" w:rsidRDefault="00A42EB4" w:rsidP="00D63EB3">
            <w:pPr>
              <w:jc w:val="both"/>
              <w:rPr>
                <w:rFonts w:ascii="Times New Roman" w:hAnsi="Times New Roman"/>
                <w:sz w:val="24"/>
                <w:lang w:val="sk-SK"/>
              </w:rPr>
            </w:pPr>
            <w:r w:rsidRPr="005F703B">
              <w:rPr>
                <w:rFonts w:ascii="Times New Roman" w:hAnsi="Times New Roman"/>
                <w:sz w:val="24"/>
                <w:lang w:val="sk-SK"/>
              </w:rPr>
              <w:t>Právna úprava s účinnosťou od 2. februára 2022 zjednotí pravidlá vysielania vodičov v odvetví cestnej dopravy v rámci Európskej únie. Určí, že medzinárodná doprava v tranzite cez územie členského štátu nepredstavuje vysielanie a zároveň určí, ktoré dopravné činnosti majú výnimku z podmienok vysielania</w:t>
            </w:r>
            <w:r w:rsidR="00401AB8">
              <w:rPr>
                <w:rFonts w:ascii="Times New Roman" w:hAnsi="Times New Roman"/>
                <w:sz w:val="24"/>
                <w:lang w:val="sk-SK"/>
              </w:rPr>
              <w:t>,</w:t>
            </w:r>
            <w:r w:rsidRPr="005F703B">
              <w:rPr>
                <w:rFonts w:ascii="Times New Roman" w:hAnsi="Times New Roman"/>
                <w:sz w:val="24"/>
                <w:lang w:val="sk-SK"/>
              </w:rPr>
              <w:t xml:space="preserve"> a to najmä v súvislosti s bilaterálnymi prepravami medzi členskými štátmi Európskej únie. Kabotážna preprava bude považovaná za vysielanie. </w:t>
            </w:r>
          </w:p>
          <w:p w:rsidR="00A42EB4" w:rsidRPr="005F703B" w:rsidRDefault="00A42EB4" w:rsidP="00D63EB3">
            <w:pPr>
              <w:jc w:val="both"/>
              <w:rPr>
                <w:rFonts w:ascii="Times New Roman" w:hAnsi="Times New Roman" w:cs="Arial"/>
                <w:sz w:val="24"/>
                <w:lang w:val="sk-SK"/>
              </w:rPr>
            </w:pPr>
            <w:r w:rsidRPr="005F703B">
              <w:rPr>
                <w:rFonts w:ascii="Times New Roman" w:hAnsi="Times New Roman"/>
                <w:sz w:val="24"/>
                <w:lang w:val="sk-SK"/>
              </w:rPr>
              <w:t xml:space="preserve">Pozitívom tejto úpravy pre podnikateľské prostredie sú jednotné podmienky v rámci Európskej únie. Členské štáty nebudú vo vyššie uvedených prípadoch zavádzať rôzne národné úpravy, čiže </w:t>
            </w:r>
            <w:r w:rsidR="00A93A85">
              <w:rPr>
                <w:rFonts w:ascii="Times New Roman" w:hAnsi="Times New Roman"/>
                <w:sz w:val="24"/>
                <w:lang w:val="sk-SK"/>
              </w:rPr>
              <w:t xml:space="preserve">sa na </w:t>
            </w:r>
            <w:r w:rsidRPr="005F703B">
              <w:rPr>
                <w:rFonts w:ascii="Times New Roman" w:hAnsi="Times New Roman"/>
                <w:sz w:val="24"/>
                <w:lang w:val="sk-SK"/>
              </w:rPr>
              <w:t xml:space="preserve">časť dopravcov pokiaľ budú vykonávať prepravy v rámci </w:t>
            </w:r>
            <w:r w:rsidRPr="005F703B">
              <w:rPr>
                <w:rFonts w:ascii="Times New Roman" w:hAnsi="Times New Roman"/>
                <w:sz w:val="24"/>
                <w:lang w:val="sk-SK"/>
              </w:rPr>
              <w:lastRenderedPageBreak/>
              <w:t>povolených výnimiek nebudú vzťahovať podmienky vysielania v iných členských štátoch</w:t>
            </w:r>
            <w:r w:rsidR="00A93A85">
              <w:rPr>
                <w:rFonts w:ascii="Times New Roman" w:hAnsi="Times New Roman"/>
                <w:sz w:val="24"/>
                <w:lang w:val="sk-SK"/>
              </w:rPr>
              <w:t xml:space="preserve"> Európskej únie</w:t>
            </w:r>
            <w:r w:rsidRPr="005F703B">
              <w:rPr>
                <w:rFonts w:ascii="Times New Roman" w:hAnsi="Times New Roman"/>
                <w:sz w:val="24"/>
                <w:lang w:val="sk-SK"/>
              </w:rPr>
              <w:t>. Nevýhodou je, že v rámci jednotného trhu ak dopravcovia budú vykonávať prepravy nad rozsah, ktorý im povoľujú výnimky</w:t>
            </w:r>
            <w:r w:rsidR="00A93A85">
              <w:rPr>
                <w:rFonts w:ascii="Times New Roman" w:hAnsi="Times New Roman"/>
                <w:sz w:val="24"/>
                <w:lang w:val="sk-SK"/>
              </w:rPr>
              <w:t>,</w:t>
            </w:r>
            <w:r w:rsidRPr="005F703B">
              <w:rPr>
                <w:rFonts w:ascii="Times New Roman" w:hAnsi="Times New Roman"/>
                <w:sz w:val="24"/>
                <w:lang w:val="sk-SK"/>
              </w:rPr>
              <w:t xml:space="preserve"> budú musieť pred vyslaním nahlásiť a priebežne aktualizovať údaje ohľadom vysielania v systéme IMI. </w:t>
            </w:r>
          </w:p>
          <w:p w:rsidR="00A42EB4" w:rsidRPr="005F703B" w:rsidRDefault="00A42EB4" w:rsidP="00D63EB3">
            <w:pPr>
              <w:jc w:val="both"/>
              <w:rPr>
                <w:rFonts w:ascii="Times New Roman" w:hAnsi="Times New Roman"/>
                <w:sz w:val="24"/>
                <w:lang w:val="sk-SK"/>
              </w:rPr>
            </w:pPr>
          </w:p>
          <w:p w:rsidR="00A42EB4" w:rsidRPr="005F703B" w:rsidRDefault="00A42EB4" w:rsidP="00D63EB3">
            <w:pPr>
              <w:jc w:val="both"/>
              <w:rPr>
                <w:rFonts w:ascii="Times New Roman" w:hAnsi="Times New Roman"/>
                <w:sz w:val="24"/>
                <w:lang w:val="sk-SK"/>
              </w:rPr>
            </w:pPr>
            <w:r w:rsidRPr="005F703B">
              <w:rPr>
                <w:rFonts w:ascii="Times New Roman" w:hAnsi="Times New Roman"/>
                <w:sz w:val="24"/>
                <w:lang w:val="sk-SK"/>
              </w:rPr>
              <w:t>Informácie a doklady k vysielaniu sa budú vymieňať prostredníctvom informačného systému o vnútornom trhu, ktorý je už v súčasnosti využívaný na spoluprácu medzi členskými štátmi Európskej únie a Európskou komisiou. Prevádzkovateľom systému IMI je Európska komisia</w:t>
            </w:r>
            <w:r w:rsidR="00401AB8">
              <w:rPr>
                <w:rFonts w:ascii="Times New Roman" w:hAnsi="Times New Roman"/>
                <w:sz w:val="24"/>
                <w:lang w:val="sk-SK"/>
              </w:rPr>
              <w:t>.</w:t>
            </w:r>
            <w:r w:rsidRPr="005F703B">
              <w:rPr>
                <w:rFonts w:ascii="Times New Roman" w:hAnsi="Times New Roman"/>
                <w:sz w:val="24"/>
                <w:lang w:val="sk-SK"/>
              </w:rPr>
              <w:t xml:space="preserve"> </w:t>
            </w:r>
            <w:r w:rsidR="00401AB8">
              <w:rPr>
                <w:rFonts w:ascii="Times New Roman" w:hAnsi="Times New Roman"/>
                <w:sz w:val="24"/>
                <w:lang w:val="sk-SK"/>
              </w:rPr>
              <w:t>V</w:t>
            </w:r>
            <w:r w:rsidR="00401AB8" w:rsidRPr="005F703B">
              <w:rPr>
                <w:rFonts w:ascii="Times New Roman" w:hAnsi="Times New Roman"/>
                <w:sz w:val="24"/>
                <w:lang w:val="sk-SK"/>
              </w:rPr>
              <w:t xml:space="preserve"> </w:t>
            </w:r>
            <w:r w:rsidRPr="005F703B">
              <w:rPr>
                <w:rFonts w:ascii="Times New Roman" w:hAnsi="Times New Roman"/>
                <w:sz w:val="24"/>
                <w:lang w:val="sk-SK"/>
              </w:rPr>
              <w:t xml:space="preserve">tejto súvislosti pre Slovenskú republiku nevzniknú náklady z hľadiska informatizácie. Administratívne náklady môžu vzniknúť dopravcom, ktorí nebudú patriť pod výnimky z vysielania a ktorí budú musieť poskytovať informácie z hľadiska vysielania v systéme IMI. </w:t>
            </w:r>
          </w:p>
          <w:p w:rsidR="00A42EB4" w:rsidRPr="005F703B" w:rsidRDefault="00A42EB4" w:rsidP="00D63EB3">
            <w:pPr>
              <w:tabs>
                <w:tab w:val="left" w:pos="1134"/>
              </w:tabs>
              <w:spacing w:before="0"/>
              <w:contextualSpacing/>
              <w:jc w:val="both"/>
              <w:rPr>
                <w:rFonts w:ascii="Times New Roman" w:hAnsi="Times New Roman"/>
                <w:sz w:val="24"/>
                <w:lang w:val="sk-SK"/>
              </w:rPr>
            </w:pPr>
            <w:r w:rsidRPr="005F703B">
              <w:rPr>
                <w:rFonts w:ascii="Times New Roman" w:hAnsi="Times New Roman"/>
                <w:sz w:val="24"/>
                <w:lang w:val="sk-SK"/>
              </w:rPr>
              <w:t xml:space="preserve">Administratívne náklady - Náklady na poskytnutie informácie v systéme IMI . </w:t>
            </w:r>
          </w:p>
          <w:p w:rsidR="00A42EB4" w:rsidRPr="005F703B" w:rsidRDefault="00A42EB4" w:rsidP="00D63EB3">
            <w:pPr>
              <w:tabs>
                <w:tab w:val="left" w:pos="1134"/>
              </w:tabs>
              <w:spacing w:before="0"/>
              <w:contextualSpacing/>
              <w:jc w:val="both"/>
              <w:rPr>
                <w:rFonts w:ascii="Times New Roman" w:hAnsi="Times New Roman"/>
                <w:sz w:val="24"/>
                <w:lang w:val="sk-SK"/>
              </w:rPr>
            </w:pPr>
            <w:r w:rsidRPr="005F703B">
              <w:rPr>
                <w:rFonts w:ascii="Times New Roman" w:hAnsi="Times New Roman"/>
                <w:sz w:val="24"/>
                <w:lang w:val="sk-SK"/>
              </w:rPr>
              <w:t>– (60 minút podľa metodiky), frekvencia plnenia povinnosti 4-krát do mesiaca – (koeficient frekvencie 48, priemerná hrubá mzda v národnom hospodárstve (</w:t>
            </w:r>
            <w:r w:rsidR="00CA629A">
              <w:rPr>
                <w:rFonts w:ascii="Times New Roman" w:hAnsi="Times New Roman"/>
                <w:sz w:val="24"/>
                <w:lang w:val="sk-SK"/>
              </w:rPr>
              <w:t>1133</w:t>
            </w:r>
            <w:r w:rsidRPr="005F703B">
              <w:rPr>
                <w:rFonts w:ascii="Times New Roman" w:hAnsi="Times New Roman"/>
                <w:sz w:val="24"/>
                <w:lang w:val="sk-SK"/>
              </w:rPr>
              <w:t xml:space="preserve"> </w:t>
            </w:r>
            <w:r w:rsidR="00A93A85">
              <w:rPr>
                <w:rFonts w:ascii="Times New Roman" w:hAnsi="Times New Roman"/>
                <w:sz w:val="24"/>
                <w:lang w:val="sk-SK"/>
              </w:rPr>
              <w:t>eur</w:t>
            </w:r>
            <w:r w:rsidRPr="005F703B">
              <w:rPr>
                <w:rFonts w:ascii="Times New Roman" w:hAnsi="Times New Roman"/>
                <w:sz w:val="24"/>
                <w:lang w:val="sk-SK"/>
              </w:rPr>
              <w:t>), počet vozidiel na zaznamenanie v systéme (17 316 vozidiel</w:t>
            </w:r>
            <w:r w:rsidR="00401AB8">
              <w:rPr>
                <w:rFonts w:ascii="Times New Roman" w:hAnsi="Times New Roman"/>
                <w:sz w:val="24"/>
                <w:lang w:val="sk-SK"/>
              </w:rPr>
              <w:t>,</w:t>
            </w:r>
            <w:r w:rsidRPr="005F703B">
              <w:rPr>
                <w:rFonts w:ascii="Times New Roman" w:hAnsi="Times New Roman"/>
                <w:sz w:val="24"/>
                <w:lang w:val="sk-SK"/>
              </w:rPr>
              <w:t xml:space="preserve"> t. j. 30 % vozidiel</w:t>
            </w:r>
            <w:r w:rsidR="00401AB8">
              <w:rPr>
                <w:rFonts w:ascii="Times New Roman" w:hAnsi="Times New Roman"/>
                <w:sz w:val="24"/>
                <w:lang w:val="sk-SK"/>
              </w:rPr>
              <w:t>,</w:t>
            </w:r>
            <w:r w:rsidRPr="005F703B">
              <w:rPr>
                <w:rFonts w:ascii="Times New Roman" w:hAnsi="Times New Roman"/>
                <w:sz w:val="24"/>
                <w:lang w:val="sk-SK"/>
              </w:rPr>
              <w:t xml:space="preserve"> ktoré majú vydanú licenciu Spoločenstva).</w:t>
            </w:r>
          </w:p>
          <w:p w:rsidR="00A42EB4" w:rsidRPr="005F703B" w:rsidRDefault="00A42EB4" w:rsidP="00D63EB3">
            <w:pPr>
              <w:tabs>
                <w:tab w:val="left" w:pos="1134"/>
              </w:tabs>
              <w:spacing w:before="0"/>
              <w:contextualSpacing/>
              <w:jc w:val="both"/>
              <w:rPr>
                <w:rFonts w:ascii="Times New Roman" w:hAnsi="Times New Roman"/>
                <w:i/>
                <w:sz w:val="24"/>
                <w:lang w:val="sk-SK"/>
              </w:rPr>
            </w:pPr>
            <w:r w:rsidRPr="005F703B">
              <w:rPr>
                <w:rFonts w:ascii="Times New Roman" w:hAnsi="Times New Roman"/>
                <w:sz w:val="24"/>
                <w:lang w:val="sk-SK"/>
              </w:rPr>
              <w:t>Výpočet</w:t>
            </w:r>
            <w:r w:rsidR="00401AB8">
              <w:rPr>
                <w:rFonts w:ascii="Times New Roman" w:hAnsi="Times New Roman"/>
                <w:sz w:val="24"/>
                <w:lang w:val="sk-SK"/>
              </w:rPr>
              <w:t xml:space="preserve">: </w:t>
            </w:r>
            <w:r w:rsidR="00CA629A">
              <w:rPr>
                <w:rFonts w:ascii="Times New Roman" w:hAnsi="Times New Roman"/>
                <w:sz w:val="24"/>
                <w:lang w:val="sk-SK"/>
              </w:rPr>
              <w:t>1133</w:t>
            </w:r>
            <w:r w:rsidRPr="005F703B">
              <w:rPr>
                <w:rFonts w:ascii="Times New Roman" w:hAnsi="Times New Roman"/>
                <w:sz w:val="24"/>
                <w:lang w:val="sk-SK"/>
              </w:rPr>
              <w:t xml:space="preserve"> </w:t>
            </w:r>
            <w:r w:rsidR="00A93A85">
              <w:rPr>
                <w:rFonts w:ascii="Times New Roman" w:hAnsi="Times New Roman"/>
                <w:sz w:val="24"/>
                <w:lang w:val="sk-SK"/>
              </w:rPr>
              <w:t>eur</w:t>
            </w:r>
            <w:r w:rsidRPr="005F703B">
              <w:rPr>
                <w:rFonts w:ascii="Times New Roman" w:hAnsi="Times New Roman"/>
                <w:sz w:val="24"/>
                <w:lang w:val="sk-SK"/>
              </w:rPr>
              <w:t>/160 hodín</w:t>
            </w:r>
            <w:r w:rsidR="00401AB8">
              <w:rPr>
                <w:rFonts w:ascii="Times New Roman" w:hAnsi="Times New Roman"/>
                <w:sz w:val="24"/>
                <w:lang w:val="sk-SK"/>
              </w:rPr>
              <w:t xml:space="preserve"> za </w:t>
            </w:r>
            <w:r w:rsidRPr="005F703B">
              <w:rPr>
                <w:rFonts w:ascii="Times New Roman" w:hAnsi="Times New Roman"/>
                <w:sz w:val="24"/>
                <w:lang w:val="sk-SK"/>
              </w:rPr>
              <w:t>mesiac *1 hodina (60 min)</w:t>
            </w:r>
            <w:r w:rsidR="00A93A85">
              <w:rPr>
                <w:rFonts w:ascii="Times New Roman" w:hAnsi="Times New Roman"/>
                <w:sz w:val="24"/>
                <w:lang w:val="sk-SK"/>
              </w:rPr>
              <w:t xml:space="preserve"> </w:t>
            </w:r>
            <w:r w:rsidRPr="005F703B">
              <w:rPr>
                <w:rFonts w:ascii="Times New Roman" w:hAnsi="Times New Roman"/>
                <w:sz w:val="24"/>
                <w:lang w:val="sk-SK"/>
              </w:rPr>
              <w:t xml:space="preserve">*48 </w:t>
            </w:r>
            <w:r w:rsidR="00401AB8">
              <w:rPr>
                <w:rFonts w:ascii="Times New Roman" w:hAnsi="Times New Roman"/>
                <w:sz w:val="24"/>
                <w:lang w:val="sk-SK"/>
              </w:rPr>
              <w:t>(koeficient frekvencie</w:t>
            </w:r>
            <w:r w:rsidR="00CA629A">
              <w:rPr>
                <w:rFonts w:ascii="Times New Roman" w:hAnsi="Times New Roman"/>
                <w:sz w:val="24"/>
                <w:lang w:val="sk-SK"/>
              </w:rPr>
              <w:t xml:space="preserve"> 4 x mesačne</w:t>
            </w:r>
            <w:r w:rsidR="00401AB8">
              <w:rPr>
                <w:rFonts w:ascii="Times New Roman" w:hAnsi="Times New Roman"/>
                <w:sz w:val="24"/>
                <w:lang w:val="sk-SK"/>
              </w:rPr>
              <w:t xml:space="preserve">) </w:t>
            </w:r>
            <w:r w:rsidRPr="005F703B">
              <w:rPr>
                <w:rFonts w:ascii="Times New Roman" w:hAnsi="Times New Roman"/>
                <w:sz w:val="24"/>
                <w:lang w:val="sk-SK"/>
              </w:rPr>
              <w:t xml:space="preserve">= </w:t>
            </w:r>
            <w:r w:rsidR="00CA629A">
              <w:rPr>
                <w:rFonts w:ascii="Times New Roman" w:hAnsi="Times New Roman"/>
                <w:sz w:val="24"/>
                <w:lang w:val="sk-SK"/>
              </w:rPr>
              <w:t>339,9</w:t>
            </w:r>
            <w:r w:rsidRPr="005F703B">
              <w:rPr>
                <w:rFonts w:ascii="Times New Roman" w:hAnsi="Times New Roman"/>
                <w:sz w:val="24"/>
                <w:lang w:val="sk-SK"/>
              </w:rPr>
              <w:t xml:space="preserve"> eur</w:t>
            </w:r>
            <w:r w:rsidR="00401AB8">
              <w:rPr>
                <w:rFonts w:ascii="Times New Roman" w:hAnsi="Times New Roman"/>
                <w:sz w:val="24"/>
                <w:lang w:val="sk-SK"/>
              </w:rPr>
              <w:t xml:space="preserve"> za </w:t>
            </w:r>
            <w:r w:rsidRPr="005F703B">
              <w:rPr>
                <w:rFonts w:ascii="Times New Roman" w:hAnsi="Times New Roman"/>
                <w:sz w:val="24"/>
                <w:lang w:val="sk-SK"/>
              </w:rPr>
              <w:t>1 vozidlo</w:t>
            </w:r>
            <w:r w:rsidR="00401AB8">
              <w:rPr>
                <w:rFonts w:ascii="Times New Roman" w:hAnsi="Times New Roman"/>
                <w:sz w:val="24"/>
                <w:lang w:val="sk-SK"/>
              </w:rPr>
              <w:t>.</w:t>
            </w:r>
            <w:r w:rsidRPr="005F703B">
              <w:rPr>
                <w:rFonts w:ascii="Times New Roman" w:hAnsi="Times New Roman"/>
                <w:sz w:val="24"/>
                <w:lang w:val="sk-SK"/>
              </w:rPr>
              <w:t xml:space="preserve"> </w:t>
            </w:r>
            <w:r w:rsidR="00401AB8">
              <w:rPr>
                <w:rFonts w:ascii="Times New Roman" w:hAnsi="Times New Roman"/>
                <w:sz w:val="24"/>
                <w:lang w:val="sk-SK"/>
              </w:rPr>
              <w:t>N</w:t>
            </w:r>
            <w:r w:rsidRPr="005F703B">
              <w:rPr>
                <w:rFonts w:ascii="Times New Roman" w:hAnsi="Times New Roman"/>
                <w:sz w:val="24"/>
                <w:lang w:val="sk-SK"/>
              </w:rPr>
              <w:t xml:space="preserve">a celé podnikateľské prostredie </w:t>
            </w:r>
            <w:r w:rsidR="00CA629A">
              <w:rPr>
                <w:rFonts w:ascii="Times New Roman" w:hAnsi="Times New Roman"/>
                <w:sz w:val="24"/>
                <w:lang w:val="sk-SK"/>
              </w:rPr>
              <w:t>339,9</w:t>
            </w:r>
            <w:r w:rsidRPr="005F703B">
              <w:rPr>
                <w:rFonts w:ascii="Times New Roman" w:hAnsi="Times New Roman"/>
                <w:sz w:val="24"/>
                <w:lang w:val="sk-SK"/>
              </w:rPr>
              <w:t xml:space="preserve"> eur x 17 316 </w:t>
            </w:r>
            <w:r w:rsidR="00401AB8">
              <w:rPr>
                <w:rFonts w:ascii="Times New Roman" w:hAnsi="Times New Roman"/>
                <w:sz w:val="24"/>
                <w:lang w:val="sk-SK"/>
              </w:rPr>
              <w:t>(celkový počet vozidiel)</w:t>
            </w:r>
            <w:r w:rsidRPr="005F703B">
              <w:rPr>
                <w:rFonts w:ascii="Times New Roman" w:hAnsi="Times New Roman"/>
                <w:sz w:val="24"/>
                <w:lang w:val="sk-SK"/>
              </w:rPr>
              <w:t xml:space="preserve"> = </w:t>
            </w:r>
            <w:r w:rsidR="00CA629A">
              <w:rPr>
                <w:rFonts w:ascii="Times New Roman" w:hAnsi="Times New Roman"/>
                <w:sz w:val="24"/>
                <w:lang w:val="sk-SK"/>
              </w:rPr>
              <w:t>5 885 708,4</w:t>
            </w:r>
            <w:r w:rsidRPr="005F703B">
              <w:rPr>
                <w:rFonts w:ascii="Times New Roman" w:hAnsi="Times New Roman"/>
                <w:sz w:val="24"/>
                <w:lang w:val="sk-SK"/>
              </w:rPr>
              <w:t xml:space="preserve"> eur</w:t>
            </w:r>
            <w:r w:rsidRPr="005F703B">
              <w:rPr>
                <w:rFonts w:ascii="Times New Roman" w:hAnsi="Times New Roman"/>
                <w:i/>
                <w:sz w:val="24"/>
                <w:lang w:val="sk-SK"/>
              </w:rPr>
              <w:t>.</w:t>
            </w:r>
          </w:p>
          <w:p w:rsidR="00A42EB4" w:rsidRPr="005F703B" w:rsidRDefault="00A42EB4" w:rsidP="00D63EB3">
            <w:pPr>
              <w:spacing w:before="0"/>
              <w:jc w:val="both"/>
              <w:rPr>
                <w:rFonts w:ascii="Times New Roman" w:hAnsi="Times New Roman"/>
                <w:strike/>
                <w:sz w:val="24"/>
                <w:lang w:val="sk-SK" w:eastAsia="sk-SK"/>
              </w:rPr>
            </w:pPr>
          </w:p>
          <w:p w:rsidR="00A42EB4" w:rsidRPr="005F703B" w:rsidRDefault="00A42EB4" w:rsidP="00D63EB3">
            <w:pPr>
              <w:spacing w:before="0"/>
              <w:jc w:val="both"/>
              <w:rPr>
                <w:rFonts w:ascii="Times New Roman" w:hAnsi="Times New Roman"/>
                <w:sz w:val="24"/>
                <w:lang w:val="sk-SK" w:eastAsia="sk-SK"/>
              </w:rPr>
            </w:pPr>
          </w:p>
          <w:tbl>
            <w:tblPr>
              <w:tblStyle w:val="Mriekatabuky1"/>
              <w:tblW w:w="0" w:type="auto"/>
              <w:tblInd w:w="0" w:type="dxa"/>
              <w:tblLook w:val="04A0" w:firstRow="1" w:lastRow="0" w:firstColumn="1" w:lastColumn="0" w:noHBand="0" w:noVBand="1"/>
            </w:tblPr>
            <w:tblGrid>
              <w:gridCol w:w="2955"/>
              <w:gridCol w:w="2938"/>
              <w:gridCol w:w="2943"/>
            </w:tblGrid>
            <w:tr w:rsidR="00A42EB4" w:rsidRPr="005F703B" w:rsidTr="00D63EB3">
              <w:tc>
                <w:tcPr>
                  <w:tcW w:w="2955" w:type="dxa"/>
                  <w:tcBorders>
                    <w:top w:val="single" w:sz="4" w:space="0" w:color="auto"/>
                    <w:left w:val="single" w:sz="4" w:space="0" w:color="auto"/>
                    <w:bottom w:val="single" w:sz="4" w:space="0" w:color="auto"/>
                    <w:right w:val="single" w:sz="4" w:space="0" w:color="auto"/>
                  </w:tcBorders>
                  <w:hideMark/>
                </w:tcPr>
                <w:p w:rsidR="00A42EB4" w:rsidRPr="005F703B" w:rsidRDefault="00A42EB4" w:rsidP="00D63EB3">
                  <w:pPr>
                    <w:spacing w:before="0"/>
                    <w:rPr>
                      <w:rFonts w:ascii="Times New Roman" w:hAnsi="Times New Roman"/>
                      <w:i/>
                      <w:szCs w:val="20"/>
                      <w:lang w:val="sk-SK" w:eastAsia="sk-SK"/>
                    </w:rPr>
                  </w:pPr>
                  <w:r w:rsidRPr="005F703B">
                    <w:rPr>
                      <w:rFonts w:ascii="Times New Roman" w:hAnsi="Times New Roman"/>
                      <w:i/>
                      <w:szCs w:val="20"/>
                      <w:lang w:val="sk-SK" w:eastAsia="sk-SK"/>
                    </w:rPr>
                    <w:t>Administratívne náklady</w:t>
                  </w:r>
                </w:p>
              </w:tc>
              <w:tc>
                <w:tcPr>
                  <w:tcW w:w="2938" w:type="dxa"/>
                  <w:tcBorders>
                    <w:top w:val="single" w:sz="4" w:space="0" w:color="auto"/>
                    <w:left w:val="single" w:sz="4" w:space="0" w:color="auto"/>
                    <w:bottom w:val="single" w:sz="4" w:space="0" w:color="auto"/>
                    <w:right w:val="single" w:sz="4" w:space="0" w:color="auto"/>
                  </w:tcBorders>
                  <w:hideMark/>
                </w:tcPr>
                <w:p w:rsidR="00A42EB4" w:rsidRPr="005F703B" w:rsidRDefault="00A42EB4" w:rsidP="00D63EB3">
                  <w:pPr>
                    <w:spacing w:before="0"/>
                    <w:jc w:val="center"/>
                    <w:rPr>
                      <w:rFonts w:ascii="Times New Roman" w:hAnsi="Times New Roman"/>
                      <w:i/>
                      <w:szCs w:val="20"/>
                      <w:lang w:val="sk-SK" w:eastAsia="sk-SK"/>
                    </w:rPr>
                  </w:pPr>
                  <w:r w:rsidRPr="005F703B">
                    <w:rPr>
                      <w:rFonts w:ascii="Times New Roman" w:hAnsi="Times New Roman"/>
                      <w:i/>
                      <w:szCs w:val="20"/>
                      <w:lang w:val="sk-SK" w:eastAsia="sk-SK"/>
                    </w:rPr>
                    <w:t>Náklady</w:t>
                  </w:r>
                </w:p>
              </w:tc>
              <w:tc>
                <w:tcPr>
                  <w:tcW w:w="2943" w:type="dxa"/>
                  <w:tcBorders>
                    <w:top w:val="single" w:sz="4" w:space="0" w:color="auto"/>
                    <w:left w:val="single" w:sz="4" w:space="0" w:color="auto"/>
                    <w:bottom w:val="single" w:sz="4" w:space="0" w:color="auto"/>
                    <w:right w:val="single" w:sz="4" w:space="0" w:color="auto"/>
                  </w:tcBorders>
                </w:tcPr>
                <w:p w:rsidR="00A42EB4" w:rsidRPr="005F703B" w:rsidRDefault="00A42EB4" w:rsidP="00D63EB3">
                  <w:pPr>
                    <w:spacing w:before="0"/>
                    <w:jc w:val="center"/>
                    <w:rPr>
                      <w:rFonts w:ascii="Times New Roman" w:hAnsi="Times New Roman"/>
                      <w:i/>
                      <w:szCs w:val="20"/>
                      <w:lang w:val="sk-SK" w:eastAsia="sk-SK"/>
                    </w:rPr>
                  </w:pPr>
                  <w:r w:rsidRPr="005F703B">
                    <w:rPr>
                      <w:rFonts w:ascii="Times New Roman" w:hAnsi="Times New Roman"/>
                      <w:i/>
                      <w:szCs w:val="20"/>
                      <w:lang w:val="sk-SK" w:eastAsia="sk-SK"/>
                    </w:rPr>
                    <w:t>Náklady na podnikateľské prostredie</w:t>
                  </w:r>
                </w:p>
                <w:p w:rsidR="00A42EB4" w:rsidRPr="005F703B" w:rsidRDefault="00A42EB4" w:rsidP="00D63EB3">
                  <w:pPr>
                    <w:spacing w:before="0"/>
                    <w:jc w:val="center"/>
                    <w:rPr>
                      <w:rFonts w:ascii="Times New Roman" w:hAnsi="Times New Roman"/>
                      <w:i/>
                      <w:szCs w:val="20"/>
                      <w:lang w:val="sk-SK" w:eastAsia="sk-SK"/>
                    </w:rPr>
                  </w:pPr>
                </w:p>
              </w:tc>
            </w:tr>
            <w:tr w:rsidR="00A42EB4" w:rsidRPr="005F703B" w:rsidTr="00D63EB3">
              <w:tc>
                <w:tcPr>
                  <w:tcW w:w="2955" w:type="dxa"/>
                  <w:tcBorders>
                    <w:top w:val="single" w:sz="4" w:space="0" w:color="auto"/>
                    <w:left w:val="single" w:sz="4" w:space="0" w:color="auto"/>
                    <w:bottom w:val="single" w:sz="4" w:space="0" w:color="auto"/>
                    <w:right w:val="single" w:sz="4" w:space="0" w:color="auto"/>
                  </w:tcBorders>
                  <w:hideMark/>
                </w:tcPr>
                <w:p w:rsidR="00A42EB4" w:rsidRPr="005F703B" w:rsidRDefault="00A42EB4" w:rsidP="00D63EB3">
                  <w:pPr>
                    <w:spacing w:before="0"/>
                    <w:jc w:val="both"/>
                    <w:rPr>
                      <w:rFonts w:ascii="Times New Roman" w:hAnsi="Times New Roman"/>
                      <w:i/>
                      <w:szCs w:val="20"/>
                      <w:lang w:val="sk-SK" w:eastAsia="sk-SK"/>
                    </w:rPr>
                  </w:pPr>
                  <w:r w:rsidRPr="005F703B">
                    <w:rPr>
                      <w:rFonts w:ascii="Times New Roman" w:hAnsi="Times New Roman"/>
                      <w:i/>
                      <w:szCs w:val="20"/>
                      <w:lang w:val="sk-SK" w:eastAsia="sk-SK"/>
                    </w:rPr>
                    <w:t>Poskytovanie informácií v systéme IMI</w:t>
                  </w:r>
                </w:p>
              </w:tc>
              <w:tc>
                <w:tcPr>
                  <w:tcW w:w="2938" w:type="dxa"/>
                  <w:tcBorders>
                    <w:top w:val="single" w:sz="4" w:space="0" w:color="auto"/>
                    <w:left w:val="single" w:sz="4" w:space="0" w:color="auto"/>
                    <w:bottom w:val="single" w:sz="4" w:space="0" w:color="auto"/>
                    <w:right w:val="single" w:sz="4" w:space="0" w:color="auto"/>
                  </w:tcBorders>
                  <w:hideMark/>
                </w:tcPr>
                <w:p w:rsidR="00A42EB4" w:rsidRPr="005F703B" w:rsidRDefault="00CA629A" w:rsidP="00CA629A">
                  <w:pPr>
                    <w:spacing w:before="0"/>
                    <w:jc w:val="center"/>
                    <w:rPr>
                      <w:rFonts w:ascii="Times New Roman" w:hAnsi="Times New Roman"/>
                      <w:i/>
                      <w:szCs w:val="20"/>
                      <w:lang w:val="sk-SK" w:eastAsia="sk-SK"/>
                    </w:rPr>
                  </w:pPr>
                  <w:r>
                    <w:rPr>
                      <w:rFonts w:ascii="Times New Roman" w:hAnsi="Times New Roman"/>
                      <w:i/>
                      <w:szCs w:val="20"/>
                      <w:lang w:val="sk-SK" w:eastAsia="sk-SK"/>
                    </w:rPr>
                    <w:t>339,9</w:t>
                  </w:r>
                  <w:r w:rsidR="00A42EB4" w:rsidRPr="005F703B">
                    <w:rPr>
                      <w:rFonts w:ascii="Times New Roman" w:hAnsi="Times New Roman"/>
                      <w:i/>
                      <w:szCs w:val="20"/>
                      <w:lang w:val="sk-SK" w:eastAsia="sk-SK"/>
                    </w:rPr>
                    <w:t xml:space="preserve"> eur/vozidlo/ rok</w:t>
                  </w:r>
                </w:p>
              </w:tc>
              <w:tc>
                <w:tcPr>
                  <w:tcW w:w="2943" w:type="dxa"/>
                  <w:tcBorders>
                    <w:top w:val="single" w:sz="4" w:space="0" w:color="auto"/>
                    <w:left w:val="single" w:sz="4" w:space="0" w:color="auto"/>
                    <w:bottom w:val="single" w:sz="4" w:space="0" w:color="auto"/>
                    <w:right w:val="single" w:sz="4" w:space="0" w:color="auto"/>
                  </w:tcBorders>
                  <w:hideMark/>
                </w:tcPr>
                <w:p w:rsidR="00A42EB4" w:rsidRPr="005F703B" w:rsidRDefault="00CA629A" w:rsidP="00D63EB3">
                  <w:pPr>
                    <w:spacing w:before="0"/>
                    <w:jc w:val="center"/>
                    <w:rPr>
                      <w:rFonts w:ascii="Times New Roman" w:hAnsi="Times New Roman"/>
                      <w:i/>
                      <w:szCs w:val="20"/>
                      <w:lang w:val="sk-SK" w:eastAsia="sk-SK"/>
                    </w:rPr>
                  </w:pPr>
                  <w:r>
                    <w:rPr>
                      <w:rFonts w:ascii="Times New Roman" w:hAnsi="Times New Roman"/>
                      <w:i/>
                      <w:szCs w:val="20"/>
                      <w:lang w:val="sk-SK" w:eastAsia="sk-SK"/>
                    </w:rPr>
                    <w:t>5 885 708,4</w:t>
                  </w:r>
                  <w:r w:rsidR="00A42EB4" w:rsidRPr="005F703B">
                    <w:rPr>
                      <w:rFonts w:ascii="Times New Roman" w:hAnsi="Times New Roman"/>
                      <w:i/>
                      <w:szCs w:val="20"/>
                      <w:lang w:val="sk-SK" w:eastAsia="sk-SK"/>
                    </w:rPr>
                    <w:t xml:space="preserve"> eur/17 316 vozidiel/rok</w:t>
                  </w:r>
                </w:p>
              </w:tc>
            </w:tr>
            <w:tr w:rsidR="00A42EB4" w:rsidRPr="005F703B" w:rsidTr="00D63EB3">
              <w:tc>
                <w:tcPr>
                  <w:tcW w:w="2955" w:type="dxa"/>
                  <w:tcBorders>
                    <w:top w:val="single" w:sz="4" w:space="0" w:color="auto"/>
                    <w:left w:val="single" w:sz="4" w:space="0" w:color="auto"/>
                    <w:bottom w:val="single" w:sz="4" w:space="0" w:color="auto"/>
                    <w:right w:val="single" w:sz="4" w:space="0" w:color="auto"/>
                  </w:tcBorders>
                  <w:hideMark/>
                </w:tcPr>
                <w:p w:rsidR="00A42EB4" w:rsidRPr="005F703B" w:rsidRDefault="00A42EB4" w:rsidP="00D63EB3">
                  <w:pPr>
                    <w:spacing w:before="0"/>
                    <w:jc w:val="both"/>
                    <w:rPr>
                      <w:rFonts w:ascii="Times New Roman" w:hAnsi="Times New Roman"/>
                      <w:b/>
                      <w:i/>
                      <w:szCs w:val="20"/>
                      <w:lang w:val="sk-SK" w:eastAsia="sk-SK"/>
                    </w:rPr>
                  </w:pPr>
                  <w:r w:rsidRPr="005F703B">
                    <w:rPr>
                      <w:rFonts w:ascii="Times New Roman" w:hAnsi="Times New Roman"/>
                      <w:b/>
                      <w:i/>
                      <w:szCs w:val="20"/>
                      <w:lang w:val="sk-SK" w:eastAsia="sk-SK"/>
                    </w:rPr>
                    <w:t>Celkovo administratívne náklady</w:t>
                  </w:r>
                </w:p>
              </w:tc>
              <w:tc>
                <w:tcPr>
                  <w:tcW w:w="2938" w:type="dxa"/>
                  <w:tcBorders>
                    <w:top w:val="single" w:sz="4" w:space="0" w:color="auto"/>
                    <w:left w:val="single" w:sz="4" w:space="0" w:color="auto"/>
                    <w:bottom w:val="single" w:sz="4" w:space="0" w:color="auto"/>
                    <w:right w:val="single" w:sz="4" w:space="0" w:color="auto"/>
                  </w:tcBorders>
                  <w:hideMark/>
                </w:tcPr>
                <w:p w:rsidR="00A42EB4" w:rsidRPr="005F703B" w:rsidRDefault="00CA629A" w:rsidP="00CA629A">
                  <w:pPr>
                    <w:spacing w:before="0"/>
                    <w:jc w:val="center"/>
                    <w:rPr>
                      <w:rFonts w:ascii="Times New Roman" w:hAnsi="Times New Roman"/>
                      <w:b/>
                      <w:i/>
                      <w:szCs w:val="20"/>
                      <w:lang w:val="sk-SK" w:eastAsia="sk-SK"/>
                    </w:rPr>
                  </w:pPr>
                  <w:r>
                    <w:rPr>
                      <w:rFonts w:ascii="Times New Roman" w:hAnsi="Times New Roman"/>
                      <w:b/>
                      <w:i/>
                      <w:szCs w:val="20"/>
                      <w:lang w:val="sk-SK" w:eastAsia="sk-SK"/>
                    </w:rPr>
                    <w:t>339</w:t>
                  </w:r>
                  <w:r w:rsidR="00A42EB4" w:rsidRPr="005F703B">
                    <w:rPr>
                      <w:rFonts w:ascii="Times New Roman" w:hAnsi="Times New Roman"/>
                      <w:b/>
                      <w:i/>
                      <w:szCs w:val="20"/>
                      <w:lang w:val="sk-SK" w:eastAsia="sk-SK"/>
                    </w:rPr>
                    <w:t>,</w:t>
                  </w:r>
                  <w:r>
                    <w:rPr>
                      <w:rFonts w:ascii="Times New Roman" w:hAnsi="Times New Roman"/>
                      <w:b/>
                      <w:i/>
                      <w:szCs w:val="20"/>
                      <w:lang w:val="sk-SK" w:eastAsia="sk-SK"/>
                    </w:rPr>
                    <w:t>9</w:t>
                  </w:r>
                  <w:r w:rsidR="00A42EB4" w:rsidRPr="005F703B">
                    <w:rPr>
                      <w:rFonts w:ascii="Times New Roman" w:hAnsi="Times New Roman"/>
                      <w:b/>
                      <w:i/>
                      <w:szCs w:val="20"/>
                      <w:lang w:val="sk-SK" w:eastAsia="sk-SK"/>
                    </w:rPr>
                    <w:t xml:space="preserve"> eur</w:t>
                  </w:r>
                </w:p>
              </w:tc>
              <w:tc>
                <w:tcPr>
                  <w:tcW w:w="2943" w:type="dxa"/>
                  <w:tcBorders>
                    <w:top w:val="single" w:sz="4" w:space="0" w:color="auto"/>
                    <w:left w:val="single" w:sz="4" w:space="0" w:color="auto"/>
                    <w:bottom w:val="single" w:sz="4" w:space="0" w:color="auto"/>
                    <w:right w:val="single" w:sz="4" w:space="0" w:color="auto"/>
                  </w:tcBorders>
                  <w:hideMark/>
                </w:tcPr>
                <w:p w:rsidR="00A42EB4" w:rsidRPr="00CA629A" w:rsidRDefault="00CA629A" w:rsidP="00D63EB3">
                  <w:pPr>
                    <w:spacing w:before="0"/>
                    <w:jc w:val="center"/>
                    <w:rPr>
                      <w:rFonts w:ascii="Times New Roman" w:hAnsi="Times New Roman"/>
                      <w:b/>
                      <w:i/>
                      <w:szCs w:val="20"/>
                      <w:lang w:val="sk-SK" w:eastAsia="sk-SK"/>
                    </w:rPr>
                  </w:pPr>
                  <w:r w:rsidRPr="00CA629A">
                    <w:rPr>
                      <w:rFonts w:ascii="Times New Roman" w:hAnsi="Times New Roman"/>
                      <w:b/>
                      <w:i/>
                      <w:szCs w:val="20"/>
                      <w:lang w:val="sk-SK" w:eastAsia="sk-SK"/>
                    </w:rPr>
                    <w:t>5 885 708,4</w:t>
                  </w:r>
                  <w:r w:rsidR="00A42EB4" w:rsidRPr="00CA629A">
                    <w:rPr>
                      <w:rFonts w:ascii="Times New Roman" w:hAnsi="Times New Roman"/>
                      <w:b/>
                      <w:i/>
                      <w:szCs w:val="20"/>
                      <w:lang w:val="sk-SK" w:eastAsia="sk-SK"/>
                    </w:rPr>
                    <w:t xml:space="preserve"> eur</w:t>
                  </w:r>
                </w:p>
              </w:tc>
            </w:tr>
          </w:tbl>
          <w:p w:rsidR="00A42EB4" w:rsidRDefault="00A42EB4" w:rsidP="00D63EB3">
            <w:pPr>
              <w:tabs>
                <w:tab w:val="left" w:pos="1134"/>
              </w:tabs>
              <w:spacing w:before="0"/>
              <w:contextualSpacing/>
              <w:jc w:val="both"/>
              <w:rPr>
                <w:rFonts w:ascii="Times New Roman" w:hAnsi="Times New Roman"/>
                <w:sz w:val="24"/>
                <w:lang w:val="sk-SK"/>
              </w:rPr>
            </w:pPr>
          </w:p>
          <w:p w:rsidR="00CA629A" w:rsidRPr="005F703B" w:rsidRDefault="00CA629A" w:rsidP="00D63EB3">
            <w:pPr>
              <w:tabs>
                <w:tab w:val="left" w:pos="1134"/>
              </w:tabs>
              <w:spacing w:before="0"/>
              <w:contextualSpacing/>
              <w:jc w:val="both"/>
              <w:rPr>
                <w:rFonts w:ascii="Times New Roman" w:hAnsi="Times New Roman"/>
                <w:sz w:val="24"/>
                <w:lang w:val="sk-SK"/>
              </w:rPr>
            </w:pPr>
          </w:p>
          <w:p w:rsidR="00A42EB4" w:rsidRPr="005F703B" w:rsidRDefault="00A42EB4" w:rsidP="00D63EB3">
            <w:pPr>
              <w:tabs>
                <w:tab w:val="left" w:pos="1134"/>
              </w:tabs>
              <w:spacing w:before="0"/>
              <w:contextualSpacing/>
              <w:jc w:val="both"/>
              <w:rPr>
                <w:rFonts w:ascii="Times New Roman" w:hAnsi="Times New Roman"/>
                <w:sz w:val="24"/>
                <w:lang w:val="sk-SK"/>
              </w:rPr>
            </w:pPr>
          </w:p>
          <w:p w:rsidR="00A42EB4" w:rsidRPr="005F703B" w:rsidRDefault="00A42EB4" w:rsidP="00D63EB3">
            <w:pPr>
              <w:tabs>
                <w:tab w:val="left" w:pos="1134"/>
              </w:tabs>
              <w:spacing w:before="0"/>
              <w:contextualSpacing/>
              <w:jc w:val="both"/>
              <w:rPr>
                <w:rFonts w:ascii="Times New Roman" w:hAnsi="Times New Roman"/>
                <w:i/>
                <w:sz w:val="24"/>
                <w:lang w:val="sk-SK"/>
              </w:rPr>
            </w:pPr>
          </w:p>
        </w:tc>
      </w:tr>
      <w:tr w:rsidR="00A42EB4" w:rsidRPr="005F703B" w:rsidTr="00D63EB3">
        <w:trPr>
          <w:trHeight w:val="2318"/>
        </w:trPr>
        <w:tc>
          <w:tcPr>
            <w:tcW w:w="9062" w:type="dxa"/>
            <w:tcBorders>
              <w:top w:val="single" w:sz="4" w:space="0" w:color="auto"/>
              <w:left w:val="single" w:sz="4" w:space="0" w:color="auto"/>
              <w:bottom w:val="single" w:sz="4" w:space="0" w:color="auto"/>
              <w:right w:val="single" w:sz="4" w:space="0" w:color="auto"/>
            </w:tcBorders>
            <w:hideMark/>
          </w:tcPr>
          <w:p w:rsidR="00A42EB4" w:rsidRPr="005F703B" w:rsidRDefault="00A42EB4" w:rsidP="00D63EB3">
            <w:pPr>
              <w:spacing w:before="0"/>
              <w:jc w:val="both"/>
              <w:rPr>
                <w:rFonts w:ascii="Times New Roman" w:hAnsi="Times New Roman"/>
                <w:i/>
                <w:szCs w:val="20"/>
                <w:lang w:val="sk-SK" w:eastAsia="sk-SK"/>
              </w:rPr>
            </w:pPr>
            <w:r w:rsidRPr="005F703B">
              <w:rPr>
                <w:rFonts w:ascii="Times New Roman" w:hAnsi="Times New Roman"/>
                <w:b/>
                <w:i/>
                <w:szCs w:val="20"/>
                <w:lang w:val="sk-SK" w:eastAsia="sk-SK"/>
              </w:rPr>
              <w:lastRenderedPageBreak/>
              <w:t>3.3.4 Súhrnná tabuľka nákladov regulácie –  odhad za jeden rok po odpočítaní súčasného stavu</w:t>
            </w:r>
          </w:p>
          <w:tbl>
            <w:tblPr>
              <w:tblStyle w:val="Mriekatabuky1"/>
              <w:tblW w:w="0" w:type="auto"/>
              <w:tblInd w:w="0" w:type="dxa"/>
              <w:tblLook w:val="04A0" w:firstRow="1" w:lastRow="0" w:firstColumn="1" w:lastColumn="0" w:noHBand="0" w:noVBand="1"/>
            </w:tblPr>
            <w:tblGrid>
              <w:gridCol w:w="2952"/>
              <w:gridCol w:w="2936"/>
              <w:gridCol w:w="2948"/>
            </w:tblGrid>
            <w:tr w:rsidR="00A42EB4" w:rsidRPr="005F703B" w:rsidTr="00D63EB3">
              <w:tc>
                <w:tcPr>
                  <w:tcW w:w="2952" w:type="dxa"/>
                  <w:tcBorders>
                    <w:top w:val="single" w:sz="4" w:space="0" w:color="auto"/>
                    <w:left w:val="single" w:sz="4" w:space="0" w:color="auto"/>
                    <w:bottom w:val="single" w:sz="4" w:space="0" w:color="auto"/>
                    <w:right w:val="single" w:sz="4" w:space="0" w:color="auto"/>
                  </w:tcBorders>
                </w:tcPr>
                <w:p w:rsidR="00A42EB4" w:rsidRPr="005F703B" w:rsidRDefault="00A42EB4" w:rsidP="00D63EB3">
                  <w:pPr>
                    <w:spacing w:before="0"/>
                    <w:rPr>
                      <w:rFonts w:ascii="Times New Roman" w:hAnsi="Times New Roman"/>
                      <w:i/>
                      <w:szCs w:val="20"/>
                      <w:lang w:val="sk-SK" w:eastAsia="sk-SK"/>
                    </w:rPr>
                  </w:pPr>
                </w:p>
              </w:tc>
              <w:tc>
                <w:tcPr>
                  <w:tcW w:w="2936" w:type="dxa"/>
                  <w:tcBorders>
                    <w:top w:val="single" w:sz="4" w:space="0" w:color="auto"/>
                    <w:left w:val="single" w:sz="4" w:space="0" w:color="auto"/>
                    <w:bottom w:val="single" w:sz="4" w:space="0" w:color="auto"/>
                    <w:right w:val="single" w:sz="4" w:space="0" w:color="auto"/>
                  </w:tcBorders>
                  <w:hideMark/>
                </w:tcPr>
                <w:p w:rsidR="00A42EB4" w:rsidRPr="005F703B" w:rsidRDefault="00A42EB4" w:rsidP="00D63EB3">
                  <w:pPr>
                    <w:spacing w:before="0"/>
                    <w:jc w:val="center"/>
                    <w:rPr>
                      <w:rFonts w:ascii="Times New Roman" w:hAnsi="Times New Roman"/>
                      <w:i/>
                      <w:szCs w:val="20"/>
                      <w:lang w:val="sk-SK" w:eastAsia="sk-SK"/>
                    </w:rPr>
                  </w:pPr>
                  <w:r w:rsidRPr="005F703B">
                    <w:rPr>
                      <w:rFonts w:ascii="Times New Roman" w:hAnsi="Times New Roman"/>
                      <w:i/>
                      <w:szCs w:val="20"/>
                      <w:lang w:val="sk-SK" w:eastAsia="sk-SK"/>
                    </w:rPr>
                    <w:t xml:space="preserve">Náklady </w:t>
                  </w:r>
                </w:p>
              </w:tc>
              <w:tc>
                <w:tcPr>
                  <w:tcW w:w="2948" w:type="dxa"/>
                  <w:tcBorders>
                    <w:top w:val="single" w:sz="4" w:space="0" w:color="auto"/>
                    <w:left w:val="single" w:sz="4" w:space="0" w:color="auto"/>
                    <w:bottom w:val="single" w:sz="4" w:space="0" w:color="auto"/>
                    <w:right w:val="single" w:sz="4" w:space="0" w:color="auto"/>
                  </w:tcBorders>
                </w:tcPr>
                <w:p w:rsidR="00A42EB4" w:rsidRPr="005F703B" w:rsidRDefault="00A42EB4" w:rsidP="00D63EB3">
                  <w:pPr>
                    <w:spacing w:before="0"/>
                    <w:jc w:val="center"/>
                    <w:rPr>
                      <w:rFonts w:ascii="Times New Roman" w:hAnsi="Times New Roman"/>
                      <w:i/>
                      <w:szCs w:val="20"/>
                      <w:lang w:val="sk-SK" w:eastAsia="sk-SK"/>
                    </w:rPr>
                  </w:pPr>
                  <w:r w:rsidRPr="005F703B">
                    <w:rPr>
                      <w:rFonts w:ascii="Times New Roman" w:hAnsi="Times New Roman"/>
                      <w:i/>
                      <w:szCs w:val="20"/>
                      <w:lang w:val="sk-SK" w:eastAsia="sk-SK"/>
                    </w:rPr>
                    <w:t>Náklady na celé podnikateľské prostredie</w:t>
                  </w:r>
                </w:p>
                <w:p w:rsidR="00A42EB4" w:rsidRPr="005F703B" w:rsidRDefault="00A42EB4" w:rsidP="00D63EB3">
                  <w:pPr>
                    <w:spacing w:before="0"/>
                    <w:jc w:val="center"/>
                    <w:rPr>
                      <w:rFonts w:ascii="Times New Roman" w:hAnsi="Times New Roman"/>
                      <w:i/>
                      <w:szCs w:val="20"/>
                      <w:lang w:val="sk-SK" w:eastAsia="sk-SK"/>
                    </w:rPr>
                  </w:pPr>
                </w:p>
              </w:tc>
            </w:tr>
            <w:tr w:rsidR="00A42EB4" w:rsidRPr="005F703B" w:rsidTr="00D63EB3">
              <w:tc>
                <w:tcPr>
                  <w:tcW w:w="2952" w:type="dxa"/>
                  <w:tcBorders>
                    <w:top w:val="single" w:sz="4" w:space="0" w:color="auto"/>
                    <w:left w:val="single" w:sz="4" w:space="0" w:color="auto"/>
                    <w:bottom w:val="single" w:sz="4" w:space="0" w:color="auto"/>
                    <w:right w:val="single" w:sz="4" w:space="0" w:color="auto"/>
                  </w:tcBorders>
                  <w:hideMark/>
                </w:tcPr>
                <w:p w:rsidR="00A42EB4" w:rsidRPr="005F703B" w:rsidRDefault="00A42EB4" w:rsidP="00D63EB3">
                  <w:pPr>
                    <w:spacing w:before="0"/>
                    <w:jc w:val="both"/>
                    <w:rPr>
                      <w:rFonts w:ascii="Times New Roman" w:hAnsi="Times New Roman"/>
                      <w:i/>
                      <w:szCs w:val="20"/>
                      <w:lang w:val="sk-SK" w:eastAsia="sk-SK"/>
                    </w:rPr>
                  </w:pPr>
                  <w:r w:rsidRPr="005F703B">
                    <w:rPr>
                      <w:rFonts w:ascii="Times New Roman" w:hAnsi="Times New Roman"/>
                      <w:i/>
                      <w:szCs w:val="20"/>
                      <w:lang w:val="sk-SK" w:eastAsia="sk-SK"/>
                    </w:rPr>
                    <w:t>Priame finančné náklady</w:t>
                  </w:r>
                </w:p>
              </w:tc>
              <w:tc>
                <w:tcPr>
                  <w:tcW w:w="2936" w:type="dxa"/>
                  <w:tcBorders>
                    <w:top w:val="single" w:sz="4" w:space="0" w:color="auto"/>
                    <w:left w:val="single" w:sz="4" w:space="0" w:color="auto"/>
                    <w:bottom w:val="single" w:sz="4" w:space="0" w:color="auto"/>
                    <w:right w:val="single" w:sz="4" w:space="0" w:color="auto"/>
                  </w:tcBorders>
                  <w:hideMark/>
                </w:tcPr>
                <w:p w:rsidR="00A42EB4" w:rsidRPr="005F703B" w:rsidRDefault="00A42EB4" w:rsidP="00D63EB3">
                  <w:pPr>
                    <w:spacing w:before="0"/>
                    <w:jc w:val="center"/>
                    <w:rPr>
                      <w:rFonts w:ascii="Times New Roman" w:hAnsi="Times New Roman"/>
                      <w:i/>
                      <w:szCs w:val="20"/>
                      <w:lang w:val="sk-SK" w:eastAsia="sk-SK"/>
                    </w:rPr>
                  </w:pPr>
                  <w:r w:rsidRPr="005F703B">
                    <w:rPr>
                      <w:rFonts w:ascii="Times New Roman" w:hAnsi="Times New Roman"/>
                      <w:i/>
                      <w:szCs w:val="20"/>
                      <w:lang w:val="sk-SK" w:eastAsia="sk-SK"/>
                    </w:rPr>
                    <w:t>-</w:t>
                  </w:r>
                </w:p>
              </w:tc>
              <w:tc>
                <w:tcPr>
                  <w:tcW w:w="2948" w:type="dxa"/>
                  <w:tcBorders>
                    <w:top w:val="single" w:sz="4" w:space="0" w:color="auto"/>
                    <w:left w:val="single" w:sz="4" w:space="0" w:color="auto"/>
                    <w:bottom w:val="single" w:sz="4" w:space="0" w:color="auto"/>
                    <w:right w:val="single" w:sz="4" w:space="0" w:color="auto"/>
                  </w:tcBorders>
                  <w:hideMark/>
                </w:tcPr>
                <w:p w:rsidR="00A42EB4" w:rsidRPr="005F703B" w:rsidRDefault="00A85C88" w:rsidP="00BE0073">
                  <w:pPr>
                    <w:spacing w:before="0"/>
                    <w:jc w:val="center"/>
                    <w:rPr>
                      <w:rFonts w:ascii="Times New Roman" w:hAnsi="Times New Roman"/>
                      <w:b/>
                      <w:i/>
                      <w:szCs w:val="20"/>
                      <w:lang w:val="sk-SK" w:eastAsia="sk-SK"/>
                    </w:rPr>
                  </w:pPr>
                  <w:r w:rsidRPr="005F703B">
                    <w:rPr>
                      <w:rFonts w:ascii="Times New Roman" w:hAnsi="Times New Roman"/>
                      <w:b/>
                      <w:i/>
                      <w:szCs w:val="20"/>
                      <w:lang w:val="sk-SK" w:eastAsia="sk-SK"/>
                    </w:rPr>
                    <w:t xml:space="preserve">107 640 eur </w:t>
                  </w:r>
                </w:p>
              </w:tc>
            </w:tr>
            <w:tr w:rsidR="00A42EB4" w:rsidRPr="005F703B" w:rsidTr="00D63EB3">
              <w:tc>
                <w:tcPr>
                  <w:tcW w:w="2952" w:type="dxa"/>
                  <w:tcBorders>
                    <w:top w:val="single" w:sz="4" w:space="0" w:color="auto"/>
                    <w:left w:val="single" w:sz="4" w:space="0" w:color="auto"/>
                    <w:bottom w:val="single" w:sz="4" w:space="0" w:color="auto"/>
                    <w:right w:val="single" w:sz="4" w:space="0" w:color="auto"/>
                  </w:tcBorders>
                  <w:hideMark/>
                </w:tcPr>
                <w:p w:rsidR="00A42EB4" w:rsidRPr="005F703B" w:rsidRDefault="00A42EB4" w:rsidP="00D63EB3">
                  <w:pPr>
                    <w:spacing w:before="0"/>
                    <w:jc w:val="both"/>
                    <w:rPr>
                      <w:rFonts w:ascii="Times New Roman" w:hAnsi="Times New Roman"/>
                      <w:i/>
                      <w:szCs w:val="20"/>
                      <w:lang w:val="sk-SK" w:eastAsia="sk-SK"/>
                    </w:rPr>
                  </w:pPr>
                  <w:r w:rsidRPr="005F703B">
                    <w:rPr>
                      <w:rFonts w:ascii="Times New Roman" w:hAnsi="Times New Roman"/>
                      <w:i/>
                      <w:szCs w:val="20"/>
                      <w:lang w:val="sk-SK" w:eastAsia="sk-SK"/>
                    </w:rPr>
                    <w:t>Nepriame finančné náklady</w:t>
                  </w:r>
                </w:p>
              </w:tc>
              <w:tc>
                <w:tcPr>
                  <w:tcW w:w="2936" w:type="dxa"/>
                  <w:tcBorders>
                    <w:top w:val="single" w:sz="4" w:space="0" w:color="auto"/>
                    <w:left w:val="single" w:sz="4" w:space="0" w:color="auto"/>
                    <w:bottom w:val="single" w:sz="4" w:space="0" w:color="auto"/>
                    <w:right w:val="single" w:sz="4" w:space="0" w:color="auto"/>
                  </w:tcBorders>
                  <w:hideMark/>
                </w:tcPr>
                <w:p w:rsidR="00A42EB4" w:rsidRPr="005F703B" w:rsidRDefault="00A42EB4" w:rsidP="00D63EB3">
                  <w:pPr>
                    <w:spacing w:before="0"/>
                    <w:jc w:val="center"/>
                    <w:rPr>
                      <w:rFonts w:ascii="Times New Roman" w:hAnsi="Times New Roman"/>
                      <w:b/>
                      <w:i/>
                      <w:szCs w:val="20"/>
                      <w:lang w:val="sk-SK" w:eastAsia="sk-SK"/>
                    </w:rPr>
                  </w:pPr>
                  <w:r w:rsidRPr="005F703B">
                    <w:rPr>
                      <w:rFonts w:ascii="Times New Roman" w:hAnsi="Times New Roman"/>
                      <w:b/>
                      <w:i/>
                      <w:szCs w:val="20"/>
                      <w:lang w:val="sk-SK" w:eastAsia="sk-SK"/>
                    </w:rPr>
                    <w:t>1</w:t>
                  </w:r>
                  <w:r w:rsidR="00401AB8">
                    <w:rPr>
                      <w:rFonts w:ascii="Times New Roman" w:hAnsi="Times New Roman"/>
                      <w:b/>
                      <w:i/>
                      <w:szCs w:val="20"/>
                      <w:lang w:val="sk-SK" w:eastAsia="sk-SK"/>
                    </w:rPr>
                    <w:t xml:space="preserve"> </w:t>
                  </w:r>
                  <w:r w:rsidRPr="005F703B">
                    <w:rPr>
                      <w:rFonts w:ascii="Times New Roman" w:hAnsi="Times New Roman"/>
                      <w:b/>
                      <w:i/>
                      <w:szCs w:val="20"/>
                      <w:lang w:val="sk-SK" w:eastAsia="sk-SK"/>
                    </w:rPr>
                    <w:t>350 eur</w:t>
                  </w:r>
                </w:p>
              </w:tc>
              <w:tc>
                <w:tcPr>
                  <w:tcW w:w="2948" w:type="dxa"/>
                  <w:tcBorders>
                    <w:top w:val="single" w:sz="4" w:space="0" w:color="auto"/>
                    <w:left w:val="single" w:sz="4" w:space="0" w:color="auto"/>
                    <w:bottom w:val="single" w:sz="4" w:space="0" w:color="auto"/>
                    <w:right w:val="single" w:sz="4" w:space="0" w:color="auto"/>
                  </w:tcBorders>
                  <w:hideMark/>
                </w:tcPr>
                <w:p w:rsidR="00A42EB4" w:rsidRPr="005F703B" w:rsidRDefault="00A42EB4" w:rsidP="00D63EB3">
                  <w:pPr>
                    <w:spacing w:before="0"/>
                    <w:jc w:val="center"/>
                    <w:rPr>
                      <w:rFonts w:ascii="Times New Roman" w:hAnsi="Times New Roman"/>
                      <w:b/>
                      <w:i/>
                      <w:szCs w:val="20"/>
                      <w:lang w:val="sk-SK" w:eastAsia="sk-SK"/>
                    </w:rPr>
                  </w:pPr>
                  <w:r w:rsidRPr="005F703B">
                    <w:rPr>
                      <w:rFonts w:ascii="Times New Roman" w:hAnsi="Times New Roman"/>
                      <w:b/>
                      <w:i/>
                      <w:szCs w:val="20"/>
                      <w:lang w:val="sk-SK" w:eastAsia="sk-SK"/>
                    </w:rPr>
                    <w:t>49 062 000 eur</w:t>
                  </w:r>
                </w:p>
              </w:tc>
            </w:tr>
            <w:tr w:rsidR="00A42EB4" w:rsidRPr="005F703B" w:rsidTr="00D63EB3">
              <w:tc>
                <w:tcPr>
                  <w:tcW w:w="2952" w:type="dxa"/>
                  <w:tcBorders>
                    <w:top w:val="single" w:sz="4" w:space="0" w:color="auto"/>
                    <w:left w:val="single" w:sz="4" w:space="0" w:color="auto"/>
                    <w:bottom w:val="single" w:sz="4" w:space="0" w:color="auto"/>
                    <w:right w:val="single" w:sz="4" w:space="0" w:color="auto"/>
                  </w:tcBorders>
                  <w:hideMark/>
                </w:tcPr>
                <w:p w:rsidR="00A42EB4" w:rsidRPr="005F703B" w:rsidRDefault="00A42EB4" w:rsidP="00D63EB3">
                  <w:pPr>
                    <w:spacing w:before="0"/>
                    <w:jc w:val="both"/>
                    <w:rPr>
                      <w:rFonts w:ascii="Times New Roman" w:hAnsi="Times New Roman"/>
                      <w:i/>
                      <w:szCs w:val="20"/>
                      <w:lang w:val="sk-SK" w:eastAsia="sk-SK"/>
                    </w:rPr>
                  </w:pPr>
                  <w:r w:rsidRPr="005F703B">
                    <w:rPr>
                      <w:rFonts w:ascii="Times New Roman" w:hAnsi="Times New Roman"/>
                      <w:i/>
                      <w:szCs w:val="20"/>
                      <w:lang w:val="sk-SK" w:eastAsia="sk-SK"/>
                    </w:rPr>
                    <w:t>Administratívne náklady</w:t>
                  </w:r>
                </w:p>
              </w:tc>
              <w:tc>
                <w:tcPr>
                  <w:tcW w:w="2936" w:type="dxa"/>
                  <w:tcBorders>
                    <w:top w:val="single" w:sz="4" w:space="0" w:color="auto"/>
                    <w:left w:val="single" w:sz="4" w:space="0" w:color="auto"/>
                    <w:bottom w:val="single" w:sz="4" w:space="0" w:color="auto"/>
                    <w:right w:val="single" w:sz="4" w:space="0" w:color="auto"/>
                  </w:tcBorders>
                  <w:hideMark/>
                </w:tcPr>
                <w:p w:rsidR="00A42EB4" w:rsidRPr="005F703B" w:rsidRDefault="00CA629A" w:rsidP="00CA629A">
                  <w:pPr>
                    <w:spacing w:before="0"/>
                    <w:jc w:val="center"/>
                    <w:rPr>
                      <w:rFonts w:ascii="Times New Roman" w:hAnsi="Times New Roman"/>
                      <w:i/>
                      <w:szCs w:val="20"/>
                      <w:lang w:val="sk-SK" w:eastAsia="sk-SK"/>
                    </w:rPr>
                  </w:pPr>
                  <w:r>
                    <w:rPr>
                      <w:rFonts w:ascii="Times New Roman" w:hAnsi="Times New Roman"/>
                      <w:b/>
                      <w:i/>
                      <w:szCs w:val="20"/>
                      <w:lang w:val="sk-SK" w:eastAsia="sk-SK"/>
                    </w:rPr>
                    <w:t>339</w:t>
                  </w:r>
                  <w:r w:rsidR="00A42EB4" w:rsidRPr="005F703B">
                    <w:rPr>
                      <w:rFonts w:ascii="Times New Roman" w:hAnsi="Times New Roman"/>
                      <w:b/>
                      <w:i/>
                      <w:szCs w:val="20"/>
                      <w:lang w:val="sk-SK" w:eastAsia="sk-SK"/>
                    </w:rPr>
                    <w:t>,</w:t>
                  </w:r>
                  <w:r>
                    <w:rPr>
                      <w:rFonts w:ascii="Times New Roman" w:hAnsi="Times New Roman"/>
                      <w:b/>
                      <w:i/>
                      <w:szCs w:val="20"/>
                      <w:lang w:val="sk-SK" w:eastAsia="sk-SK"/>
                    </w:rPr>
                    <w:t>9</w:t>
                  </w:r>
                  <w:r w:rsidR="00A42EB4" w:rsidRPr="005F703B">
                    <w:rPr>
                      <w:rFonts w:ascii="Times New Roman" w:hAnsi="Times New Roman"/>
                      <w:b/>
                      <w:i/>
                      <w:szCs w:val="20"/>
                      <w:lang w:val="sk-SK" w:eastAsia="sk-SK"/>
                    </w:rPr>
                    <w:t xml:space="preserve"> eur</w:t>
                  </w:r>
                </w:p>
              </w:tc>
              <w:tc>
                <w:tcPr>
                  <w:tcW w:w="2948" w:type="dxa"/>
                  <w:tcBorders>
                    <w:top w:val="single" w:sz="4" w:space="0" w:color="auto"/>
                    <w:left w:val="single" w:sz="4" w:space="0" w:color="auto"/>
                    <w:bottom w:val="single" w:sz="4" w:space="0" w:color="auto"/>
                    <w:right w:val="single" w:sz="4" w:space="0" w:color="auto"/>
                  </w:tcBorders>
                  <w:hideMark/>
                </w:tcPr>
                <w:p w:rsidR="00A42EB4" w:rsidRPr="005F703B" w:rsidRDefault="00CA629A" w:rsidP="00D63EB3">
                  <w:pPr>
                    <w:spacing w:before="0"/>
                    <w:jc w:val="center"/>
                    <w:rPr>
                      <w:rFonts w:ascii="Times New Roman" w:hAnsi="Times New Roman"/>
                      <w:i/>
                      <w:szCs w:val="20"/>
                      <w:lang w:val="sk-SK" w:eastAsia="sk-SK"/>
                    </w:rPr>
                  </w:pPr>
                  <w:r w:rsidRPr="00CA629A">
                    <w:rPr>
                      <w:rFonts w:ascii="Times New Roman" w:hAnsi="Times New Roman"/>
                      <w:b/>
                      <w:i/>
                      <w:szCs w:val="20"/>
                      <w:lang w:val="sk-SK" w:eastAsia="sk-SK"/>
                    </w:rPr>
                    <w:t>5 885 708,4</w:t>
                  </w:r>
                  <w:r w:rsidR="00A42EB4" w:rsidRPr="005F703B">
                    <w:rPr>
                      <w:rFonts w:ascii="Times New Roman" w:hAnsi="Times New Roman"/>
                      <w:b/>
                      <w:i/>
                      <w:szCs w:val="20"/>
                      <w:lang w:val="sk-SK" w:eastAsia="sk-SK"/>
                    </w:rPr>
                    <w:t xml:space="preserve"> eur</w:t>
                  </w:r>
                </w:p>
              </w:tc>
            </w:tr>
            <w:tr w:rsidR="00A42EB4" w:rsidRPr="005F703B" w:rsidTr="00D63EB3">
              <w:tc>
                <w:tcPr>
                  <w:tcW w:w="2952" w:type="dxa"/>
                  <w:tcBorders>
                    <w:top w:val="single" w:sz="4" w:space="0" w:color="auto"/>
                    <w:left w:val="single" w:sz="4" w:space="0" w:color="auto"/>
                    <w:bottom w:val="single" w:sz="4" w:space="0" w:color="auto"/>
                    <w:right w:val="single" w:sz="4" w:space="0" w:color="auto"/>
                  </w:tcBorders>
                  <w:hideMark/>
                </w:tcPr>
                <w:p w:rsidR="00A42EB4" w:rsidRPr="005F703B" w:rsidRDefault="00A42EB4" w:rsidP="00D63EB3">
                  <w:pPr>
                    <w:spacing w:before="0"/>
                    <w:jc w:val="both"/>
                    <w:rPr>
                      <w:rFonts w:ascii="Times New Roman" w:hAnsi="Times New Roman"/>
                      <w:b/>
                      <w:i/>
                      <w:szCs w:val="20"/>
                      <w:lang w:val="sk-SK" w:eastAsia="sk-SK"/>
                    </w:rPr>
                  </w:pPr>
                  <w:r w:rsidRPr="005F703B">
                    <w:rPr>
                      <w:rFonts w:ascii="Times New Roman" w:hAnsi="Times New Roman"/>
                      <w:b/>
                      <w:i/>
                      <w:szCs w:val="20"/>
                      <w:lang w:val="sk-SK" w:eastAsia="sk-SK"/>
                    </w:rPr>
                    <w:t xml:space="preserve">Celkové náklady regulácie </w:t>
                  </w:r>
                </w:p>
              </w:tc>
              <w:tc>
                <w:tcPr>
                  <w:tcW w:w="2936" w:type="dxa"/>
                  <w:tcBorders>
                    <w:top w:val="single" w:sz="4" w:space="0" w:color="auto"/>
                    <w:left w:val="single" w:sz="4" w:space="0" w:color="auto"/>
                    <w:bottom w:val="single" w:sz="4" w:space="0" w:color="auto"/>
                    <w:right w:val="single" w:sz="4" w:space="0" w:color="auto"/>
                  </w:tcBorders>
                  <w:hideMark/>
                </w:tcPr>
                <w:p w:rsidR="00A42EB4" w:rsidRPr="005F703B" w:rsidRDefault="00A85C88" w:rsidP="00CA629A">
                  <w:pPr>
                    <w:spacing w:before="0"/>
                    <w:jc w:val="center"/>
                    <w:rPr>
                      <w:rFonts w:ascii="Times New Roman" w:hAnsi="Times New Roman"/>
                      <w:b/>
                      <w:i/>
                      <w:szCs w:val="20"/>
                      <w:lang w:val="sk-SK" w:eastAsia="sk-SK"/>
                    </w:rPr>
                  </w:pPr>
                  <w:r w:rsidRPr="005F703B">
                    <w:rPr>
                      <w:rFonts w:ascii="Times New Roman" w:hAnsi="Times New Roman"/>
                      <w:b/>
                      <w:i/>
                      <w:szCs w:val="20"/>
                      <w:lang w:val="sk-SK" w:eastAsia="sk-SK"/>
                    </w:rPr>
                    <w:t>1</w:t>
                  </w:r>
                  <w:r w:rsidR="00CA629A">
                    <w:rPr>
                      <w:rFonts w:ascii="Times New Roman" w:hAnsi="Times New Roman"/>
                      <w:b/>
                      <w:i/>
                      <w:szCs w:val="20"/>
                      <w:lang w:val="sk-SK" w:eastAsia="sk-SK"/>
                    </w:rPr>
                    <w:t> </w:t>
                  </w:r>
                  <w:r w:rsidRPr="005F703B">
                    <w:rPr>
                      <w:rFonts w:ascii="Times New Roman" w:hAnsi="Times New Roman"/>
                      <w:b/>
                      <w:i/>
                      <w:szCs w:val="20"/>
                      <w:lang w:val="sk-SK" w:eastAsia="sk-SK"/>
                    </w:rPr>
                    <w:t>6</w:t>
                  </w:r>
                  <w:r w:rsidR="00CA629A">
                    <w:rPr>
                      <w:rFonts w:ascii="Times New Roman" w:hAnsi="Times New Roman"/>
                      <w:b/>
                      <w:i/>
                      <w:szCs w:val="20"/>
                      <w:lang w:val="sk-SK" w:eastAsia="sk-SK"/>
                    </w:rPr>
                    <w:t>89,9</w:t>
                  </w:r>
                  <w:r w:rsidR="00A42EB4" w:rsidRPr="005F703B">
                    <w:rPr>
                      <w:rFonts w:ascii="Times New Roman" w:hAnsi="Times New Roman"/>
                      <w:b/>
                      <w:i/>
                      <w:szCs w:val="20"/>
                      <w:lang w:val="sk-SK" w:eastAsia="sk-SK"/>
                    </w:rPr>
                    <w:t xml:space="preserve"> eur</w:t>
                  </w:r>
                </w:p>
              </w:tc>
              <w:tc>
                <w:tcPr>
                  <w:tcW w:w="2948" w:type="dxa"/>
                  <w:tcBorders>
                    <w:top w:val="single" w:sz="4" w:space="0" w:color="auto"/>
                    <w:left w:val="single" w:sz="4" w:space="0" w:color="auto"/>
                    <w:bottom w:val="single" w:sz="4" w:space="0" w:color="auto"/>
                    <w:right w:val="single" w:sz="4" w:space="0" w:color="auto"/>
                  </w:tcBorders>
                  <w:hideMark/>
                </w:tcPr>
                <w:p w:rsidR="00A42EB4" w:rsidRPr="005F703B" w:rsidRDefault="00A85C88" w:rsidP="00CA629A">
                  <w:pPr>
                    <w:spacing w:before="0"/>
                    <w:jc w:val="center"/>
                    <w:rPr>
                      <w:rFonts w:ascii="Times New Roman" w:hAnsi="Times New Roman"/>
                      <w:b/>
                      <w:i/>
                      <w:szCs w:val="20"/>
                      <w:lang w:val="sk-SK" w:eastAsia="sk-SK"/>
                    </w:rPr>
                  </w:pPr>
                  <w:r w:rsidRPr="005F703B">
                    <w:rPr>
                      <w:rFonts w:ascii="Times New Roman" w:hAnsi="Times New Roman"/>
                      <w:b/>
                      <w:i/>
                      <w:szCs w:val="20"/>
                      <w:lang w:val="sk-SK" w:eastAsia="sk-SK"/>
                    </w:rPr>
                    <w:t>5</w:t>
                  </w:r>
                  <w:r w:rsidR="00CA629A">
                    <w:rPr>
                      <w:rFonts w:ascii="Times New Roman" w:hAnsi="Times New Roman"/>
                      <w:b/>
                      <w:i/>
                      <w:szCs w:val="20"/>
                      <w:lang w:val="sk-SK" w:eastAsia="sk-SK"/>
                    </w:rPr>
                    <w:t>5 055 348,4</w:t>
                  </w:r>
                  <w:r w:rsidR="00A42EB4" w:rsidRPr="005F703B">
                    <w:rPr>
                      <w:rFonts w:ascii="Times New Roman" w:hAnsi="Times New Roman"/>
                      <w:b/>
                      <w:i/>
                      <w:szCs w:val="20"/>
                      <w:lang w:val="sk-SK" w:eastAsia="sk-SK"/>
                    </w:rPr>
                    <w:t xml:space="preserve">  eur</w:t>
                  </w:r>
                </w:p>
              </w:tc>
            </w:tr>
          </w:tbl>
          <w:p w:rsidR="00A42EB4" w:rsidRPr="005F703B" w:rsidRDefault="00A42EB4" w:rsidP="00D63EB3">
            <w:pPr>
              <w:spacing w:before="0"/>
              <w:rPr>
                <w:rFonts w:ascii="Times New Roman" w:hAnsi="Times New Roman"/>
                <w:i/>
                <w:szCs w:val="20"/>
                <w:lang w:val="sk-SK" w:eastAsia="sk-SK"/>
              </w:rPr>
            </w:pPr>
          </w:p>
        </w:tc>
      </w:tr>
      <w:tr w:rsidR="00A42EB4" w:rsidRPr="005F703B" w:rsidTr="00D63EB3">
        <w:tc>
          <w:tcPr>
            <w:tcW w:w="90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42EB4" w:rsidRPr="005F703B" w:rsidRDefault="00A42EB4" w:rsidP="00D63EB3">
            <w:pPr>
              <w:spacing w:before="0"/>
              <w:rPr>
                <w:rFonts w:ascii="Times New Roman" w:hAnsi="Times New Roman"/>
                <w:b/>
                <w:sz w:val="24"/>
                <w:szCs w:val="20"/>
                <w:lang w:val="sk-SK" w:eastAsia="sk-SK"/>
              </w:rPr>
            </w:pPr>
            <w:r w:rsidRPr="005F703B">
              <w:rPr>
                <w:rFonts w:ascii="Times New Roman" w:hAnsi="Times New Roman"/>
                <w:b/>
                <w:sz w:val="24"/>
                <w:szCs w:val="20"/>
                <w:lang w:val="sk-SK" w:eastAsia="sk-SK"/>
              </w:rPr>
              <w:t>3.4 Konkurencieschopnosť a správanie sa podnikov na trhu</w:t>
            </w:r>
          </w:p>
          <w:p w:rsidR="00A42EB4" w:rsidRPr="005F703B" w:rsidRDefault="00A42EB4" w:rsidP="00D63EB3">
            <w:pPr>
              <w:spacing w:before="0"/>
              <w:rPr>
                <w:rFonts w:ascii="Times New Roman" w:hAnsi="Times New Roman"/>
                <w:szCs w:val="20"/>
                <w:lang w:val="sk-SK" w:eastAsia="sk-SK"/>
              </w:rPr>
            </w:pPr>
            <w:r w:rsidRPr="005F703B">
              <w:rPr>
                <w:rFonts w:ascii="Times New Roman" w:hAnsi="Times New Roman"/>
                <w:b/>
                <w:sz w:val="24"/>
                <w:szCs w:val="20"/>
                <w:lang w:val="sk-SK" w:eastAsia="sk-SK"/>
              </w:rPr>
              <w:t xml:space="preserve">       </w:t>
            </w:r>
            <w:r w:rsidRPr="005F703B">
              <w:rPr>
                <w:rFonts w:ascii="Times New Roman" w:hAnsi="Times New Roman"/>
                <w:sz w:val="24"/>
                <w:szCs w:val="20"/>
                <w:lang w:val="sk-SK" w:eastAsia="sk-SK"/>
              </w:rPr>
              <w:t xml:space="preserve">- </w:t>
            </w:r>
            <w:r w:rsidRPr="005F703B">
              <w:rPr>
                <w:rFonts w:ascii="Times New Roman" w:hAnsi="Times New Roman"/>
                <w:b/>
                <w:sz w:val="24"/>
                <w:szCs w:val="20"/>
                <w:lang w:val="sk-SK" w:eastAsia="sk-SK"/>
              </w:rPr>
              <w:t>z toho MSP</w:t>
            </w:r>
          </w:p>
        </w:tc>
      </w:tr>
      <w:tr w:rsidR="00A42EB4" w:rsidRPr="005F703B" w:rsidTr="00D63EB3">
        <w:tc>
          <w:tcPr>
            <w:tcW w:w="9062" w:type="dxa"/>
            <w:tcBorders>
              <w:top w:val="single" w:sz="4" w:space="0" w:color="auto"/>
              <w:left w:val="single" w:sz="4" w:space="0" w:color="auto"/>
              <w:bottom w:val="single" w:sz="4" w:space="0" w:color="auto"/>
              <w:right w:val="single" w:sz="4" w:space="0" w:color="auto"/>
            </w:tcBorders>
            <w:hideMark/>
          </w:tcPr>
          <w:p w:rsidR="00A42EB4" w:rsidRPr="005F703B" w:rsidRDefault="00A42EB4" w:rsidP="00A85C88">
            <w:pPr>
              <w:spacing w:before="0"/>
              <w:jc w:val="both"/>
              <w:rPr>
                <w:rFonts w:ascii="Times New Roman" w:hAnsi="Times New Roman"/>
                <w:sz w:val="24"/>
                <w:lang w:val="sk-SK" w:eastAsia="sk-SK"/>
              </w:rPr>
            </w:pPr>
            <w:r w:rsidRPr="005F703B">
              <w:rPr>
                <w:rFonts w:ascii="Times New Roman" w:hAnsi="Times New Roman"/>
                <w:sz w:val="24"/>
                <w:lang w:val="sk-SK" w:eastAsia="sk-SK"/>
              </w:rPr>
              <w:t>Predkladaným návrhom zákona nedochádza k zmene konkurencieschopnosti v rámci vnútroštátnej dopravy. K zmene konkurencieschopnosti môže prísť v rámci jednotného trhu</w:t>
            </w:r>
            <w:r w:rsidR="00A93A85">
              <w:rPr>
                <w:rFonts w:ascii="Times New Roman" w:hAnsi="Times New Roman"/>
                <w:sz w:val="24"/>
                <w:lang w:val="sk-SK" w:eastAsia="sk-SK"/>
              </w:rPr>
              <w:t>,</w:t>
            </w:r>
            <w:r w:rsidRPr="005F703B">
              <w:rPr>
                <w:rFonts w:ascii="Times New Roman" w:hAnsi="Times New Roman"/>
                <w:sz w:val="24"/>
                <w:lang w:val="sk-SK" w:eastAsia="sk-SK"/>
              </w:rPr>
              <w:t xml:space="preserve"> a to hlavne u dopravcov, ktorí vykonávali</w:t>
            </w:r>
            <w:r w:rsidR="00A85C88" w:rsidRPr="005F703B">
              <w:rPr>
                <w:rFonts w:ascii="Times New Roman" w:hAnsi="Times New Roman"/>
                <w:sz w:val="24"/>
                <w:lang w:val="sk-SK" w:eastAsia="sk-SK"/>
              </w:rPr>
              <w:t xml:space="preserve"> a ktorí budú vykonávať väčšinu </w:t>
            </w:r>
            <w:r w:rsidRPr="005F703B">
              <w:rPr>
                <w:rFonts w:ascii="Times New Roman" w:hAnsi="Times New Roman"/>
                <w:sz w:val="24"/>
                <w:lang w:val="sk-SK" w:eastAsia="sk-SK"/>
              </w:rPr>
              <w:t xml:space="preserve"> dopravn</w:t>
            </w:r>
            <w:r w:rsidR="00A85C88" w:rsidRPr="005F703B">
              <w:rPr>
                <w:rFonts w:ascii="Times New Roman" w:hAnsi="Times New Roman"/>
                <w:sz w:val="24"/>
                <w:lang w:val="sk-SK" w:eastAsia="sk-SK"/>
              </w:rPr>
              <w:t>ých</w:t>
            </w:r>
            <w:r w:rsidRPr="005F703B">
              <w:rPr>
                <w:rFonts w:ascii="Times New Roman" w:hAnsi="Times New Roman"/>
                <w:sz w:val="24"/>
                <w:lang w:val="sk-SK" w:eastAsia="sk-SK"/>
              </w:rPr>
              <w:t xml:space="preserve"> služ</w:t>
            </w:r>
            <w:r w:rsidR="00A85C88" w:rsidRPr="005F703B">
              <w:rPr>
                <w:rFonts w:ascii="Times New Roman" w:hAnsi="Times New Roman"/>
                <w:sz w:val="24"/>
                <w:lang w:val="sk-SK" w:eastAsia="sk-SK"/>
              </w:rPr>
              <w:t>ieb</w:t>
            </w:r>
            <w:r w:rsidRPr="005F703B">
              <w:rPr>
                <w:rFonts w:ascii="Times New Roman" w:hAnsi="Times New Roman"/>
                <w:sz w:val="24"/>
                <w:lang w:val="sk-SK" w:eastAsia="sk-SK"/>
              </w:rPr>
              <w:t xml:space="preserve"> mimo územia Slovenskej republiky.</w:t>
            </w:r>
          </w:p>
        </w:tc>
      </w:tr>
      <w:tr w:rsidR="00A42EB4" w:rsidRPr="005F703B" w:rsidTr="00D63EB3">
        <w:trPr>
          <w:trHeight w:val="1282"/>
        </w:trPr>
        <w:tc>
          <w:tcPr>
            <w:tcW w:w="9062" w:type="dxa"/>
            <w:tcBorders>
              <w:top w:val="single" w:sz="4" w:space="0" w:color="auto"/>
              <w:left w:val="single" w:sz="4" w:space="0" w:color="auto"/>
              <w:bottom w:val="single" w:sz="4" w:space="0" w:color="auto"/>
              <w:right w:val="single" w:sz="4" w:space="0" w:color="auto"/>
            </w:tcBorders>
          </w:tcPr>
          <w:p w:rsidR="00A42EB4" w:rsidRPr="005F703B" w:rsidRDefault="00A42EB4" w:rsidP="00D63EB3">
            <w:pPr>
              <w:spacing w:before="0"/>
              <w:jc w:val="both"/>
              <w:rPr>
                <w:rFonts w:ascii="Times New Roman" w:hAnsi="Times New Roman"/>
                <w:sz w:val="24"/>
                <w:lang w:val="sk-SK" w:eastAsia="sk-SK"/>
              </w:rPr>
            </w:pPr>
            <w:r w:rsidRPr="005F703B">
              <w:rPr>
                <w:rFonts w:ascii="Times New Roman" w:hAnsi="Times New Roman"/>
                <w:sz w:val="24"/>
                <w:lang w:val="sk-SK" w:eastAsia="sk-SK"/>
              </w:rPr>
              <w:t>Návrh zákona nebude mať podľa nášho názoru vplyv na obchodné bariéry ani vplyv na vyvolanie cezhraničných investícií, ani na cenu a dostupnosť služieb. Návrh zákona nevytvára nové možnosti financovania aktivít.</w:t>
            </w:r>
          </w:p>
          <w:p w:rsidR="00A42EB4" w:rsidRPr="005F703B" w:rsidRDefault="00A42EB4" w:rsidP="00D63EB3">
            <w:pPr>
              <w:spacing w:before="0"/>
              <w:jc w:val="both"/>
              <w:rPr>
                <w:rFonts w:ascii="Times New Roman" w:hAnsi="Times New Roman"/>
                <w:sz w:val="24"/>
                <w:lang w:val="sk-SK" w:eastAsia="sk-SK"/>
              </w:rPr>
            </w:pPr>
          </w:p>
        </w:tc>
      </w:tr>
      <w:tr w:rsidR="00A42EB4" w:rsidRPr="005F703B" w:rsidTr="00D63EB3">
        <w:tc>
          <w:tcPr>
            <w:tcW w:w="90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42EB4" w:rsidRPr="005F703B" w:rsidRDefault="00A42EB4" w:rsidP="00D63EB3">
            <w:pPr>
              <w:spacing w:before="0"/>
              <w:rPr>
                <w:rFonts w:ascii="Times New Roman" w:hAnsi="Times New Roman"/>
                <w:b/>
                <w:sz w:val="24"/>
                <w:szCs w:val="20"/>
                <w:lang w:val="sk-SK" w:eastAsia="sk-SK"/>
              </w:rPr>
            </w:pPr>
            <w:r w:rsidRPr="005F703B">
              <w:rPr>
                <w:rFonts w:ascii="Times New Roman" w:hAnsi="Times New Roman"/>
                <w:b/>
                <w:sz w:val="24"/>
                <w:szCs w:val="20"/>
                <w:lang w:val="sk-SK" w:eastAsia="sk-SK"/>
              </w:rPr>
              <w:lastRenderedPageBreak/>
              <w:t xml:space="preserve">3.5 Inovácie </w:t>
            </w:r>
          </w:p>
          <w:p w:rsidR="00A42EB4" w:rsidRPr="005F703B" w:rsidRDefault="00A42EB4" w:rsidP="00D63EB3">
            <w:pPr>
              <w:spacing w:before="0"/>
              <w:rPr>
                <w:rFonts w:ascii="Times New Roman" w:hAnsi="Times New Roman"/>
                <w:b/>
                <w:szCs w:val="20"/>
                <w:lang w:val="sk-SK" w:eastAsia="sk-SK"/>
              </w:rPr>
            </w:pPr>
            <w:r w:rsidRPr="005F703B">
              <w:rPr>
                <w:rFonts w:ascii="Times New Roman" w:hAnsi="Times New Roman"/>
                <w:sz w:val="24"/>
                <w:szCs w:val="20"/>
                <w:lang w:val="sk-SK" w:eastAsia="sk-SK"/>
              </w:rPr>
              <w:t xml:space="preserve">       - </w:t>
            </w:r>
            <w:r w:rsidRPr="005F703B">
              <w:rPr>
                <w:rFonts w:ascii="Times New Roman" w:hAnsi="Times New Roman"/>
                <w:b/>
                <w:sz w:val="24"/>
                <w:szCs w:val="20"/>
                <w:lang w:val="sk-SK" w:eastAsia="sk-SK"/>
              </w:rPr>
              <w:t>z toho MSP</w:t>
            </w:r>
          </w:p>
        </w:tc>
      </w:tr>
      <w:tr w:rsidR="00A42EB4" w:rsidRPr="005F703B" w:rsidTr="00D63EB3">
        <w:tc>
          <w:tcPr>
            <w:tcW w:w="9062" w:type="dxa"/>
            <w:tcBorders>
              <w:top w:val="single" w:sz="4" w:space="0" w:color="auto"/>
              <w:left w:val="single" w:sz="4" w:space="0" w:color="auto"/>
              <w:bottom w:val="single" w:sz="4" w:space="0" w:color="auto"/>
              <w:right w:val="single" w:sz="4" w:space="0" w:color="auto"/>
            </w:tcBorders>
            <w:hideMark/>
          </w:tcPr>
          <w:p w:rsidR="00A42EB4" w:rsidRPr="005F703B" w:rsidRDefault="00A42EB4" w:rsidP="00D63EB3">
            <w:pPr>
              <w:spacing w:before="0"/>
              <w:jc w:val="both"/>
              <w:rPr>
                <w:rFonts w:ascii="Times New Roman" w:hAnsi="Times New Roman"/>
                <w:i/>
                <w:szCs w:val="20"/>
                <w:lang w:val="sk-SK" w:eastAsia="sk-SK"/>
              </w:rPr>
            </w:pPr>
            <w:r w:rsidRPr="005F703B">
              <w:rPr>
                <w:rFonts w:ascii="Times New Roman" w:hAnsi="Times New Roman"/>
                <w:i/>
                <w:szCs w:val="20"/>
                <w:lang w:val="sk-SK" w:eastAsia="sk-SK"/>
              </w:rPr>
              <w:t>Uveďte, ako podporuje navrhovaná zmena inovácie.</w:t>
            </w:r>
          </w:p>
          <w:p w:rsidR="00A42EB4" w:rsidRPr="005F703B" w:rsidRDefault="00A42EB4" w:rsidP="00D63EB3">
            <w:pPr>
              <w:spacing w:before="0"/>
              <w:jc w:val="both"/>
              <w:rPr>
                <w:rFonts w:ascii="Times New Roman" w:hAnsi="Times New Roman"/>
                <w:i/>
                <w:szCs w:val="20"/>
                <w:lang w:val="sk-SK" w:eastAsia="sk-SK"/>
              </w:rPr>
            </w:pPr>
            <w:r w:rsidRPr="005F703B">
              <w:rPr>
                <w:rFonts w:ascii="Times New Roman" w:hAnsi="Times New Roman"/>
                <w:i/>
                <w:szCs w:val="20"/>
                <w:lang w:val="sk-SK" w:eastAsia="sk-SK"/>
              </w:rPr>
              <w:t>Zjednodušuje uvedenie alebo rozšírenie nových výrobných metód, technológií a výrobkov na trh?</w:t>
            </w:r>
          </w:p>
          <w:p w:rsidR="00A42EB4" w:rsidRPr="005F703B" w:rsidRDefault="00A42EB4" w:rsidP="00D63EB3">
            <w:pPr>
              <w:spacing w:before="0"/>
              <w:jc w:val="both"/>
              <w:rPr>
                <w:rFonts w:ascii="Times New Roman" w:hAnsi="Times New Roman"/>
                <w:i/>
                <w:szCs w:val="20"/>
                <w:lang w:val="sk-SK" w:eastAsia="sk-SK"/>
              </w:rPr>
            </w:pPr>
            <w:r w:rsidRPr="005F703B">
              <w:rPr>
                <w:rFonts w:ascii="Times New Roman" w:hAnsi="Times New Roman"/>
                <w:i/>
                <w:szCs w:val="20"/>
                <w:lang w:val="sk-SK" w:eastAsia="sk-SK"/>
              </w:rPr>
              <w:t>Uveďte, ako vplýva navrhovaná zmena na jednotlivé práva duševného vlastníctva (napr. patenty, ochranné známky, autorské práva, vlastníctvo know-how).</w:t>
            </w:r>
          </w:p>
          <w:p w:rsidR="00A42EB4" w:rsidRPr="005F703B" w:rsidRDefault="00A42EB4" w:rsidP="00D63EB3">
            <w:pPr>
              <w:spacing w:before="0"/>
              <w:jc w:val="both"/>
              <w:rPr>
                <w:rFonts w:ascii="Times New Roman" w:hAnsi="Times New Roman"/>
                <w:i/>
                <w:szCs w:val="20"/>
                <w:lang w:val="sk-SK" w:eastAsia="sk-SK"/>
              </w:rPr>
            </w:pPr>
            <w:r w:rsidRPr="005F703B">
              <w:rPr>
                <w:rFonts w:ascii="Times New Roman" w:hAnsi="Times New Roman"/>
                <w:i/>
                <w:szCs w:val="20"/>
                <w:lang w:val="sk-SK" w:eastAsia="sk-SK"/>
              </w:rPr>
              <w:t>Podporuje vyššiu efektivitu výroby/využívania zdrojov? Ak áno, ako?</w:t>
            </w:r>
          </w:p>
          <w:p w:rsidR="00A42EB4" w:rsidRPr="005F703B" w:rsidRDefault="00A42EB4" w:rsidP="00D63EB3">
            <w:pPr>
              <w:spacing w:before="0"/>
              <w:jc w:val="both"/>
              <w:rPr>
                <w:rFonts w:ascii="Times New Roman" w:hAnsi="Times New Roman"/>
                <w:i/>
                <w:szCs w:val="20"/>
                <w:lang w:val="sk-SK" w:eastAsia="sk-SK"/>
              </w:rPr>
            </w:pPr>
            <w:r w:rsidRPr="005F703B">
              <w:rPr>
                <w:rFonts w:ascii="Times New Roman" w:hAnsi="Times New Roman"/>
                <w:i/>
                <w:szCs w:val="20"/>
                <w:lang w:val="sk-SK" w:eastAsia="sk-SK"/>
              </w:rPr>
              <w:t>Vytvorí zmena nové pracovné miesta pre zamestnancov výskumu a vývoja v SR?</w:t>
            </w:r>
          </w:p>
        </w:tc>
      </w:tr>
      <w:tr w:rsidR="00A42EB4" w:rsidRPr="005F703B" w:rsidTr="00D63EB3">
        <w:trPr>
          <w:trHeight w:val="800"/>
        </w:trPr>
        <w:tc>
          <w:tcPr>
            <w:tcW w:w="9062" w:type="dxa"/>
            <w:tcBorders>
              <w:top w:val="single" w:sz="4" w:space="0" w:color="auto"/>
              <w:left w:val="single" w:sz="4" w:space="0" w:color="auto"/>
              <w:bottom w:val="single" w:sz="4" w:space="0" w:color="auto"/>
              <w:right w:val="single" w:sz="4" w:space="0" w:color="auto"/>
            </w:tcBorders>
            <w:hideMark/>
          </w:tcPr>
          <w:p w:rsidR="00A42EB4" w:rsidRPr="005F703B" w:rsidRDefault="00A42EB4" w:rsidP="005F703B">
            <w:pPr>
              <w:spacing w:before="0"/>
              <w:jc w:val="both"/>
              <w:rPr>
                <w:rFonts w:ascii="Times New Roman" w:hAnsi="Times New Roman"/>
                <w:sz w:val="24"/>
                <w:lang w:val="sk-SK" w:eastAsia="sk-SK"/>
              </w:rPr>
            </w:pPr>
            <w:r w:rsidRPr="005F703B">
              <w:rPr>
                <w:rFonts w:ascii="Times New Roman" w:hAnsi="Times New Roman"/>
                <w:sz w:val="24"/>
                <w:lang w:val="sk-SK" w:eastAsia="sk-SK"/>
              </w:rPr>
              <w:t xml:space="preserve">Navrhované </w:t>
            </w:r>
            <w:r w:rsidR="00837D37">
              <w:rPr>
                <w:rFonts w:ascii="Times New Roman" w:hAnsi="Times New Roman"/>
                <w:sz w:val="24"/>
                <w:lang w:val="sk-SK" w:eastAsia="sk-SK"/>
              </w:rPr>
              <w:t>zmeny nemajú vplyv na inovácie.</w:t>
            </w:r>
            <w:r w:rsidR="00CA0982">
              <w:rPr>
                <w:rFonts w:ascii="Times New Roman" w:hAnsi="Times New Roman"/>
                <w:sz w:val="24"/>
                <w:lang w:val="sk-SK" w:eastAsia="sk-SK"/>
              </w:rPr>
              <w:t xml:space="preserve"> </w:t>
            </w:r>
          </w:p>
        </w:tc>
      </w:tr>
    </w:tbl>
    <w:p w:rsidR="00ED7E54" w:rsidRPr="005F703B" w:rsidRDefault="00A42EB4">
      <w:r w:rsidRPr="005F703B">
        <w:rPr>
          <w:rFonts w:ascii="Times New Roman" w:hAnsi="Times New Roman"/>
          <w:b/>
          <w:bCs/>
          <w:sz w:val="24"/>
        </w:rPr>
        <w:br w:type="page"/>
      </w:r>
    </w:p>
    <w:sectPr w:rsidR="00ED7E54" w:rsidRPr="005F703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84C" w:rsidRDefault="00CA284C" w:rsidP="00B727F6">
      <w:pPr>
        <w:spacing w:before="0"/>
      </w:pPr>
      <w:r>
        <w:separator/>
      </w:r>
    </w:p>
  </w:endnote>
  <w:endnote w:type="continuationSeparator" w:id="0">
    <w:p w:rsidR="00CA284C" w:rsidRDefault="00CA284C" w:rsidP="00B727F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7F6" w:rsidRDefault="00B727F6">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6298884"/>
      <w:docPartObj>
        <w:docPartGallery w:val="Page Numbers (Bottom of Page)"/>
        <w:docPartUnique/>
      </w:docPartObj>
    </w:sdtPr>
    <w:sdtEndPr/>
    <w:sdtContent>
      <w:p w:rsidR="00B727F6" w:rsidRDefault="00B727F6">
        <w:pPr>
          <w:pStyle w:val="Pta"/>
          <w:jc w:val="center"/>
        </w:pPr>
        <w:r>
          <w:fldChar w:fldCharType="begin"/>
        </w:r>
        <w:r>
          <w:instrText>PAGE   \* MERGEFORMAT</w:instrText>
        </w:r>
        <w:r>
          <w:fldChar w:fldCharType="separate"/>
        </w:r>
        <w:r w:rsidR="00DA3269">
          <w:rPr>
            <w:noProof/>
          </w:rPr>
          <w:t>2</w:t>
        </w:r>
        <w:r>
          <w:fldChar w:fldCharType="end"/>
        </w:r>
      </w:p>
    </w:sdtContent>
  </w:sdt>
  <w:p w:rsidR="00B727F6" w:rsidRDefault="00B727F6">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7F6" w:rsidRDefault="00B727F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84C" w:rsidRDefault="00CA284C" w:rsidP="00B727F6">
      <w:pPr>
        <w:spacing w:before="0"/>
      </w:pPr>
      <w:r>
        <w:separator/>
      </w:r>
    </w:p>
  </w:footnote>
  <w:footnote w:type="continuationSeparator" w:id="0">
    <w:p w:rsidR="00CA284C" w:rsidRDefault="00CA284C" w:rsidP="00B727F6">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7F6" w:rsidRDefault="00B727F6">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7F6" w:rsidRDefault="00B727F6">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7F6" w:rsidRDefault="00B727F6">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EB4"/>
    <w:rsid w:val="00053CED"/>
    <w:rsid w:val="0021678E"/>
    <w:rsid w:val="00325BDE"/>
    <w:rsid w:val="00401AB8"/>
    <w:rsid w:val="00432ECD"/>
    <w:rsid w:val="004F6CAC"/>
    <w:rsid w:val="00542CC4"/>
    <w:rsid w:val="005F703B"/>
    <w:rsid w:val="006B26FF"/>
    <w:rsid w:val="007A6664"/>
    <w:rsid w:val="00837D37"/>
    <w:rsid w:val="008A6325"/>
    <w:rsid w:val="008F558B"/>
    <w:rsid w:val="009F7800"/>
    <w:rsid w:val="00A42EB4"/>
    <w:rsid w:val="00A85C88"/>
    <w:rsid w:val="00A93A85"/>
    <w:rsid w:val="00B03412"/>
    <w:rsid w:val="00B727F6"/>
    <w:rsid w:val="00BD2DBF"/>
    <w:rsid w:val="00BE0073"/>
    <w:rsid w:val="00CA0982"/>
    <w:rsid w:val="00CA284C"/>
    <w:rsid w:val="00CA629A"/>
    <w:rsid w:val="00CF0F8C"/>
    <w:rsid w:val="00DA3269"/>
    <w:rsid w:val="00EB76C6"/>
    <w:rsid w:val="00ED7E54"/>
    <w:rsid w:val="00FF04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5FE55"/>
  <w15:docId w15:val="{31E21120-27BD-42A9-AC3D-3A0ADDFD8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42EB4"/>
    <w:pPr>
      <w:spacing w:before="120" w:after="0" w:line="240" w:lineRule="auto"/>
    </w:pPr>
    <w:rPr>
      <w:rFonts w:ascii="Arial" w:eastAsia="Times New Roman" w:hAnsi="Arial" w:cs="Times New Roman"/>
      <w:sz w:val="20"/>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byajntext">
    <w:name w:val="Plain Text"/>
    <w:basedOn w:val="Normlny"/>
    <w:link w:val="ObyajntextChar"/>
    <w:uiPriority w:val="99"/>
    <w:semiHidden/>
    <w:unhideWhenUsed/>
    <w:rsid w:val="00A42EB4"/>
    <w:pPr>
      <w:spacing w:before="0"/>
    </w:pPr>
    <w:rPr>
      <w:rFonts w:ascii="Calibri" w:eastAsiaTheme="minorHAnsi" w:hAnsi="Calibri" w:cs="Calibri"/>
      <w:sz w:val="22"/>
      <w:szCs w:val="22"/>
    </w:rPr>
  </w:style>
  <w:style w:type="character" w:customStyle="1" w:styleId="ObyajntextChar">
    <w:name w:val="Obyčajný text Char"/>
    <w:basedOn w:val="Predvolenpsmoodseku"/>
    <w:link w:val="Obyajntext"/>
    <w:uiPriority w:val="99"/>
    <w:semiHidden/>
    <w:rsid w:val="00A42EB4"/>
    <w:rPr>
      <w:rFonts w:ascii="Calibri" w:hAnsi="Calibri" w:cs="Calibri"/>
    </w:rPr>
  </w:style>
  <w:style w:type="table" w:customStyle="1" w:styleId="Mriekatabuky1">
    <w:name w:val="Mriežka tabuľky1"/>
    <w:basedOn w:val="Normlnatabuka"/>
    <w:uiPriority w:val="59"/>
    <w:rsid w:val="00A42EB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A42EB4"/>
    <w:rPr>
      <w:color w:val="0563C1" w:themeColor="hyperlink"/>
      <w:u w:val="single"/>
    </w:rPr>
  </w:style>
  <w:style w:type="paragraph" w:styleId="Textbubliny">
    <w:name w:val="Balloon Text"/>
    <w:basedOn w:val="Normlny"/>
    <w:link w:val="TextbublinyChar"/>
    <w:uiPriority w:val="99"/>
    <w:semiHidden/>
    <w:unhideWhenUsed/>
    <w:rsid w:val="005F703B"/>
    <w:pPr>
      <w:spacing w:before="0"/>
    </w:pPr>
    <w:rPr>
      <w:rFonts w:ascii="Tahoma" w:hAnsi="Tahoma" w:cs="Tahoma"/>
      <w:sz w:val="16"/>
      <w:szCs w:val="16"/>
    </w:rPr>
  </w:style>
  <w:style w:type="character" w:customStyle="1" w:styleId="TextbublinyChar">
    <w:name w:val="Text bubliny Char"/>
    <w:basedOn w:val="Predvolenpsmoodseku"/>
    <w:link w:val="Textbubliny"/>
    <w:uiPriority w:val="99"/>
    <w:semiHidden/>
    <w:rsid w:val="005F703B"/>
    <w:rPr>
      <w:rFonts w:ascii="Tahoma" w:eastAsia="Times New Roman" w:hAnsi="Tahoma" w:cs="Tahoma"/>
      <w:sz w:val="16"/>
      <w:szCs w:val="16"/>
    </w:rPr>
  </w:style>
  <w:style w:type="paragraph" w:styleId="Hlavika">
    <w:name w:val="header"/>
    <w:basedOn w:val="Normlny"/>
    <w:link w:val="HlavikaChar"/>
    <w:uiPriority w:val="99"/>
    <w:unhideWhenUsed/>
    <w:rsid w:val="00B727F6"/>
    <w:pPr>
      <w:tabs>
        <w:tab w:val="center" w:pos="4536"/>
        <w:tab w:val="right" w:pos="9072"/>
      </w:tabs>
      <w:spacing w:before="0"/>
    </w:pPr>
  </w:style>
  <w:style w:type="character" w:customStyle="1" w:styleId="HlavikaChar">
    <w:name w:val="Hlavička Char"/>
    <w:basedOn w:val="Predvolenpsmoodseku"/>
    <w:link w:val="Hlavika"/>
    <w:uiPriority w:val="99"/>
    <w:rsid w:val="00B727F6"/>
    <w:rPr>
      <w:rFonts w:ascii="Arial" w:eastAsia="Times New Roman" w:hAnsi="Arial" w:cs="Times New Roman"/>
      <w:sz w:val="20"/>
      <w:szCs w:val="24"/>
    </w:rPr>
  </w:style>
  <w:style w:type="paragraph" w:styleId="Pta">
    <w:name w:val="footer"/>
    <w:basedOn w:val="Normlny"/>
    <w:link w:val="PtaChar"/>
    <w:uiPriority w:val="99"/>
    <w:unhideWhenUsed/>
    <w:rsid w:val="00B727F6"/>
    <w:pPr>
      <w:tabs>
        <w:tab w:val="center" w:pos="4536"/>
        <w:tab w:val="right" w:pos="9072"/>
      </w:tabs>
      <w:spacing w:before="0"/>
    </w:pPr>
  </w:style>
  <w:style w:type="character" w:customStyle="1" w:styleId="PtaChar">
    <w:name w:val="Päta Char"/>
    <w:basedOn w:val="Predvolenpsmoodseku"/>
    <w:link w:val="Pta"/>
    <w:uiPriority w:val="99"/>
    <w:rsid w:val="00B727F6"/>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economy.gov.sk/podnikatelske-prostredie/jednotna-metodika/prebiehajuce-konzultacie-a-predbezne-informaci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D507C-E189-4D24-B657-A9EAB53CF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1898</Words>
  <Characters>10820</Characters>
  <Application>Microsoft Office Word</Application>
  <DocSecurity>0</DocSecurity>
  <Lines>90</Lines>
  <Paragraphs>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Hudec, Marek</dc:creator>
  <cp:keywords/>
  <dc:description/>
  <cp:lastModifiedBy>Dindofferová, Alexandra</cp:lastModifiedBy>
  <cp:revision>11</cp:revision>
  <cp:lastPrinted>2021-04-27T09:14:00Z</cp:lastPrinted>
  <dcterms:created xsi:type="dcterms:W3CDTF">2021-04-20T11:44:00Z</dcterms:created>
  <dcterms:modified xsi:type="dcterms:W3CDTF">2021-07-28T08:04:00Z</dcterms:modified>
</cp:coreProperties>
</file>