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CE55D4" w:rsidRDefault="00CE55D4" w:rsidP="004D7A15">
      <w:pPr>
        <w:widowControl/>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542"/>
        <w:gridCol w:w="2105"/>
        <w:gridCol w:w="4400"/>
        <w:gridCol w:w="468"/>
        <w:gridCol w:w="557"/>
      </w:tblGrid>
      <w:tr w:rsidR="00CE55D4">
        <w:trPr>
          <w:divId w:val="1036351233"/>
          <w:trHeight w:val="405"/>
          <w:tblCellSpacing w:w="0" w:type="dxa"/>
        </w:trPr>
        <w:tc>
          <w:tcPr>
            <w:tcW w:w="5000" w:type="pct"/>
            <w:gridSpan w:val="5"/>
            <w:vAlign w:val="center"/>
            <w:hideMark/>
          </w:tcPr>
          <w:p w:rsidR="00CE55D4" w:rsidRPr="00C71E23" w:rsidRDefault="00CE55D4">
            <w:pPr>
              <w:pStyle w:val="Normlnywebov"/>
            </w:pPr>
            <w:r w:rsidRPr="00C71E23">
              <w:t> </w:t>
            </w:r>
          </w:p>
          <w:p w:rsidR="00CE55D4" w:rsidRPr="00C71E23" w:rsidRDefault="00CE55D4">
            <w:pPr>
              <w:pStyle w:val="Normlnywebov"/>
              <w:jc w:val="center"/>
            </w:pPr>
            <w:r w:rsidRPr="00C71E23">
              <w:rPr>
                <w:rStyle w:val="Siln"/>
              </w:rPr>
              <w:t>Scenár 3: Verejnosť sa zúčastňuje na tvorbe právneho predpisu</w:t>
            </w:r>
          </w:p>
        </w:tc>
      </w:tr>
      <w:tr w:rsidR="00CE55D4">
        <w:trPr>
          <w:divId w:val="1036351233"/>
          <w:trHeight w:val="405"/>
          <w:tblCellSpacing w:w="0" w:type="dxa"/>
        </w:trPr>
        <w:tc>
          <w:tcPr>
            <w:tcW w:w="850" w:type="pct"/>
            <w:vAlign w:val="center"/>
            <w:hideMark/>
          </w:tcPr>
          <w:p w:rsidR="00CE55D4" w:rsidRPr="00C71E23" w:rsidRDefault="00CE55D4">
            <w:pPr>
              <w:pStyle w:val="Normlnywebov"/>
              <w:jc w:val="center"/>
            </w:pPr>
            <w:r w:rsidRPr="00C71E23">
              <w:rPr>
                <w:rStyle w:val="Siln"/>
              </w:rPr>
              <w:t>Fáza procesu</w:t>
            </w:r>
          </w:p>
        </w:tc>
        <w:tc>
          <w:tcPr>
            <w:tcW w:w="1160" w:type="pct"/>
            <w:vAlign w:val="center"/>
            <w:hideMark/>
          </w:tcPr>
          <w:p w:rsidR="00CE55D4" w:rsidRPr="00C71E23" w:rsidRDefault="00CE55D4">
            <w:pPr>
              <w:pStyle w:val="Normlnywebov"/>
              <w:jc w:val="center"/>
            </w:pPr>
            <w:r w:rsidRPr="00C71E23">
              <w:rPr>
                <w:rStyle w:val="Siln"/>
              </w:rPr>
              <w:t>Subfáza</w:t>
            </w:r>
          </w:p>
        </w:tc>
        <w:tc>
          <w:tcPr>
            <w:tcW w:w="2425" w:type="pct"/>
            <w:vAlign w:val="center"/>
            <w:hideMark/>
          </w:tcPr>
          <w:p w:rsidR="00CE55D4" w:rsidRPr="00C71E23" w:rsidRDefault="00CE55D4">
            <w:pPr>
              <w:pStyle w:val="Normlnywebov"/>
              <w:jc w:val="center"/>
            </w:pPr>
            <w:r w:rsidRPr="00C71E23">
              <w:rPr>
                <w:rStyle w:val="Siln"/>
              </w:rPr>
              <w:t>Kontrolná otázka</w:t>
            </w:r>
          </w:p>
        </w:tc>
        <w:tc>
          <w:tcPr>
            <w:tcW w:w="258" w:type="pct"/>
            <w:vAlign w:val="center"/>
            <w:hideMark/>
          </w:tcPr>
          <w:p w:rsidR="00CE55D4" w:rsidRPr="00C71E23" w:rsidRDefault="00CE55D4">
            <w:pPr>
              <w:pStyle w:val="Normlnywebov"/>
              <w:jc w:val="center"/>
            </w:pPr>
            <w:r w:rsidRPr="00C71E23">
              <w:rPr>
                <w:rStyle w:val="Siln"/>
              </w:rPr>
              <w:t>A</w:t>
            </w:r>
          </w:p>
        </w:tc>
        <w:tc>
          <w:tcPr>
            <w:tcW w:w="307" w:type="pct"/>
            <w:vAlign w:val="center"/>
            <w:hideMark/>
          </w:tcPr>
          <w:p w:rsidR="00CE55D4" w:rsidRPr="00C71E23" w:rsidRDefault="00CE55D4">
            <w:pPr>
              <w:pStyle w:val="Normlnywebov"/>
              <w:jc w:val="center"/>
            </w:pPr>
            <w:r w:rsidRPr="00C71E23">
              <w:rPr>
                <w:rStyle w:val="Siln"/>
              </w:rPr>
              <w:t>N</w:t>
            </w:r>
          </w:p>
        </w:tc>
      </w:tr>
      <w:tr w:rsidR="00CE55D4">
        <w:trPr>
          <w:divId w:val="1036351233"/>
          <w:trHeight w:val="570"/>
          <w:tblCellSpacing w:w="0" w:type="dxa"/>
        </w:trPr>
        <w:tc>
          <w:tcPr>
            <w:tcW w:w="850" w:type="pct"/>
            <w:vMerge w:val="restart"/>
            <w:vAlign w:val="center"/>
            <w:hideMark/>
          </w:tcPr>
          <w:p w:rsidR="00CE55D4" w:rsidRPr="00C71E23" w:rsidRDefault="00CE55D4">
            <w:pPr>
              <w:pStyle w:val="Normlnywebov"/>
            </w:pPr>
            <w:r w:rsidRPr="00C71E23">
              <w:rPr>
                <w:rStyle w:val="Siln"/>
              </w:rPr>
              <w:t>1. Príprava tvorby právneho predpisu</w:t>
            </w:r>
          </w:p>
        </w:tc>
        <w:tc>
          <w:tcPr>
            <w:tcW w:w="1160" w:type="pct"/>
            <w:vAlign w:val="center"/>
            <w:hideMark/>
          </w:tcPr>
          <w:p w:rsidR="00CE55D4" w:rsidRPr="00C71E23" w:rsidRDefault="00CE55D4">
            <w:pPr>
              <w:pStyle w:val="Normlnywebov"/>
            </w:pPr>
            <w:r w:rsidRPr="00C71E23">
              <w:t>1.1 Identifikácia cieľa</w:t>
            </w:r>
          </w:p>
        </w:tc>
        <w:tc>
          <w:tcPr>
            <w:tcW w:w="2425" w:type="pct"/>
            <w:vAlign w:val="center"/>
            <w:hideMark/>
          </w:tcPr>
          <w:p w:rsidR="00CE55D4" w:rsidRPr="00C71E23" w:rsidRDefault="00CE55D4">
            <w:pPr>
              <w:pStyle w:val="Normlnywebov"/>
            </w:pPr>
            <w:r w:rsidRPr="00C71E23">
              <w:t>Bol zadefinovaný cieľ účasti verejnosti na tvorbe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Align w:val="center"/>
            <w:hideMark/>
          </w:tcPr>
          <w:p w:rsidR="00CE55D4" w:rsidRPr="00C71E23" w:rsidRDefault="00CE55D4">
            <w:pPr>
              <w:pStyle w:val="Normlnywebov"/>
            </w:pPr>
            <w:r w:rsidRPr="00C71E23">
              <w:t>1.2 Identifikácia problému a alternatív</w:t>
            </w:r>
          </w:p>
        </w:tc>
        <w:tc>
          <w:tcPr>
            <w:tcW w:w="2425" w:type="pct"/>
            <w:vAlign w:val="center"/>
            <w:hideMark/>
          </w:tcPr>
          <w:p w:rsidR="00CE55D4" w:rsidRPr="00C71E23" w:rsidRDefault="00CE55D4">
            <w:pPr>
              <w:pStyle w:val="Normlnywebov"/>
            </w:pPr>
            <w:r w:rsidRPr="00C71E23">
              <w:t>Bola vykonaná identifikácia problému a alternatív riešení?</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Align w:val="center"/>
            <w:hideMark/>
          </w:tcPr>
          <w:p w:rsidR="00CE55D4" w:rsidRPr="00C71E23" w:rsidRDefault="00CE55D4">
            <w:pPr>
              <w:pStyle w:val="Normlnywebov"/>
            </w:pPr>
            <w:r w:rsidRPr="00C71E23">
              <w:t>1.3 Identifikácia zainteresovaných skupín a jednotlivcov</w:t>
            </w:r>
          </w:p>
        </w:tc>
        <w:tc>
          <w:tcPr>
            <w:tcW w:w="2425" w:type="pct"/>
            <w:vAlign w:val="center"/>
            <w:hideMark/>
          </w:tcPr>
          <w:p w:rsidR="00CE55D4" w:rsidRPr="00C71E23" w:rsidRDefault="00CE55D4">
            <w:pPr>
              <w:pStyle w:val="Normlnywebov"/>
            </w:pPr>
            <w:r w:rsidRPr="00C71E23">
              <w:t>Bola vykonaná identifikácia zainteresovaných skupín a jednotlivcov?</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Align w:val="center"/>
            <w:hideMark/>
          </w:tcPr>
          <w:p w:rsidR="00CE55D4" w:rsidRPr="00C71E23" w:rsidRDefault="00CE55D4">
            <w:pPr>
              <w:pStyle w:val="Normlnywebov"/>
            </w:pPr>
            <w:r w:rsidRPr="00C71E23">
              <w:t>1.4 Identifikácia záujmov zainteresovaných skupín a jednotlivcov</w:t>
            </w:r>
          </w:p>
        </w:tc>
        <w:tc>
          <w:tcPr>
            <w:tcW w:w="2425" w:type="pct"/>
            <w:vAlign w:val="center"/>
            <w:hideMark/>
          </w:tcPr>
          <w:p w:rsidR="00CE55D4" w:rsidRPr="00C71E23" w:rsidRDefault="00CE55D4">
            <w:pPr>
              <w:pStyle w:val="Normlnywebov"/>
            </w:pPr>
            <w:r w:rsidRPr="00C71E23">
              <w:t>Bola vykonaná identifikácia záujmov a možných konfliktov zainteresovaných skupín a jednotlivcov?</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850" w:type="pct"/>
            <w:vMerge w:val="restart"/>
            <w:vAlign w:val="center"/>
            <w:hideMark/>
          </w:tcPr>
          <w:p w:rsidR="00CE55D4" w:rsidRPr="00C71E23" w:rsidRDefault="00CE55D4">
            <w:pPr>
              <w:pStyle w:val="Normlnywebov"/>
            </w:pPr>
            <w:r w:rsidRPr="00C71E23">
              <w:rPr>
                <w:rStyle w:val="Siln"/>
              </w:rPr>
              <w:t>2. Informovanie verejnosti o tvorbe právneho predpisu</w:t>
            </w:r>
          </w:p>
        </w:tc>
        <w:tc>
          <w:tcPr>
            <w:tcW w:w="1160" w:type="pct"/>
            <w:vMerge w:val="restart"/>
            <w:vAlign w:val="center"/>
            <w:hideMark/>
          </w:tcPr>
          <w:p w:rsidR="00CE55D4" w:rsidRPr="00C71E23" w:rsidRDefault="00CE55D4">
            <w:pPr>
              <w:pStyle w:val="Normlnywebov"/>
            </w:pPr>
            <w:r w:rsidRPr="00C71E23">
              <w:t>2.1 Rozsah informácií</w:t>
            </w:r>
          </w:p>
        </w:tc>
        <w:tc>
          <w:tcPr>
            <w:tcW w:w="2425" w:type="pct"/>
            <w:vAlign w:val="center"/>
            <w:hideMark/>
          </w:tcPr>
          <w:p w:rsidR="00CE55D4" w:rsidRPr="00C71E23" w:rsidRDefault="00CE55D4">
            <w:pPr>
              <w:pStyle w:val="Normlnywebov"/>
            </w:pPr>
            <w:r w:rsidRPr="00C71E23">
              <w:t>Boli verejnosti poskytnuté informácie o probléme, ktorý má predmetný právny predpis riešiť?</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Boli verejnosti poskytnuté informácie o cieli účasti verejnosti na tvorbe právneho predpisu spolu s časovým rámcom jeho tvorby?</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Boli verejnosti poskytnuté informácie o plánovanom procese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2.2 Kontinuita informovania</w:t>
            </w:r>
          </w:p>
        </w:tc>
        <w:tc>
          <w:tcPr>
            <w:tcW w:w="2425" w:type="pct"/>
            <w:vAlign w:val="center"/>
            <w:hideMark/>
          </w:tcPr>
          <w:p w:rsidR="00CE55D4" w:rsidRPr="00C71E23" w:rsidRDefault="00CE55D4">
            <w:pPr>
              <w:pStyle w:val="Normlnywebov"/>
            </w:pPr>
            <w:r w:rsidRPr="00C71E23">
              <w:t>Boli verejnosti poskytnuté relevantné informácie pred začatím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Boli verejnosti poskytnuté relevantné informácie počas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Boli verejnosti poskytnuté relevantné informácie aj po ukončení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2.3 Kvalita a včasnosť informácií</w:t>
            </w:r>
          </w:p>
        </w:tc>
        <w:tc>
          <w:tcPr>
            <w:tcW w:w="2425" w:type="pct"/>
            <w:vAlign w:val="center"/>
            <w:hideMark/>
          </w:tcPr>
          <w:p w:rsidR="00CE55D4" w:rsidRPr="00C71E23" w:rsidRDefault="00CE55D4">
            <w:pPr>
              <w:pStyle w:val="Normlnywebov"/>
            </w:pPr>
            <w:r w:rsidRPr="00C71E23">
              <w:t>Boli relevantné informácie o tvorbe právneho predpisu verejnosti poskytnuté včas?</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Boli relevantné informácie o tvorbe právneho predpisu a o samotnom právnom predpise poskytnuté vo vyhovujúcej technickej kvalite?</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Align w:val="center"/>
            <w:hideMark/>
          </w:tcPr>
          <w:p w:rsidR="00CE55D4" w:rsidRPr="00C71E23" w:rsidRDefault="00CE55D4">
            <w:pPr>
              <w:pStyle w:val="Normlnywebov"/>
            </w:pPr>
            <w:r w:rsidRPr="00C71E23">
              <w:t>2.4 Adresnosť informácií</w:t>
            </w:r>
          </w:p>
        </w:tc>
        <w:tc>
          <w:tcPr>
            <w:tcW w:w="2425" w:type="pct"/>
            <w:vAlign w:val="center"/>
            <w:hideMark/>
          </w:tcPr>
          <w:p w:rsidR="00CE55D4" w:rsidRPr="00C71E23" w:rsidRDefault="00CE55D4">
            <w:pPr>
              <w:pStyle w:val="Normlnywebov"/>
            </w:pPr>
            <w:r w:rsidRPr="00C71E23">
              <w:t>Boli zvolené komunikačné kanály dostatočné vzhľadom na prenos relevantných informácií o  právnom predpise smerom k verejnosti?</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850" w:type="pct"/>
            <w:vMerge w:val="restart"/>
            <w:vAlign w:val="center"/>
            <w:hideMark/>
          </w:tcPr>
          <w:p w:rsidR="00CE55D4" w:rsidRPr="00C71E23" w:rsidRDefault="00CE55D4">
            <w:pPr>
              <w:pStyle w:val="Normlnywebov"/>
            </w:pPr>
            <w:r w:rsidRPr="00C71E23">
              <w:rPr>
                <w:rStyle w:val="Siln"/>
              </w:rPr>
              <w:t>3. Účasť verejnosti na tvorbe právneho predpisu</w:t>
            </w:r>
          </w:p>
        </w:tc>
        <w:tc>
          <w:tcPr>
            <w:tcW w:w="1160" w:type="pct"/>
            <w:vAlign w:val="center"/>
            <w:hideMark/>
          </w:tcPr>
          <w:p w:rsidR="00CE55D4" w:rsidRPr="00C71E23" w:rsidRDefault="00CE55D4">
            <w:pPr>
              <w:pStyle w:val="Normlnywebov"/>
            </w:pPr>
            <w:r w:rsidRPr="00C71E23">
              <w:t>3.1 Jasné zadanie procesu tvorby právneho predpisu</w:t>
            </w:r>
          </w:p>
        </w:tc>
        <w:tc>
          <w:tcPr>
            <w:tcW w:w="2425" w:type="pct"/>
            <w:vAlign w:val="center"/>
            <w:hideMark/>
          </w:tcPr>
          <w:p w:rsidR="00CE55D4" w:rsidRPr="00C71E23" w:rsidRDefault="00CE55D4">
            <w:pPr>
              <w:pStyle w:val="Normlnywebov"/>
            </w:pPr>
            <w:r w:rsidRPr="00C71E23">
              <w:t>Bol zadefinovaný základný rámec procesu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3.2 Zapojení aktéri</w:t>
            </w:r>
          </w:p>
        </w:tc>
        <w:tc>
          <w:tcPr>
            <w:tcW w:w="2425" w:type="pct"/>
            <w:vAlign w:val="center"/>
            <w:hideMark/>
          </w:tcPr>
          <w:p w:rsidR="00CE55D4" w:rsidRPr="00C71E23" w:rsidRDefault="00CE55D4">
            <w:pPr>
              <w:pStyle w:val="Normlnywebov"/>
            </w:pPr>
            <w:r w:rsidRPr="00C71E23">
              <w:t>Predstavujú zapojení aktéri reprezentatívnu vzorku zainteresovaných skupín a jednotlivcov?</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Reprezentujú zapojení aktéri celkovú heterogenitu zainteresovaných skupín a jednotlivcov?</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3.3 Spätná väzba</w:t>
            </w:r>
          </w:p>
        </w:tc>
        <w:tc>
          <w:tcPr>
            <w:tcW w:w="2425" w:type="pct"/>
            <w:vAlign w:val="center"/>
            <w:hideMark/>
          </w:tcPr>
          <w:p w:rsidR="00CE55D4" w:rsidRPr="00C71E23" w:rsidRDefault="00CE55D4">
            <w:pPr>
              <w:pStyle w:val="Normlnywebov"/>
            </w:pPr>
            <w:r w:rsidRPr="00C71E23">
              <w:t>Bola zapojeným aktérom odoslaná spätná väzba ako bolo s ich návrhom naložené?</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Indikujú zapojení aktéri spokojnosť s vyhodnotením ich návrhov k právnemu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3.4 Zapracovanie návrhov zapojených aktérov</w:t>
            </w:r>
          </w:p>
        </w:tc>
        <w:tc>
          <w:tcPr>
            <w:tcW w:w="2425" w:type="pct"/>
            <w:vAlign w:val="center"/>
            <w:hideMark/>
          </w:tcPr>
          <w:p w:rsidR="00CE55D4" w:rsidRPr="00C71E23" w:rsidRDefault="00CE55D4">
            <w:pPr>
              <w:pStyle w:val="Normlnywebov"/>
            </w:pPr>
            <w:r w:rsidRPr="00C71E23">
              <w:t>Boli návrhy zo strany zapojených aktérov zapracované do návrhu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Indikujú zapojení aktéri, že ich návrh ovplyvnil konečnú podobu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3.5 Naplnenie cieľov a očakávaní</w:t>
            </w:r>
          </w:p>
        </w:tc>
        <w:tc>
          <w:tcPr>
            <w:tcW w:w="2425" w:type="pct"/>
            <w:vAlign w:val="center"/>
            <w:hideMark/>
          </w:tcPr>
          <w:p w:rsidR="00CE55D4" w:rsidRPr="00C71E23" w:rsidRDefault="00CE55D4">
            <w:pPr>
              <w:pStyle w:val="Normlnywebov"/>
            </w:pPr>
            <w:r w:rsidRPr="00C71E23">
              <w:t>Boli splnené ciele a očakávania od účasti verejnosti na tvorbe právneho predpisu na strane predkladateľa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Indikujú zapojení aktéri naplnenie svojich cieľov a očakávaní, s ktorými vstupovali do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Merge w:val="restart"/>
            <w:vAlign w:val="center"/>
            <w:hideMark/>
          </w:tcPr>
          <w:p w:rsidR="00CE55D4" w:rsidRPr="00C71E23" w:rsidRDefault="00CE55D4">
            <w:pPr>
              <w:pStyle w:val="Normlnywebov"/>
            </w:pPr>
            <w:r w:rsidRPr="00C71E23">
              <w:t>3.6 Formy  procesu tvorby právneho predpisu</w:t>
            </w:r>
          </w:p>
        </w:tc>
        <w:tc>
          <w:tcPr>
            <w:tcW w:w="2425" w:type="pct"/>
            <w:vAlign w:val="center"/>
            <w:hideMark/>
          </w:tcPr>
          <w:p w:rsidR="00CE55D4" w:rsidRPr="00C71E23" w:rsidRDefault="00CE55D4">
            <w:pPr>
              <w:pStyle w:val="Normlnywebov"/>
            </w:pPr>
            <w:r w:rsidRPr="00C71E23">
              <w:t>Prispeli zvolené participatívne metódy k splneniu cieľa účasti verejnosti na tvorbe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Bola kvantita participatívnych metód adekvátna vzhľadom k povahe, komplexnosti a predmetu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Indikujú zapojení aktéri spokojnosť s formou procesu tvorby právneho predpisu a so zvolenými participatívnymi metódami?</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1160" w:type="pct"/>
            <w:vAlign w:val="center"/>
            <w:hideMark/>
          </w:tcPr>
          <w:p w:rsidR="00CE55D4" w:rsidRPr="00C71E23" w:rsidRDefault="00CE55D4">
            <w:pPr>
              <w:pStyle w:val="Normlnywebov"/>
            </w:pPr>
            <w:r w:rsidRPr="00C71E23">
              <w:t>3.7 Výstup procesu tvorby právneho predpisu</w:t>
            </w:r>
          </w:p>
        </w:tc>
        <w:tc>
          <w:tcPr>
            <w:tcW w:w="2425" w:type="pct"/>
            <w:vAlign w:val="center"/>
            <w:hideMark/>
          </w:tcPr>
          <w:p w:rsidR="00CE55D4" w:rsidRPr="00C71E23" w:rsidRDefault="00CE55D4">
            <w:pPr>
              <w:pStyle w:val="Normlnywebov"/>
            </w:pPr>
            <w:r w:rsidRPr="00C71E23">
              <w:t>Bolo zapojeným aktérom umožnené pripomienkovať správu o účasti verejnosti na tvorbe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850" w:type="pct"/>
            <w:vMerge w:val="restart"/>
            <w:vAlign w:val="center"/>
            <w:hideMark/>
          </w:tcPr>
          <w:p w:rsidR="00CE55D4" w:rsidRPr="00C71E23" w:rsidRDefault="00CE55D4">
            <w:pPr>
              <w:pStyle w:val="Normlnywebov"/>
            </w:pPr>
            <w:r w:rsidRPr="00C71E23">
              <w:rPr>
                <w:rStyle w:val="Siln"/>
              </w:rPr>
              <w:t>4. Vyhodnotenie procesu tvorby právneho predpisu</w:t>
            </w:r>
          </w:p>
        </w:tc>
        <w:tc>
          <w:tcPr>
            <w:tcW w:w="1160" w:type="pct"/>
            <w:vMerge w:val="restart"/>
            <w:vAlign w:val="center"/>
            <w:hideMark/>
          </w:tcPr>
          <w:p w:rsidR="00CE55D4" w:rsidRPr="00C71E23" w:rsidRDefault="00CE55D4">
            <w:pPr>
              <w:pStyle w:val="Normlnywebov"/>
            </w:pPr>
            <w:r w:rsidRPr="00C71E23">
              <w:t>4.1 Hodnotenie procesu</w:t>
            </w:r>
          </w:p>
        </w:tc>
        <w:tc>
          <w:tcPr>
            <w:tcW w:w="2425" w:type="pct"/>
            <w:vAlign w:val="center"/>
            <w:hideMark/>
          </w:tcPr>
          <w:p w:rsidR="00CE55D4" w:rsidRPr="00C71E23" w:rsidRDefault="00CE55D4">
            <w:pPr>
              <w:pStyle w:val="Normlnywebov"/>
            </w:pPr>
            <w:r w:rsidRPr="00C71E23">
              <w:t>Bolo vykonané hodnotenie procesu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Bola zverejnená hodnotiaca správa procesu tvorby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r w:rsidR="00CE55D4">
        <w:trPr>
          <w:divId w:val="1036351233"/>
          <w:trHeight w:val="570"/>
          <w:tblCellSpacing w:w="0" w:type="dxa"/>
        </w:trPr>
        <w:tc>
          <w:tcPr>
            <w:tcW w:w="0" w:type="auto"/>
            <w:vMerge/>
            <w:vAlign w:val="center"/>
            <w:hideMark/>
          </w:tcPr>
          <w:p w:rsidR="00CE55D4" w:rsidRPr="00C71E23" w:rsidRDefault="00CE55D4"/>
        </w:tc>
        <w:tc>
          <w:tcPr>
            <w:tcW w:w="0" w:type="auto"/>
            <w:vMerge/>
            <w:vAlign w:val="center"/>
            <w:hideMark/>
          </w:tcPr>
          <w:p w:rsidR="00CE55D4" w:rsidRPr="00C71E23" w:rsidRDefault="00CE55D4"/>
        </w:tc>
        <w:tc>
          <w:tcPr>
            <w:tcW w:w="2425" w:type="pct"/>
            <w:vAlign w:val="center"/>
            <w:hideMark/>
          </w:tcPr>
          <w:p w:rsidR="00CE55D4" w:rsidRPr="00C71E23" w:rsidRDefault="00CE55D4">
            <w:pPr>
              <w:pStyle w:val="Normlnywebov"/>
            </w:pPr>
            <w:r w:rsidRPr="00C71E23">
              <w:t>Bol splnený cieľ účasti verejnosti na tvorbe právneho predpisu?</w:t>
            </w:r>
          </w:p>
        </w:tc>
        <w:tc>
          <w:tcPr>
            <w:tcW w:w="258" w:type="pct"/>
            <w:vAlign w:val="center"/>
            <w:hideMark/>
          </w:tcPr>
          <w:p w:rsidR="00CE55D4" w:rsidRPr="00C71E23" w:rsidRDefault="00CE55D4">
            <w:pPr>
              <w:pStyle w:val="Normlnywebov"/>
            </w:pPr>
            <w:r w:rsidRPr="00C71E23">
              <w:rPr>
                <w:rFonts w:ascii="Segoe UI Symbol" w:hAnsi="Segoe UI Symbol" w:cs="Segoe UI Symbol"/>
              </w:rPr>
              <w:t>☒</w:t>
            </w:r>
          </w:p>
        </w:tc>
        <w:tc>
          <w:tcPr>
            <w:tcW w:w="307" w:type="pct"/>
            <w:vAlign w:val="center"/>
            <w:hideMark/>
          </w:tcPr>
          <w:p w:rsidR="00CE55D4" w:rsidRPr="00C71E23" w:rsidRDefault="00CE55D4">
            <w:pPr>
              <w:pStyle w:val="Normlnywebov"/>
            </w:pPr>
            <w:r w:rsidRPr="00C71E23">
              <w:rPr>
                <w:rFonts w:ascii="Segoe UI Symbol" w:hAnsi="Segoe UI Symbol" w:cs="Segoe UI Symbol"/>
              </w:rPr>
              <w:t>☐</w:t>
            </w:r>
          </w:p>
        </w:tc>
      </w:tr>
    </w:tbl>
    <w:p w:rsidR="004D7A15" w:rsidRPr="00E55392" w:rsidRDefault="004D7A15" w:rsidP="004D7A15">
      <w:pPr>
        <w:widowControl/>
        <w:rPr>
          <w:lang w:val="en-US"/>
        </w:rPr>
      </w:pP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CE55D4"/>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CE55D4"/>
    <w:pPr>
      <w:widowControl/>
      <w:adjustRightInd/>
      <w:spacing w:before="100" w:beforeAutospacing="1" w:after="100" w:afterAutospacing="1"/>
    </w:pPr>
  </w:style>
  <w:style w:type="character" w:styleId="Siln">
    <w:name w:val="Strong"/>
    <w:uiPriority w:val="22"/>
    <w:qFormat/>
    <w:locked/>
    <w:rsid w:val="00CE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105">
      <w:bodyDiv w:val="1"/>
      <w:marLeft w:val="0"/>
      <w:marRight w:val="0"/>
      <w:marTop w:val="0"/>
      <w:marBottom w:val="0"/>
      <w:divBdr>
        <w:top w:val="none" w:sz="0" w:space="0" w:color="auto"/>
        <w:left w:val="none" w:sz="0" w:space="0" w:color="auto"/>
        <w:bottom w:val="none" w:sz="0" w:space="0" w:color="auto"/>
        <w:right w:val="none" w:sz="0" w:space="0" w:color="auto"/>
      </w:divBdr>
      <w:divsChild>
        <w:div w:id="103635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0.5.2021 10:04:07"/>
    <f:field ref="objchangedby" par="" text="Administrator, System"/>
    <f:field ref="objmodifiedat" par="" text="20.5.2021 10:04:0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2021-05-20T08:04:00Z</dcterms:created>
  <dcterms:modified xsi:type="dcterms:W3CDTF">2021-05-20T08:04:00Z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Jana Vršková</vt:lpwstr>
  </property>
  <property name="FSC#SKEDITIONSLOVLEX@103.510:zodppredkladatel" pid="9" fmtid="{D5CDD505-2E9C-101B-9397-08002B2CF9AE}">
    <vt:lpwstr>Igor Matovič</vt:lpwstr>
  </property>
  <property name="FSC#SKEDITIONSLOVLEX@103.510:dalsipredkladatel" pid="10" fmtid="{D5CDD505-2E9C-101B-9397-08002B2CF9AE}">
    <vt:lpwstr/>
  </property>
  <property name="FSC#SKEDITIONSLOVLEX@103.510:nazovpredpis" pid="11" fmtid="{D5CDD505-2E9C-101B-9397-08002B2CF9AE}">
    <vt:lpwstr>, ktorým sa mení a dopĺňa zákon č. 431/2002 Z. z. o účtovníctve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financií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Slovenskej republiky na rok 2021</vt:lpwstr>
  </property>
  <property name="FSC#SKEDITIONSLOVLEX@103.510:plnynazovpredpis" pid="17" fmtid="{D5CDD505-2E9C-101B-9397-08002B2CF9AE}">
    <vt:lpwstr> Zákon, ktorým sa mení a dopĺňa zákon č. 431/2002 Z. z. o účtovníctve v znení neskorších predpisov</vt:lpwstr>
  </property>
  <property name="FSC#SKEDITIONSLOVLEX@103.510:rezortcislopredpis" pid="18" fmtid="{D5CDD505-2E9C-101B-9397-08002B2CF9AE}">
    <vt:lpwstr>MF/004682/2021-74</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LP/2021/256</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 čl. 4 ods. 2  Zmluvy o fungovaní Európskej únie (Ú. v. EÚ C 202, 7.6.2016) v platnom znení.</vt:lpwstr>
  </property>
  <property name="FSC#SKEDITIONSLOVLEX@103.510:AttrStrListDocPropSekundarneLegPravoPO" pid="38"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43"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46"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8. 4. 2021</vt:lpwstr>
  </property>
  <property name="FSC#SKEDITIONSLOVLEX@103.510:AttrDateDocPropUkonceniePKK" pid="50" fmtid="{D5CDD505-2E9C-101B-9397-08002B2CF9AE}">
    <vt:lpwstr>21. 4. 2021</vt:lpwstr>
  </property>
  <property name="FSC#SKEDITIONSLOVLEX@103.510:AttrStrDocPropVplyvRozpocetVS" pid="51" fmtid="{D5CDD505-2E9C-101B-9397-08002B2CF9AE}">
    <vt:lpwstr>Pozitívne_x000d__x000a_Negatívne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Pozitívne</vt:lpwstr>
  </property>
  <property name="FSC#SKEDITIONSLOVLEX@103.510:AttrStrDocPropVplyvNaInformatizaciu" pid="55" fmtid="{D5CDD505-2E9C-101B-9397-08002B2CF9AE}">
    <vt:lpwstr>Pozitívne</vt:lpwstr>
  </property>
  <property name="FSC#SKEDITIONSLOVLEX@103.510:AttrStrListDocPropPoznamkaVplyv" pid="56"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57" fmtid="{D5CDD505-2E9C-101B-9397-08002B2CF9AE}">
    <vt:lpwstr>Alternatívne riešenia neboli zvažované.Alternatíva 0: zachovanie súčasného stavu</vt:lpwstr>
  </property>
  <property name="FSC#SKEDITIONSLOVLEX@103.510:AttrStrListDocPropStanoviskoGest" pid="58"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republiky_x000d__x000a_podpredseda vlády a minister financií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
  </property>
  <property name="FSC#SKEDITIONSLOVLEX@103.510:funkciaDalsiPred" pid="131" fmtid="{D5CDD505-2E9C-101B-9397-08002B2CF9AE}">
    <vt:lpwstr/>
  </property>
  <property name="FSC#SKEDITIONSLOVLEX@103.510:predkladateliaObalSD" pid="132" fmtid="{D5CDD505-2E9C-101B-9397-08002B2CF9AE}">
    <vt:lpwstr>Igor Matovič</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COOSYSTEM@1.1:Container" pid="135" fmtid="{D5CDD505-2E9C-101B-9397-08002B2CF9AE}">
    <vt:lpwstr>COO.2145.1000.3.4370262</vt:lpwstr>
  </property>
  <property name="FSC#FSCFOLIO@1.1001:docpropproject" pid="136" fmtid="{D5CDD505-2E9C-101B-9397-08002B2CF9AE}">
    <vt:lpwstr/>
  </property>
  <property name="FSC#SKEDITIONSLOVLEX@103.510:spravaucastverej" pid="137"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
  </property>
  <property name="FSC#SKEDITIONSLOVLEX@103.510:funkciaZodpPredDativ" pid="148" fmtid="{D5CDD505-2E9C-101B-9397-08002B2CF9AE}">
    <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20. 5. 2021</vt:lpwstr>
  </property>
</Properties>
</file>