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38" w:rsidRDefault="00046C38" w:rsidP="00CA3262">
      <w:pPr>
        <w:tabs>
          <w:tab w:val="left" w:pos="284"/>
        </w:tabs>
        <w:autoSpaceDE w:val="0"/>
        <w:autoSpaceDN w:val="0"/>
        <w:adjustRightInd w:val="0"/>
        <w:spacing w:after="0" w:line="240" w:lineRule="auto"/>
        <w:jc w:val="center"/>
        <w:rPr>
          <w:rFonts w:ascii="Arial Narrow" w:hAnsi="Arial Narrow"/>
          <w:b/>
          <w:bCs/>
          <w:color w:val="000000"/>
        </w:rPr>
      </w:pPr>
      <w:bookmarkStart w:id="0" w:name="_GoBack"/>
      <w:bookmarkEnd w:id="0"/>
    </w:p>
    <w:p w:rsidR="003F240C" w:rsidRDefault="003F240C" w:rsidP="00CA3262">
      <w:pPr>
        <w:tabs>
          <w:tab w:val="left" w:pos="284"/>
        </w:tabs>
        <w:autoSpaceDE w:val="0"/>
        <w:autoSpaceDN w:val="0"/>
        <w:adjustRightInd w:val="0"/>
        <w:spacing w:after="0" w:line="240" w:lineRule="auto"/>
        <w:jc w:val="center"/>
        <w:rPr>
          <w:rFonts w:ascii="Arial Narrow" w:hAnsi="Arial Narrow"/>
          <w:b/>
          <w:bCs/>
          <w:color w:val="000000"/>
        </w:rPr>
      </w:pPr>
    </w:p>
    <w:p w:rsidR="003F240C" w:rsidRDefault="003F240C" w:rsidP="00CA3262">
      <w:pPr>
        <w:tabs>
          <w:tab w:val="left" w:pos="284"/>
        </w:tabs>
        <w:autoSpaceDE w:val="0"/>
        <w:autoSpaceDN w:val="0"/>
        <w:adjustRightInd w:val="0"/>
        <w:spacing w:after="0" w:line="240" w:lineRule="auto"/>
        <w:jc w:val="center"/>
        <w:rPr>
          <w:rFonts w:ascii="Arial Narrow" w:hAnsi="Arial Narrow"/>
          <w:b/>
          <w:bCs/>
          <w:color w:val="000000"/>
        </w:rPr>
      </w:pPr>
    </w:p>
    <w:p w:rsidR="003F240C" w:rsidRDefault="003F240C" w:rsidP="00CA3262">
      <w:pPr>
        <w:tabs>
          <w:tab w:val="left" w:pos="284"/>
        </w:tabs>
        <w:autoSpaceDE w:val="0"/>
        <w:autoSpaceDN w:val="0"/>
        <w:adjustRightInd w:val="0"/>
        <w:spacing w:after="0" w:line="240" w:lineRule="auto"/>
        <w:jc w:val="center"/>
        <w:rPr>
          <w:rFonts w:ascii="Arial Narrow" w:hAnsi="Arial Narrow"/>
          <w:b/>
          <w:bCs/>
          <w:color w:val="000000"/>
        </w:rPr>
      </w:pPr>
    </w:p>
    <w:p w:rsidR="00AC78DC" w:rsidRDefault="00AC78DC" w:rsidP="00CA3262">
      <w:pPr>
        <w:tabs>
          <w:tab w:val="left" w:pos="284"/>
        </w:tabs>
        <w:autoSpaceDE w:val="0"/>
        <w:autoSpaceDN w:val="0"/>
        <w:adjustRightInd w:val="0"/>
        <w:spacing w:after="0" w:line="240" w:lineRule="auto"/>
        <w:jc w:val="center"/>
        <w:rPr>
          <w:rFonts w:ascii="Arial Narrow" w:hAnsi="Arial Narrow"/>
          <w:b/>
          <w:bCs/>
          <w:color w:val="000000"/>
        </w:rPr>
      </w:pPr>
    </w:p>
    <w:p w:rsidR="00046C38" w:rsidRPr="008900FB" w:rsidRDefault="00046C38" w:rsidP="00046C38">
      <w:pPr>
        <w:autoSpaceDE w:val="0"/>
        <w:autoSpaceDN w:val="0"/>
        <w:adjustRightInd w:val="0"/>
        <w:spacing w:after="0" w:line="240" w:lineRule="auto"/>
        <w:jc w:val="center"/>
        <w:rPr>
          <w:rFonts w:ascii="Times New Roman" w:hAnsi="Times New Roman"/>
          <w:b/>
          <w:bCs/>
          <w:color w:val="000000"/>
          <w:sz w:val="24"/>
          <w:szCs w:val="24"/>
        </w:rPr>
      </w:pPr>
      <w:r w:rsidRPr="008900FB">
        <w:rPr>
          <w:rFonts w:ascii="Times New Roman" w:hAnsi="Times New Roman"/>
          <w:b/>
          <w:bCs/>
          <w:color w:val="000000"/>
          <w:sz w:val="24"/>
          <w:szCs w:val="24"/>
        </w:rPr>
        <w:t>P</w:t>
      </w:r>
      <w:r w:rsidR="00354396">
        <w:rPr>
          <w:rFonts w:ascii="Times New Roman" w:hAnsi="Times New Roman"/>
          <w:b/>
          <w:bCs/>
          <w:color w:val="000000"/>
          <w:sz w:val="24"/>
          <w:szCs w:val="24"/>
        </w:rPr>
        <w:t xml:space="preserve">REDKLADACIA </w:t>
      </w:r>
      <w:r w:rsidRPr="008900FB">
        <w:rPr>
          <w:rFonts w:ascii="Times New Roman" w:hAnsi="Times New Roman"/>
          <w:b/>
          <w:bCs/>
          <w:color w:val="000000"/>
          <w:sz w:val="24"/>
          <w:szCs w:val="24"/>
        </w:rPr>
        <w:t xml:space="preserve"> </w:t>
      </w:r>
      <w:r w:rsidR="00354396">
        <w:rPr>
          <w:rFonts w:ascii="Times New Roman" w:hAnsi="Times New Roman"/>
          <w:b/>
          <w:bCs/>
          <w:color w:val="000000"/>
          <w:sz w:val="24"/>
          <w:szCs w:val="24"/>
        </w:rPr>
        <w:t>SPRÁVA</w:t>
      </w:r>
    </w:p>
    <w:p w:rsidR="00046C38" w:rsidRPr="008900FB" w:rsidRDefault="00046C38" w:rsidP="00046C38">
      <w:pPr>
        <w:autoSpaceDE w:val="0"/>
        <w:autoSpaceDN w:val="0"/>
        <w:adjustRightInd w:val="0"/>
        <w:spacing w:after="0" w:line="240" w:lineRule="auto"/>
        <w:jc w:val="center"/>
        <w:rPr>
          <w:rFonts w:ascii="Times New Roman" w:hAnsi="Times New Roman"/>
          <w:b/>
          <w:bCs/>
          <w:color w:val="000000"/>
          <w:sz w:val="24"/>
          <w:szCs w:val="24"/>
        </w:rPr>
      </w:pPr>
    </w:p>
    <w:p w:rsidR="00046C38" w:rsidRDefault="00046C38" w:rsidP="00046C38">
      <w:pPr>
        <w:spacing w:after="0" w:line="240" w:lineRule="auto"/>
        <w:jc w:val="both"/>
        <w:rPr>
          <w:rStyle w:val="Textzstupnhosymbolu"/>
          <w:rFonts w:ascii="Times New Roman" w:hAnsi="Times New Roman"/>
          <w:color w:val="000000"/>
          <w:sz w:val="24"/>
          <w:szCs w:val="24"/>
        </w:rPr>
      </w:pPr>
    </w:p>
    <w:p w:rsidR="003F240C" w:rsidRPr="008900FB" w:rsidRDefault="003F240C" w:rsidP="00046C38">
      <w:pPr>
        <w:spacing w:after="0" w:line="240" w:lineRule="auto"/>
        <w:jc w:val="both"/>
        <w:rPr>
          <w:rStyle w:val="Textzstupnhosymbolu"/>
          <w:rFonts w:ascii="Times New Roman" w:hAnsi="Times New Roman"/>
          <w:color w:val="000000"/>
          <w:sz w:val="24"/>
          <w:szCs w:val="24"/>
        </w:rPr>
      </w:pPr>
    </w:p>
    <w:p w:rsidR="00176C22" w:rsidRPr="00176C22" w:rsidRDefault="00046C38" w:rsidP="00176C22">
      <w:pPr>
        <w:spacing w:after="120" w:line="240" w:lineRule="auto"/>
        <w:ind w:firstLine="709"/>
        <w:jc w:val="both"/>
        <w:rPr>
          <w:rStyle w:val="Textzstupnhosymbolu"/>
          <w:rFonts w:ascii="Times New Roman" w:hAnsi="Times New Roman"/>
          <w:color w:val="000000"/>
          <w:sz w:val="24"/>
          <w:szCs w:val="24"/>
        </w:rPr>
      </w:pPr>
      <w:r w:rsidRPr="008900FB">
        <w:rPr>
          <w:rStyle w:val="Textzstupnhosymbolu"/>
          <w:rFonts w:ascii="Times New Roman" w:hAnsi="Times New Roman"/>
          <w:color w:val="000000"/>
          <w:sz w:val="24"/>
          <w:szCs w:val="24"/>
        </w:rPr>
        <w:t xml:space="preserve">Návrh zákona, ktorým sa mení a dopĺňa zákon č. 431/2002 Z. z. o účtovníctve v znení neskorších predpisov, sa predkladá na základe </w:t>
      </w:r>
      <w:r w:rsidR="009902EC">
        <w:rPr>
          <w:rStyle w:val="Textzstupnhosymbolu"/>
          <w:rFonts w:ascii="Times New Roman" w:hAnsi="Times New Roman"/>
          <w:color w:val="000000"/>
          <w:sz w:val="24"/>
          <w:szCs w:val="24"/>
        </w:rPr>
        <w:t>P</w:t>
      </w:r>
      <w:r w:rsidR="00176C22">
        <w:rPr>
          <w:rStyle w:val="Textzstupnhosymbolu"/>
          <w:rFonts w:ascii="Times New Roman" w:hAnsi="Times New Roman"/>
          <w:color w:val="000000"/>
          <w:sz w:val="24"/>
          <w:szCs w:val="24"/>
        </w:rPr>
        <w:t>lánu</w:t>
      </w:r>
      <w:r w:rsidR="007B4347">
        <w:rPr>
          <w:rStyle w:val="Textzstupnhosymbolu"/>
          <w:rFonts w:ascii="Times New Roman" w:hAnsi="Times New Roman"/>
          <w:color w:val="000000"/>
          <w:sz w:val="24"/>
          <w:szCs w:val="24"/>
        </w:rPr>
        <w:t xml:space="preserve"> legislatívnych úloh </w:t>
      </w:r>
      <w:r w:rsidR="00176C22">
        <w:rPr>
          <w:rStyle w:val="Textzstupnhosymbolu"/>
          <w:rFonts w:ascii="Times New Roman" w:hAnsi="Times New Roman"/>
          <w:color w:val="000000"/>
          <w:sz w:val="24"/>
          <w:szCs w:val="24"/>
        </w:rPr>
        <w:t>vlády S</w:t>
      </w:r>
      <w:r w:rsidR="00354396">
        <w:rPr>
          <w:rStyle w:val="Textzstupnhosymbolu"/>
          <w:rFonts w:ascii="Times New Roman" w:hAnsi="Times New Roman"/>
          <w:color w:val="000000"/>
          <w:sz w:val="24"/>
          <w:szCs w:val="24"/>
        </w:rPr>
        <w:t>lovenskej republiky</w:t>
      </w:r>
      <w:r w:rsidR="00176C22">
        <w:rPr>
          <w:rStyle w:val="Textzstupnhosymbolu"/>
          <w:rFonts w:ascii="Times New Roman" w:hAnsi="Times New Roman"/>
          <w:color w:val="000000"/>
          <w:sz w:val="24"/>
          <w:szCs w:val="24"/>
        </w:rPr>
        <w:t xml:space="preserve"> na rok 2021. </w:t>
      </w:r>
    </w:p>
    <w:p w:rsidR="00EE4AD7" w:rsidRPr="00EE4AD7" w:rsidRDefault="00EE4AD7" w:rsidP="00EE4AD7">
      <w:pPr>
        <w:spacing w:after="120" w:line="240" w:lineRule="auto"/>
        <w:ind w:firstLine="709"/>
        <w:jc w:val="both"/>
        <w:rPr>
          <w:rStyle w:val="Textzstupnhosymbolu"/>
          <w:rFonts w:ascii="Times New Roman" w:hAnsi="Times New Roman"/>
          <w:color w:val="000000"/>
          <w:sz w:val="24"/>
          <w:szCs w:val="24"/>
        </w:rPr>
      </w:pPr>
      <w:r w:rsidRPr="00EE4AD7">
        <w:rPr>
          <w:rStyle w:val="Textzstupnhosymbolu"/>
          <w:rFonts w:ascii="Times New Roman" w:hAnsi="Times New Roman"/>
          <w:color w:val="000000"/>
          <w:sz w:val="24"/>
          <w:szCs w:val="24"/>
        </w:rPr>
        <w:t>Cieľom pripravovaného návrhu novely zákona je v nadväznosti na Programové vyhlásenie vlády SR posilniť transparentnosť informácií vykazovaných v účtovnej závierke zverejnením účtovných závierok všetkých právnických osôb vo verejnej časti Registra účtovných závierok (ďalej len „register“). Súčasne sa zvýši transparentnosť naprieč celým sektorom mimovládnych neziskových organizácií v záujme informovania verejnosti a členov organizácií o činnosti, finančných zdrojoch a ich použití neziskovou organizáciou. Touto zmenou sa tiež umožní využiť informácie z registra na podporu adresných opatrení a uľahčenie spracovania a analýz účtovných závierok a vyhodnocovania  finančnej kondície účtovných jednotiek, ako aj väčšia transparentnosť procesu pri poskytovaní dotácií, prostriedkov z európskych fondov alebo vo výberových konaniach pri verejnom obstarávaní.</w:t>
      </w:r>
    </w:p>
    <w:p w:rsidR="00EE4AD7" w:rsidRPr="00EE4AD7" w:rsidRDefault="00EE4AD7" w:rsidP="00EE4AD7">
      <w:pPr>
        <w:spacing w:after="120" w:line="240" w:lineRule="auto"/>
        <w:ind w:firstLine="709"/>
        <w:jc w:val="both"/>
        <w:rPr>
          <w:rStyle w:val="Textzstupnhosymbolu"/>
          <w:color w:val="000000"/>
        </w:rPr>
      </w:pPr>
      <w:r w:rsidRPr="00EE4AD7">
        <w:rPr>
          <w:rStyle w:val="Textzstupnhosymbolu"/>
          <w:rFonts w:ascii="Times New Roman" w:hAnsi="Times New Roman"/>
          <w:color w:val="000000"/>
          <w:sz w:val="24"/>
          <w:szCs w:val="24"/>
        </w:rPr>
        <w:t>V súlade s Etickým kódexom pre mimovládne organizácie (WANGO)  je potrebné, aby boli mimovládne organizácie otvorené a prístupné verejnej kontrole a informovali verejnosť o svojej práci, pôvode a použití svojich zdrojov. Takýto zámer je možné dosiahnuť zverejnením účtovných dokumentov v registri</w:t>
      </w:r>
      <w:r w:rsidRPr="00EE4AD7">
        <w:rPr>
          <w:rStyle w:val="Textzstupnhosymbolu"/>
          <w:color w:val="000000"/>
        </w:rPr>
        <w:t xml:space="preserve">. </w:t>
      </w:r>
    </w:p>
    <w:p w:rsidR="00C75762" w:rsidRPr="00C75762" w:rsidRDefault="00C75762" w:rsidP="00C75762">
      <w:pPr>
        <w:spacing w:after="120" w:line="240" w:lineRule="auto"/>
        <w:ind w:firstLine="709"/>
        <w:jc w:val="both"/>
        <w:rPr>
          <w:rStyle w:val="Textzstupnhosymbolu"/>
          <w:rFonts w:ascii="Times New Roman" w:hAnsi="Times New Roman"/>
          <w:color w:val="000000"/>
          <w:sz w:val="24"/>
          <w:szCs w:val="24"/>
        </w:rPr>
      </w:pPr>
      <w:r w:rsidRPr="00C75762">
        <w:rPr>
          <w:rStyle w:val="Textzstupnhosymbolu"/>
          <w:rFonts w:ascii="Times New Roman" w:hAnsi="Times New Roman"/>
          <w:color w:val="000000"/>
          <w:sz w:val="24"/>
          <w:szCs w:val="24"/>
        </w:rPr>
        <w:t>V záujme rozšírenia funkcionalít registra sa navrhuje, aby všetky účtovné dokumenty boli ukladané v elektronickej podobe, čo zjednoduší postup pri ich ukladaní, ale aj odstráni chybovosť pri neautomatizovanom spracovaní účtovných dokumentov.</w:t>
      </w:r>
    </w:p>
    <w:p w:rsidR="00A3513C" w:rsidRDefault="00C75762" w:rsidP="00A3513C">
      <w:pPr>
        <w:spacing w:after="120" w:line="240" w:lineRule="auto"/>
        <w:ind w:firstLine="709"/>
        <w:jc w:val="both"/>
        <w:rPr>
          <w:rStyle w:val="Textzstupnhosymbolu"/>
          <w:rFonts w:ascii="Times New Roman" w:hAnsi="Times New Roman"/>
          <w:color w:val="000000"/>
          <w:sz w:val="24"/>
          <w:szCs w:val="24"/>
        </w:rPr>
      </w:pPr>
      <w:r w:rsidRPr="00C75762">
        <w:rPr>
          <w:rStyle w:val="Textzstupnhosymbolu"/>
          <w:rFonts w:ascii="Times New Roman" w:hAnsi="Times New Roman"/>
          <w:color w:val="000000"/>
          <w:sz w:val="24"/>
          <w:szCs w:val="24"/>
        </w:rPr>
        <w:t>Ustanovujú sa náležitosti výročnej správy pre neziskové organizácie, ktoré nemajú vo svojom hmotnoprávnom predpise zade</w:t>
      </w:r>
      <w:r w:rsidR="009902EC">
        <w:rPr>
          <w:rStyle w:val="Textzstupnhosymbolu"/>
          <w:rFonts w:ascii="Times New Roman" w:hAnsi="Times New Roman"/>
          <w:color w:val="000000"/>
          <w:sz w:val="24"/>
          <w:szCs w:val="24"/>
        </w:rPr>
        <w:t>finovaný obsah výročnej správy.</w:t>
      </w:r>
    </w:p>
    <w:p w:rsidR="001C6A0A" w:rsidRDefault="001C6A0A" w:rsidP="00A3513C">
      <w:pPr>
        <w:spacing w:after="120" w:line="240" w:lineRule="auto"/>
        <w:ind w:firstLine="709"/>
        <w:jc w:val="both"/>
        <w:rPr>
          <w:rStyle w:val="Textzstupnhosymbolu"/>
          <w:rFonts w:ascii="Times New Roman" w:hAnsi="Times New Roman"/>
          <w:color w:val="000000"/>
          <w:sz w:val="24"/>
          <w:szCs w:val="24"/>
        </w:rPr>
      </w:pPr>
      <w:r>
        <w:rPr>
          <w:rStyle w:val="Textzstupnhosymbolu"/>
          <w:rFonts w:ascii="Times New Roman" w:hAnsi="Times New Roman"/>
          <w:color w:val="000000"/>
          <w:sz w:val="24"/>
          <w:szCs w:val="24"/>
        </w:rPr>
        <w:t>Upresňujú</w:t>
      </w:r>
      <w:r w:rsidR="004F2450">
        <w:rPr>
          <w:rStyle w:val="Textzstupnhosymbolu"/>
          <w:rFonts w:ascii="Times New Roman" w:hAnsi="Times New Roman"/>
          <w:color w:val="000000"/>
          <w:sz w:val="24"/>
          <w:szCs w:val="24"/>
        </w:rPr>
        <w:t xml:space="preserve"> a zjednodušujú </w:t>
      </w:r>
      <w:r>
        <w:rPr>
          <w:rStyle w:val="Textzstupnhosymbolu"/>
          <w:rFonts w:ascii="Times New Roman" w:hAnsi="Times New Roman"/>
          <w:color w:val="000000"/>
          <w:sz w:val="24"/>
          <w:szCs w:val="24"/>
        </w:rPr>
        <w:t xml:space="preserve"> sa ustanovenia o listinnej a elektronickej podobe účtovného záznamu</w:t>
      </w:r>
      <w:r w:rsidR="004F2450">
        <w:rPr>
          <w:rStyle w:val="Textzstupnhosymbolu"/>
          <w:rFonts w:ascii="Times New Roman" w:hAnsi="Times New Roman"/>
          <w:color w:val="000000"/>
          <w:sz w:val="24"/>
          <w:szCs w:val="24"/>
        </w:rPr>
        <w:t xml:space="preserve">. Nanovo sa ustanovujú možné </w:t>
      </w:r>
      <w:r>
        <w:rPr>
          <w:rStyle w:val="Textzstupnhosymbolu"/>
          <w:rFonts w:ascii="Times New Roman" w:hAnsi="Times New Roman"/>
          <w:color w:val="000000"/>
          <w:sz w:val="24"/>
          <w:szCs w:val="24"/>
        </w:rPr>
        <w:t>spôsob</w:t>
      </w:r>
      <w:r w:rsidR="004F2450">
        <w:rPr>
          <w:rStyle w:val="Textzstupnhosymbolu"/>
          <w:rFonts w:ascii="Times New Roman" w:hAnsi="Times New Roman"/>
          <w:color w:val="000000"/>
          <w:sz w:val="24"/>
          <w:szCs w:val="24"/>
        </w:rPr>
        <w:t>y</w:t>
      </w:r>
      <w:r>
        <w:rPr>
          <w:rStyle w:val="Textzstupnhosymbolu"/>
          <w:rFonts w:ascii="Times New Roman" w:hAnsi="Times New Roman"/>
          <w:color w:val="000000"/>
          <w:sz w:val="24"/>
          <w:szCs w:val="24"/>
        </w:rPr>
        <w:t xml:space="preserve"> </w:t>
      </w:r>
      <w:r w:rsidR="004F2450">
        <w:rPr>
          <w:rStyle w:val="Textzstupnhosymbolu"/>
          <w:rFonts w:ascii="Times New Roman" w:hAnsi="Times New Roman"/>
          <w:color w:val="000000"/>
          <w:sz w:val="24"/>
          <w:szCs w:val="24"/>
        </w:rPr>
        <w:t>transformácie</w:t>
      </w:r>
      <w:r w:rsidR="00AC78DC">
        <w:rPr>
          <w:rStyle w:val="Textzstupnhosymbolu"/>
          <w:rFonts w:ascii="Times New Roman" w:hAnsi="Times New Roman"/>
          <w:color w:val="000000"/>
          <w:sz w:val="24"/>
          <w:szCs w:val="24"/>
        </w:rPr>
        <w:t xml:space="preserve"> účtovného záznamu</w:t>
      </w:r>
      <w:r w:rsidR="004F2450">
        <w:rPr>
          <w:rStyle w:val="Textzstupnhosymbolu"/>
          <w:rFonts w:ascii="Times New Roman" w:hAnsi="Times New Roman"/>
          <w:color w:val="000000"/>
          <w:sz w:val="24"/>
          <w:szCs w:val="24"/>
        </w:rPr>
        <w:t xml:space="preserve"> </w:t>
      </w:r>
      <w:r>
        <w:rPr>
          <w:rStyle w:val="Textzstupnhosymbolu"/>
          <w:rFonts w:ascii="Times New Roman" w:hAnsi="Times New Roman"/>
          <w:color w:val="000000"/>
          <w:sz w:val="24"/>
          <w:szCs w:val="24"/>
        </w:rPr>
        <w:t xml:space="preserve"> pri zmene podoby účtovného záznamu.</w:t>
      </w:r>
      <w:r w:rsidR="004F2450">
        <w:rPr>
          <w:rStyle w:val="Textzstupnhosymbolu"/>
          <w:rFonts w:ascii="Times New Roman" w:hAnsi="Times New Roman"/>
          <w:color w:val="000000"/>
          <w:sz w:val="24"/>
          <w:szCs w:val="24"/>
        </w:rPr>
        <w:t xml:space="preserve"> Umožňuje sa nahradiť vlastnoručný podpis akýmkoľvek elektronickým podpisom, ktorý umožní pre</w:t>
      </w:r>
      <w:r w:rsidR="00AC78DC">
        <w:rPr>
          <w:rStyle w:val="Textzstupnhosymbolu"/>
          <w:rFonts w:ascii="Times New Roman" w:hAnsi="Times New Roman"/>
          <w:color w:val="000000"/>
          <w:sz w:val="24"/>
          <w:szCs w:val="24"/>
        </w:rPr>
        <w:t>ukázateľnú identifikáciu osoby.</w:t>
      </w:r>
    </w:p>
    <w:p w:rsidR="001C6A0A" w:rsidRPr="00C75762" w:rsidRDefault="001C6A0A" w:rsidP="00A3513C">
      <w:pPr>
        <w:spacing w:after="120" w:line="240" w:lineRule="auto"/>
        <w:ind w:firstLine="709"/>
        <w:jc w:val="both"/>
        <w:rPr>
          <w:rStyle w:val="Textzstupnhosymbolu"/>
          <w:rFonts w:ascii="Times New Roman" w:hAnsi="Times New Roman"/>
          <w:color w:val="000000"/>
          <w:sz w:val="24"/>
          <w:szCs w:val="24"/>
        </w:rPr>
      </w:pPr>
      <w:r>
        <w:rPr>
          <w:rStyle w:val="Textzstupnhosymbolu"/>
          <w:rFonts w:ascii="Times New Roman" w:hAnsi="Times New Roman"/>
          <w:color w:val="000000"/>
          <w:sz w:val="24"/>
          <w:szCs w:val="24"/>
        </w:rPr>
        <w:t>Ustanovuje sa najnižšia výška pokuty, pokuta voči osobe, ktorá prevezme plnenie povinností po zániku účtovnej jednotky a</w:t>
      </w:r>
      <w:r w:rsidR="00050335">
        <w:rPr>
          <w:rStyle w:val="Textzstupnhosymbolu"/>
          <w:rFonts w:ascii="Times New Roman" w:hAnsi="Times New Roman"/>
          <w:color w:val="000000"/>
          <w:sz w:val="24"/>
          <w:szCs w:val="24"/>
        </w:rPr>
        <w:t xml:space="preserve"> výška </w:t>
      </w:r>
      <w:r>
        <w:rPr>
          <w:rStyle w:val="Textzstupnhosymbolu"/>
          <w:rFonts w:ascii="Times New Roman" w:hAnsi="Times New Roman"/>
          <w:color w:val="000000"/>
          <w:sz w:val="24"/>
          <w:szCs w:val="24"/>
        </w:rPr>
        <w:t>pokuty, ktor</w:t>
      </w:r>
      <w:r w:rsidR="00050335">
        <w:rPr>
          <w:rStyle w:val="Textzstupnhosymbolu"/>
          <w:rFonts w:ascii="Times New Roman" w:hAnsi="Times New Roman"/>
          <w:color w:val="000000"/>
          <w:sz w:val="24"/>
          <w:szCs w:val="24"/>
        </w:rPr>
        <w:t>ú</w:t>
      </w:r>
      <w:r>
        <w:rPr>
          <w:rStyle w:val="Textzstupnhosymbolu"/>
          <w:rFonts w:ascii="Times New Roman" w:hAnsi="Times New Roman"/>
          <w:color w:val="000000"/>
          <w:sz w:val="24"/>
          <w:szCs w:val="24"/>
        </w:rPr>
        <w:t xml:space="preserve"> z rôznych</w:t>
      </w:r>
      <w:r w:rsidR="0045148E">
        <w:rPr>
          <w:rStyle w:val="Textzstupnhosymbolu"/>
          <w:rFonts w:ascii="Times New Roman" w:hAnsi="Times New Roman"/>
          <w:color w:val="000000"/>
          <w:sz w:val="24"/>
          <w:szCs w:val="24"/>
        </w:rPr>
        <w:t xml:space="preserve"> dôvodov nie je možné odvodiť z</w:t>
      </w:r>
      <w:r>
        <w:rPr>
          <w:rStyle w:val="Textzstupnhosymbolu"/>
          <w:rFonts w:ascii="Times New Roman" w:hAnsi="Times New Roman"/>
          <w:color w:val="000000"/>
          <w:sz w:val="24"/>
          <w:szCs w:val="24"/>
        </w:rPr>
        <w:t xml:space="preserve"> celkovej sumy majetku</w:t>
      </w:r>
      <w:r w:rsidR="00050335">
        <w:rPr>
          <w:rStyle w:val="Textzstupnhosymbolu"/>
          <w:rFonts w:ascii="Times New Roman" w:hAnsi="Times New Roman"/>
          <w:color w:val="000000"/>
          <w:sz w:val="24"/>
          <w:szCs w:val="24"/>
        </w:rPr>
        <w:t>,</w:t>
      </w:r>
      <w:r>
        <w:rPr>
          <w:rStyle w:val="Textzstupnhosymbolu"/>
          <w:rFonts w:ascii="Times New Roman" w:hAnsi="Times New Roman"/>
          <w:color w:val="000000"/>
          <w:sz w:val="24"/>
          <w:szCs w:val="24"/>
        </w:rPr>
        <w:t xml:space="preserve"> sa ustanov</w:t>
      </w:r>
      <w:r w:rsidR="00050335">
        <w:rPr>
          <w:rStyle w:val="Textzstupnhosymbolu"/>
          <w:rFonts w:ascii="Times New Roman" w:hAnsi="Times New Roman"/>
          <w:color w:val="000000"/>
          <w:sz w:val="24"/>
          <w:szCs w:val="24"/>
        </w:rPr>
        <w:t xml:space="preserve">uje </w:t>
      </w:r>
      <w:r>
        <w:rPr>
          <w:rStyle w:val="Textzstupnhosymbolu"/>
          <w:rFonts w:ascii="Times New Roman" w:hAnsi="Times New Roman"/>
          <w:color w:val="000000"/>
          <w:sz w:val="24"/>
          <w:szCs w:val="24"/>
        </w:rPr>
        <w:t>v absolútnej výške.</w:t>
      </w:r>
    </w:p>
    <w:p w:rsidR="00046C38" w:rsidRDefault="00046C38" w:rsidP="00AD21EE">
      <w:pPr>
        <w:pStyle w:val="Normlnywebov"/>
        <w:spacing w:before="120" w:beforeAutospacing="0" w:after="0" w:afterAutospacing="0"/>
        <w:ind w:firstLine="709"/>
        <w:jc w:val="both"/>
      </w:pPr>
      <w:r w:rsidRPr="008900FB">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351B38" w:rsidRDefault="00351B38" w:rsidP="004D140F">
      <w:pPr>
        <w:pStyle w:val="Normlnywebov"/>
        <w:spacing w:before="120" w:beforeAutospacing="0" w:after="0" w:afterAutospacing="0"/>
        <w:ind w:firstLine="709"/>
        <w:jc w:val="both"/>
      </w:pPr>
      <w:r w:rsidRPr="008900FB">
        <w:t>Návrh zákona nie je predmetom vnútrokomunitárneho pripomienkového konania.</w:t>
      </w:r>
    </w:p>
    <w:p w:rsidR="007959AC" w:rsidRPr="008900FB" w:rsidRDefault="007959AC" w:rsidP="004D140F">
      <w:pPr>
        <w:pStyle w:val="Normlnywebov"/>
        <w:spacing w:before="120" w:beforeAutospacing="0" w:after="0" w:afterAutospacing="0"/>
        <w:ind w:firstLine="709"/>
        <w:jc w:val="both"/>
      </w:pPr>
      <w:r>
        <w:t>Návrh zákona bol predmetom medzirezortného pripomienkového konania, pričom akceptované pripomienky boli zapracované do textu návrhu. Materiál sa predkladá bez rozporov.</w:t>
      </w:r>
    </w:p>
    <w:p w:rsidR="000E1301" w:rsidRPr="001B028A" w:rsidRDefault="00DB6783" w:rsidP="001B028A">
      <w:pPr>
        <w:pStyle w:val="Normlnywebov"/>
        <w:spacing w:before="120" w:beforeAutospacing="0" w:after="0" w:afterAutospacing="0"/>
        <w:ind w:firstLine="709"/>
        <w:jc w:val="both"/>
      </w:pPr>
      <w:r w:rsidRPr="001B028A">
        <w:lastRenderedPageBreak/>
        <w:t>Navrhuje sa účinnosť zákona 1. januára 2022 tak, aby jednotlivé zmeny v zákone boli účinné od začiatku nového účtovného obdobia. Ustanovenie o elektronickej podobe ukladania účtovných závierok sa bude vzťahovať na všetky účtovné závierky, ktoré sa budú ukladať do registra po 1. januári 2022. Týka sa to účtovných závierok za účtovné obdobie, ktoré končí 31. decembra 2021, ale aj účtovných závierok za minulé účtovné obdobia. Z</w:t>
      </w:r>
      <w:r w:rsidR="001B028A" w:rsidRPr="001B028A">
        <w:t>mena pri z</w:t>
      </w:r>
      <w:r w:rsidRPr="001B028A">
        <w:t>verej</w:t>
      </w:r>
      <w:r w:rsidR="001B028A" w:rsidRPr="001B028A">
        <w:t>ňovaní</w:t>
      </w:r>
      <w:r w:rsidRPr="001B028A">
        <w:t xml:space="preserve"> účtovných dokumentov vo verejnej časti registra sa bude uplatňovať na účtovné dokumenty ukladané za účtovné obdobie, ktoré </w:t>
      </w:r>
      <w:r w:rsidR="00963749" w:rsidRPr="001B028A">
        <w:t>začína 1</w:t>
      </w:r>
      <w:r w:rsidRPr="001B028A">
        <w:t>. január</w:t>
      </w:r>
      <w:r w:rsidR="00963749" w:rsidRPr="001B028A">
        <w:t>a</w:t>
      </w:r>
      <w:r w:rsidRPr="001B028A">
        <w:t xml:space="preserve"> 2022</w:t>
      </w:r>
      <w:r w:rsidR="00963749" w:rsidRPr="001B028A">
        <w:t xml:space="preserve"> a neskôr.</w:t>
      </w:r>
    </w:p>
    <w:sectPr w:rsidR="000E1301" w:rsidRPr="001B028A" w:rsidSect="000E1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38"/>
    <w:rsid w:val="00046C38"/>
    <w:rsid w:val="00050335"/>
    <w:rsid w:val="000E1301"/>
    <w:rsid w:val="000E3311"/>
    <w:rsid w:val="000F48A1"/>
    <w:rsid w:val="00134EA3"/>
    <w:rsid w:val="00176C22"/>
    <w:rsid w:val="001B028A"/>
    <w:rsid w:val="001C6A0A"/>
    <w:rsid w:val="001E2C1F"/>
    <w:rsid w:val="00293517"/>
    <w:rsid w:val="002E45DC"/>
    <w:rsid w:val="00336904"/>
    <w:rsid w:val="00343AE5"/>
    <w:rsid w:val="00351B38"/>
    <w:rsid w:val="00354396"/>
    <w:rsid w:val="003850EE"/>
    <w:rsid w:val="00390319"/>
    <w:rsid w:val="003B17E1"/>
    <w:rsid w:val="003E22CD"/>
    <w:rsid w:val="003F240C"/>
    <w:rsid w:val="0045148E"/>
    <w:rsid w:val="004B3A33"/>
    <w:rsid w:val="004D140F"/>
    <w:rsid w:val="004F2450"/>
    <w:rsid w:val="00550E38"/>
    <w:rsid w:val="00552F3B"/>
    <w:rsid w:val="006509C5"/>
    <w:rsid w:val="00746431"/>
    <w:rsid w:val="007671F0"/>
    <w:rsid w:val="007959AC"/>
    <w:rsid w:val="007B4347"/>
    <w:rsid w:val="007D46B6"/>
    <w:rsid w:val="00826AA5"/>
    <w:rsid w:val="00843BFB"/>
    <w:rsid w:val="008828B7"/>
    <w:rsid w:val="008900FB"/>
    <w:rsid w:val="008F0846"/>
    <w:rsid w:val="009319E0"/>
    <w:rsid w:val="00963749"/>
    <w:rsid w:val="00972117"/>
    <w:rsid w:val="009824CB"/>
    <w:rsid w:val="009902EC"/>
    <w:rsid w:val="009959AE"/>
    <w:rsid w:val="00A3513C"/>
    <w:rsid w:val="00AC78DC"/>
    <w:rsid w:val="00AD21EE"/>
    <w:rsid w:val="00B56C1D"/>
    <w:rsid w:val="00BE1229"/>
    <w:rsid w:val="00C1015E"/>
    <w:rsid w:val="00C51A3A"/>
    <w:rsid w:val="00C75762"/>
    <w:rsid w:val="00CA3262"/>
    <w:rsid w:val="00CE7C69"/>
    <w:rsid w:val="00D02BF0"/>
    <w:rsid w:val="00D11D34"/>
    <w:rsid w:val="00D315EC"/>
    <w:rsid w:val="00D4736B"/>
    <w:rsid w:val="00D93E57"/>
    <w:rsid w:val="00DB6783"/>
    <w:rsid w:val="00E027DA"/>
    <w:rsid w:val="00E24279"/>
    <w:rsid w:val="00E629DA"/>
    <w:rsid w:val="00E65228"/>
    <w:rsid w:val="00EE4AD7"/>
    <w:rsid w:val="00F12C27"/>
    <w:rsid w:val="00F207ED"/>
    <w:rsid w:val="00F46998"/>
    <w:rsid w:val="00FD3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E1E67F-2C71-4986-BCCE-B84BCFDD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46C38"/>
    <w:rPr>
      <w:rFonts w:cs="Times New Roman"/>
      <w:sz w:val="22"/>
      <w:szCs w:val="22"/>
      <w:lang w:eastAsia="en-US"/>
    </w:rPr>
  </w:style>
  <w:style w:type="character" w:customStyle="1" w:styleId="Textzstupnhosymbolu">
    <w:name w:val="Text zástupného symbolu"/>
    <w:uiPriority w:val="99"/>
    <w:semiHidden/>
    <w:rsid w:val="00046C38"/>
    <w:rPr>
      <w:color w:val="808080"/>
    </w:rPr>
  </w:style>
  <w:style w:type="paragraph" w:styleId="Normlnywebov">
    <w:name w:val="Normal (Web)"/>
    <w:basedOn w:val="Normlny"/>
    <w:uiPriority w:val="99"/>
    <w:unhideWhenUsed/>
    <w:rsid w:val="00046C38"/>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7D46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7D46B6"/>
    <w:rPr>
      <w:rFonts w:ascii="Segoe UI" w:hAnsi="Segoe UI" w:cs="Times New Roman"/>
      <w:sz w:val="18"/>
      <w:lang w:val="x-none" w:eastAsia="en-US"/>
    </w:rPr>
  </w:style>
  <w:style w:type="character" w:styleId="Zstupntext">
    <w:name w:val="Placeholder Text"/>
    <w:basedOn w:val="Predvolenpsmoodseku"/>
    <w:uiPriority w:val="99"/>
    <w:semiHidden/>
    <w:rsid w:val="00DB6783"/>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 ?><Relationships xmlns="http://schemas.openxmlformats.org/package/2006/relationships"><Relationship Id="rId3" Type="http://schemas.openxmlformats.org/officeDocument/2006/relationships/webSettings" Target="webSettings.xml"></Relationship><Relationship Id="rId2" Type="http://schemas.openxmlformats.org/officeDocument/2006/relationships/settings" Target="settings.xml"></Relationship><Relationship Id="rId1" Type="http://schemas.openxmlformats.org/officeDocument/2006/relationships/styles" Target="styles.xml"></Relationship><Relationship Id="rId5" Type="http://schemas.openxmlformats.org/officeDocument/2006/relationships/theme" Target="theme/theme1.xml"></Relationship><Relationship Id="rId4" Type="http://schemas.openxmlformats.org/officeDocument/2006/relationships/fontTable" Target="fontTable.xml"></Relationship><Relationship Id="rId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predkladacia_sprava"/>
    <f:field ref="objsubject" par="" edit="true" text=""/>
    <f:field ref="objcreatedby" par="" text="Vršková, Jana, Ing."/>
    <f:field ref="objcreatedat" par="" text="27.7.2021 14:00:06"/>
    <f:field ref="objchangedby" par="" text="Administrator, System"/>
    <f:field ref="objmodifiedat" par="" text="27.7.2021 14:00: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Jana Vršková</dc:creator>
  <cp:keywords/>
  <dc:description/>
  <cp:lastModifiedBy>Vrskova Jana</cp:lastModifiedBy>
  <cp:revision>2</cp:revision>
  <cp:lastPrinted>2021-04-30T13:02:00Z</cp:lastPrinted>
  <dcterms:created xsi:type="dcterms:W3CDTF">2021-07-27T11:50:00Z</dcterms:created>
  <dcterms:modified xsi:type="dcterms:W3CDTF">2021-07-27T11:50:00Z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Predkladacia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COO.2145.1000.3.4478158</vt:lpwstr>
  </property>
  <property name="FSC#FSCFOLIO@1.1001:docpropproject" pid="152" fmtid="{D5CDD505-2E9C-101B-9397-08002B2CF9AE}">
    <vt:lpwstr/>
  </property>
</Properties>
</file>