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74EDB" w:rsidRPr="002E32C0" w:rsidTr="007B71A4">
        <w:trPr>
          <w:trHeight w:val="566"/>
        </w:trPr>
        <w:tc>
          <w:tcPr>
            <w:tcW w:w="9212" w:type="dxa"/>
            <w:shd w:val="clear" w:color="auto" w:fill="D9D9D9"/>
            <w:vAlign w:val="center"/>
            <w:hideMark/>
          </w:tcPr>
          <w:p w:rsidR="00374EDB" w:rsidRPr="002E32C0" w:rsidRDefault="00413E9A" w:rsidP="00413E9A">
            <w:pPr>
              <w:jc w:val="center"/>
              <w:rPr>
                <w:sz w:val="24"/>
                <w:szCs w:val="24"/>
              </w:rPr>
            </w:pPr>
            <w:bookmarkStart w:id="0" w:name="_GoBack"/>
            <w:bookmarkEnd w:id="0"/>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rsidTr="007B71A4">
        <w:trPr>
          <w:trHeight w:val="688"/>
        </w:trPr>
        <w:tc>
          <w:tcPr>
            <w:tcW w:w="9212" w:type="dxa"/>
            <w:shd w:val="clear" w:color="auto" w:fill="D9D9D9"/>
            <w:vAlign w:val="center"/>
            <w:hideMark/>
          </w:tcPr>
          <w:p w:rsidR="00374EDB" w:rsidRPr="002E32C0" w:rsidRDefault="00374EDB" w:rsidP="007B71A4">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374EDB" w:rsidRPr="002E32C0" w:rsidTr="007B71A4">
        <w:trPr>
          <w:trHeight w:val="995"/>
        </w:trPr>
        <w:tc>
          <w:tcPr>
            <w:tcW w:w="9212" w:type="dxa"/>
          </w:tcPr>
          <w:p w:rsidR="00374EDB" w:rsidRDefault="00374EDB" w:rsidP="007B71A4">
            <w:pPr>
              <w:jc w:val="both"/>
              <w:rPr>
                <w:i/>
                <w:sz w:val="24"/>
                <w:szCs w:val="24"/>
              </w:rPr>
            </w:pPr>
            <w:r w:rsidRPr="002E32C0">
              <w:rPr>
                <w:i/>
                <w:sz w:val="24"/>
                <w:szCs w:val="24"/>
              </w:rPr>
              <w:t>Typ, veľkosť a rozsah vplyvu</w:t>
            </w:r>
          </w:p>
          <w:p w:rsidR="00762A59" w:rsidRPr="00762A59" w:rsidRDefault="00762A59" w:rsidP="00762A59">
            <w:pPr>
              <w:jc w:val="both"/>
              <w:rPr>
                <w:sz w:val="24"/>
                <w:szCs w:val="24"/>
              </w:rPr>
            </w:pPr>
            <w:r w:rsidRPr="00762A59">
              <w:rPr>
                <w:sz w:val="24"/>
                <w:szCs w:val="24"/>
              </w:rPr>
              <w:t>Identifikovali sme pozitívny vplyv na životné prostredie. Prostredníctvom zníženia počtu</w:t>
            </w:r>
            <w:r>
              <w:rPr>
                <w:sz w:val="24"/>
                <w:szCs w:val="24"/>
              </w:rPr>
              <w:t xml:space="preserve"> listinných dokumentov, ktoré vznikli vytlačením elektronicky zaslaných dokumentov</w:t>
            </w:r>
            <w:r w:rsidR="00812BF2">
              <w:rPr>
                <w:sz w:val="24"/>
                <w:szCs w:val="24"/>
              </w:rPr>
              <w:t>,</w:t>
            </w:r>
            <w:r w:rsidR="002E3F5A">
              <w:rPr>
                <w:sz w:val="24"/>
                <w:szCs w:val="24"/>
              </w:rPr>
              <w:t xml:space="preserve"> sa zníži spotreba papiera. Prenesením povinností vyplývajúcich zo zákona o účtovníctve do elektronického prostredia sa zároveň znížia náklady aj na odpadové hospodárstvo v súvislosti so znížením spotreby papiera a tlačiarenských komponentov. </w:t>
            </w:r>
            <w:r w:rsidR="008A34E8">
              <w:rPr>
                <w:sz w:val="24"/>
                <w:szCs w:val="24"/>
              </w:rPr>
              <w:t xml:space="preserve">Odhadujeme, že ak polovica podnikateľského prostredia (asi 300 000 podnikateľov) začne spracovávať účtovníctvo len elektronicky, a asi 100 000 podnikateľov zníži počet listinných dokumentov, pri 50 eurách mesačne vynakladaných na papier, toner a tlačiareň, sa vytvorí úspora asi 240 000 000 eur.  </w:t>
            </w:r>
            <w:r w:rsidRPr="00762A59">
              <w:rPr>
                <w:sz w:val="24"/>
                <w:szCs w:val="24"/>
              </w:rPr>
              <w:t xml:space="preserve"> </w:t>
            </w:r>
          </w:p>
        </w:tc>
      </w:tr>
      <w:tr w:rsidR="00374EDB" w:rsidRPr="002E32C0" w:rsidTr="007B71A4">
        <w:trPr>
          <w:trHeight w:val="404"/>
        </w:trPr>
        <w:tc>
          <w:tcPr>
            <w:tcW w:w="9212" w:type="dxa"/>
            <w:shd w:val="clear" w:color="auto" w:fill="D9D9D9"/>
            <w:vAlign w:val="center"/>
            <w:hideMark/>
          </w:tcPr>
          <w:p w:rsidR="00374EDB" w:rsidRPr="002E32C0" w:rsidRDefault="00374EDB" w:rsidP="007B71A4">
            <w:pPr>
              <w:rPr>
                <w:b/>
                <w:sz w:val="24"/>
                <w:szCs w:val="24"/>
              </w:rPr>
            </w:pPr>
            <w:r w:rsidRPr="002E32C0">
              <w:rPr>
                <w:b/>
                <w:sz w:val="24"/>
                <w:szCs w:val="24"/>
              </w:rPr>
              <w:t xml:space="preserve">5.2 Bude mať predkladaný materiál vplyv na chránené územia a ak áno, aký? </w:t>
            </w:r>
          </w:p>
        </w:tc>
      </w:tr>
      <w:tr w:rsidR="00374EDB" w:rsidRPr="002E32C0" w:rsidTr="007B71A4">
        <w:trPr>
          <w:trHeight w:val="987"/>
        </w:trPr>
        <w:tc>
          <w:tcPr>
            <w:tcW w:w="9212" w:type="dxa"/>
          </w:tcPr>
          <w:p w:rsidR="00374EDB" w:rsidRDefault="00374EDB" w:rsidP="007B71A4">
            <w:pPr>
              <w:jc w:val="both"/>
              <w:rPr>
                <w:i/>
                <w:sz w:val="24"/>
                <w:szCs w:val="24"/>
              </w:rPr>
            </w:pPr>
            <w:r w:rsidRPr="002E32C0">
              <w:rPr>
                <w:i/>
                <w:sz w:val="24"/>
                <w:szCs w:val="24"/>
              </w:rPr>
              <w:t>Typ, veľkosť a rozsah vplyvu</w:t>
            </w:r>
          </w:p>
          <w:p w:rsidR="00762A59" w:rsidRPr="002E32C0" w:rsidRDefault="00762A59" w:rsidP="007B71A4">
            <w:pPr>
              <w:jc w:val="both"/>
              <w:rPr>
                <w:i/>
                <w:sz w:val="24"/>
                <w:szCs w:val="24"/>
              </w:rPr>
            </w:pPr>
            <w:r>
              <w:rPr>
                <w:i/>
                <w:sz w:val="24"/>
                <w:szCs w:val="24"/>
              </w:rPr>
              <w:t>Nie</w:t>
            </w:r>
          </w:p>
        </w:tc>
      </w:tr>
      <w:tr w:rsidR="00374EDB" w:rsidRPr="002E32C0" w:rsidTr="007B71A4">
        <w:trPr>
          <w:trHeight w:val="698"/>
        </w:trPr>
        <w:tc>
          <w:tcPr>
            <w:tcW w:w="9212" w:type="dxa"/>
            <w:shd w:val="clear" w:color="auto" w:fill="D9D9D9"/>
            <w:vAlign w:val="center"/>
          </w:tcPr>
          <w:p w:rsidR="00374EDB" w:rsidRPr="002E32C0" w:rsidRDefault="00374EDB" w:rsidP="007B71A4">
            <w:pPr>
              <w:rPr>
                <w:b/>
                <w:sz w:val="24"/>
                <w:szCs w:val="24"/>
              </w:rPr>
            </w:pPr>
            <w:r w:rsidRPr="002E32C0">
              <w:rPr>
                <w:b/>
                <w:sz w:val="24"/>
                <w:szCs w:val="24"/>
              </w:rPr>
              <w:t>5.3 Bude mať predkladaný materiál vplyvy na životné prostredie presahujúce štátne hranice? (ktoré zložky a ako budú najviac ovplyvnené)?</w:t>
            </w:r>
          </w:p>
        </w:tc>
      </w:tr>
      <w:tr w:rsidR="00374EDB" w:rsidRPr="002E32C0" w:rsidTr="007B71A4">
        <w:trPr>
          <w:trHeight w:val="969"/>
        </w:trPr>
        <w:tc>
          <w:tcPr>
            <w:tcW w:w="9212" w:type="dxa"/>
          </w:tcPr>
          <w:p w:rsidR="00374EDB" w:rsidRDefault="00374EDB" w:rsidP="007B71A4">
            <w:pPr>
              <w:jc w:val="both"/>
              <w:rPr>
                <w:i/>
                <w:sz w:val="24"/>
                <w:szCs w:val="24"/>
              </w:rPr>
            </w:pPr>
            <w:r w:rsidRPr="002E32C0">
              <w:rPr>
                <w:i/>
                <w:sz w:val="24"/>
                <w:szCs w:val="24"/>
              </w:rPr>
              <w:t>Typ, veľkosť a rozsah vplyvu</w:t>
            </w:r>
          </w:p>
          <w:p w:rsidR="00762A59" w:rsidRPr="002E32C0" w:rsidRDefault="00762A59" w:rsidP="007B71A4">
            <w:pPr>
              <w:jc w:val="both"/>
              <w:rPr>
                <w:b/>
                <w:sz w:val="24"/>
                <w:szCs w:val="24"/>
              </w:rPr>
            </w:pPr>
            <w:r>
              <w:rPr>
                <w:i/>
                <w:sz w:val="24"/>
                <w:szCs w:val="24"/>
              </w:rPr>
              <w:t>Nie</w:t>
            </w:r>
          </w:p>
        </w:tc>
      </w:tr>
      <w:tr w:rsidR="00374EDB" w:rsidRPr="002E32C0" w:rsidTr="007B71A4">
        <w:trPr>
          <w:trHeight w:val="713"/>
        </w:trPr>
        <w:tc>
          <w:tcPr>
            <w:tcW w:w="9212" w:type="dxa"/>
            <w:shd w:val="clear" w:color="auto" w:fill="D9D9D9"/>
            <w:vAlign w:val="center"/>
          </w:tcPr>
          <w:p w:rsidR="00374EDB" w:rsidRPr="002E32C0" w:rsidRDefault="00374EDB" w:rsidP="007B71A4">
            <w:pPr>
              <w:rPr>
                <w:b/>
                <w:sz w:val="24"/>
                <w:szCs w:val="24"/>
              </w:rPr>
            </w:pPr>
            <w:r w:rsidRPr="002E32C0">
              <w:rPr>
                <w:b/>
                <w:sz w:val="24"/>
                <w:szCs w:val="24"/>
              </w:rPr>
              <w:t>5.4 Aké opatrenia budú prijaté na zmiernenie negatívneho vplyvu na životné prostredie?</w:t>
            </w:r>
          </w:p>
        </w:tc>
      </w:tr>
      <w:tr w:rsidR="00374EDB" w:rsidRPr="002E32C0" w:rsidTr="007B71A4">
        <w:trPr>
          <w:trHeight w:val="979"/>
        </w:trPr>
        <w:tc>
          <w:tcPr>
            <w:tcW w:w="9212" w:type="dxa"/>
            <w:shd w:val="clear" w:color="auto" w:fill="FFFFFF"/>
          </w:tcPr>
          <w:p w:rsidR="00374EDB" w:rsidRPr="002E32C0" w:rsidRDefault="00374EDB" w:rsidP="007B71A4">
            <w:pPr>
              <w:jc w:val="both"/>
              <w:rPr>
                <w:b/>
                <w:sz w:val="24"/>
                <w:szCs w:val="24"/>
              </w:rPr>
            </w:pPr>
          </w:p>
        </w:tc>
      </w:tr>
    </w:tbl>
    <w:p w:rsidR="00374EDB" w:rsidRPr="002E32C0" w:rsidRDefault="00374EDB" w:rsidP="00374EDB">
      <w:pPr>
        <w:jc w:val="center"/>
        <w:rPr>
          <w:b/>
          <w:bCs/>
          <w:sz w:val="28"/>
          <w:szCs w:val="28"/>
        </w:rPr>
      </w:pPr>
    </w:p>
    <w:p w:rsidR="00812BF2" w:rsidRPr="002E32C0" w:rsidRDefault="00812BF2" w:rsidP="00812BF2">
      <w:pPr>
        <w:rPr>
          <w:sz w:val="24"/>
          <w:szCs w:val="24"/>
        </w:rPr>
      </w:pPr>
    </w:p>
    <w:sectPr w:rsidR="00812BF2" w:rsidRPr="002E32C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16E" w:rsidRDefault="0063716E" w:rsidP="00374EDB">
      <w:r>
        <w:separator/>
      </w:r>
    </w:p>
  </w:endnote>
  <w:endnote w:type="continuationSeparator" w:id="0">
    <w:p w:rsidR="0063716E" w:rsidRDefault="0063716E"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15198327"/>
      <w:docPartObj>
        <w:docPartGallery w:val="Page Numbers (Bottom of Page)"/>
        <w:docPartUnique/>
      </w:docPartObj>
    </w:sdtPr>
    <w:sdtEndPr/>
    <w:sdtContent>
      <w:p w:rsidR="00374EDB" w:rsidRPr="00374EDB" w:rsidRDefault="00374EDB">
        <w:pPr>
          <w:pStyle w:val="Pta"/>
          <w:jc w:val="right"/>
          <w:rPr>
            <w:sz w:val="22"/>
          </w:rPr>
        </w:pPr>
        <w:r w:rsidRPr="00374EDB">
          <w:rPr>
            <w:sz w:val="22"/>
          </w:rPr>
          <w:fldChar w:fldCharType="begin"/>
        </w:r>
        <w:r w:rsidRPr="00374EDB">
          <w:rPr>
            <w:sz w:val="22"/>
          </w:rPr>
          <w:instrText>PAGE   \* MERGEFORMAT</w:instrText>
        </w:r>
        <w:r w:rsidRPr="00374EDB">
          <w:rPr>
            <w:sz w:val="22"/>
          </w:rPr>
          <w:fldChar w:fldCharType="separate"/>
        </w:r>
        <w:r w:rsidR="003A5108">
          <w:rPr>
            <w:noProof/>
            <w:sz w:val="22"/>
          </w:rPr>
          <w:t>1</w:t>
        </w:r>
        <w:r w:rsidRPr="00374EDB">
          <w:rPr>
            <w:sz w:val="22"/>
          </w:rPr>
          <w:fldChar w:fldCharType="end"/>
        </w:r>
      </w:p>
    </w:sdtContent>
  </w:sdt>
  <w:p w:rsidR="00374EDB" w:rsidRDefault="00374E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16E" w:rsidRDefault="0063716E" w:rsidP="00374EDB">
      <w:r>
        <w:separator/>
      </w:r>
    </w:p>
  </w:footnote>
  <w:footnote w:type="continuationSeparator" w:id="0">
    <w:p w:rsidR="0063716E" w:rsidRDefault="0063716E" w:rsidP="00374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DB" w:rsidRDefault="00374EDB" w:rsidP="00374EDB">
    <w:pPr>
      <w:pStyle w:val="Hlavika"/>
      <w:jc w:val="right"/>
      <w:rPr>
        <w:sz w:val="24"/>
        <w:szCs w:val="24"/>
      </w:rPr>
    </w:pPr>
    <w:r w:rsidRPr="000A15AE">
      <w:rPr>
        <w:sz w:val="24"/>
        <w:szCs w:val="24"/>
      </w:rPr>
      <w:t>Príloha č</w:t>
    </w:r>
    <w:r>
      <w:rPr>
        <w:sz w:val="24"/>
        <w:szCs w:val="24"/>
      </w:rPr>
      <w:t>. 5</w:t>
    </w:r>
  </w:p>
  <w:p w:rsidR="00374EDB" w:rsidRDefault="00374ED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F"/>
    <w:rsid w:val="000067E4"/>
    <w:rsid w:val="002E32C0"/>
    <w:rsid w:val="002E3F5A"/>
    <w:rsid w:val="0033662C"/>
    <w:rsid w:val="00374EDB"/>
    <w:rsid w:val="003A5108"/>
    <w:rsid w:val="00413E9A"/>
    <w:rsid w:val="00494040"/>
    <w:rsid w:val="005440C7"/>
    <w:rsid w:val="006369D1"/>
    <w:rsid w:val="0063716E"/>
    <w:rsid w:val="006A7400"/>
    <w:rsid w:val="00702CAB"/>
    <w:rsid w:val="007604EE"/>
    <w:rsid w:val="00762A59"/>
    <w:rsid w:val="007A28FB"/>
    <w:rsid w:val="007B3930"/>
    <w:rsid w:val="00812BF2"/>
    <w:rsid w:val="008877FD"/>
    <w:rsid w:val="008A34E8"/>
    <w:rsid w:val="00995020"/>
    <w:rsid w:val="009D2983"/>
    <w:rsid w:val="00A96633"/>
    <w:rsid w:val="00A96EDF"/>
    <w:rsid w:val="00CB3623"/>
    <w:rsid w:val="00F03033"/>
    <w:rsid w:val="00F43A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444D4-42EB-492E-920E-E804341C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 ?><Relationships xmlns="http://schemas.openxmlformats.org/package/2006/relationships"><Relationship Id="rId8" Type="http://schemas.openxmlformats.org/officeDocument/2006/relationships/footer" Target="footer1.xml"></Relationship><Relationship Id="rId3" Type="http://schemas.openxmlformats.org/officeDocument/2006/relationships/settings" Target="settings.xml"></Relationship><Relationship Id="rId7" Type="http://schemas.openxmlformats.org/officeDocument/2006/relationships/header" Target="header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5" Type="http://schemas.openxmlformats.org/officeDocument/2006/relationships/footnotes" Target="footnotes.xml"></Relationship><Relationship Id="rId10" Type="http://schemas.openxmlformats.org/officeDocument/2006/relationships/theme" Target="theme/theme1.xml"></Relationship><Relationship Id="rId4" Type="http://schemas.openxmlformats.org/officeDocument/2006/relationships/webSettings" Target="webSettings.xml"></Relationship><Relationship Id="rId9" Type="http://schemas.openxmlformats.org/officeDocument/2006/relationships/fontTable" Target="fontTable.xml"></Relationship><Relationship Id="rId11"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Analyza_zivotne_prostredie"/>
    <f:field ref="objsubject" par="" edit="true" text=""/>
    <f:field ref="objcreatedby" par="" text="Vršková, Jana, Ing."/>
    <f:field ref="objcreatedat" par="" text="27.7.2021 14:17:24"/>
    <f:field ref="objchangedby" par="" text="Administrator, System"/>
    <f:field ref="objmodifiedat" par="" text="27.7.2021 14:17: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Vrskova Jana</cp:lastModifiedBy>
  <cp:revision>2</cp:revision>
  <dcterms:created xsi:type="dcterms:W3CDTF">2021-07-27T11:53:00Z</dcterms:created>
  <dcterms:modified xsi:type="dcterms:W3CDTF">2021-07-27T11:53:00Z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border="0" cellpadding="0" cellspacing="0" style="width:100.0%;" width="100%"&gt;_x0009_&lt;tbody&gt;_x0009__x0009_&lt;tr&gt;_x0009__x0009__x0009_&lt;td colspan="5" style="width:100.0%;height:27px;"&gt;_x0009__x0009__x0009_&lt;p&gt;&amp;nbsp;&lt;/p&gt;_x0009__x0009__x0009_&lt;p align="center"&gt;&lt;strong&gt;Scenár 3: Verejnosť sa zúčastňuje na tvorbe právneho predpisu&lt;/strong&gt;&lt;/p&gt;_x0009__x0009__x0009_&lt;/td&gt;_x0009__x0009_&lt;/tr&gt;_x0009__x0009_&lt;tr&gt;_x0009__x0009__x0009_&lt;td style="width:17.0%;height:27px;"&gt;_x0009__x0009__x0009_&lt;p align="center"&gt;&lt;strong&gt;Fáza procesu&lt;/strong&gt;&lt;/p&gt;_x0009__x0009__x0009_&lt;/td&gt;_x0009__x0009__x0009_&lt;td style="width:23.2%;height:27px;"&gt;_x0009__x0009__x0009_&lt;p align="center"&gt;&lt;strong&gt;Subfáza&lt;/strong&gt;&lt;/p&gt;_x0009__x0009__x0009_&lt;/td&gt;_x0009__x0009__x0009_&lt;td style="width:48.5%;height:27px;"&gt;_x0009__x0009__x0009_&lt;p align="center"&gt;&lt;strong&gt;Kontrolná otázka&lt;/strong&gt;&lt;/p&gt;_x0009__x0009__x0009_&lt;/td&gt;_x0009__x0009__x0009_&lt;td style="width:5.16%;height:27px;"&gt;_x0009__x0009__x0009_&lt;p align="center"&gt;&lt;strong&gt;A&lt;/strong&gt;&lt;/p&gt;_x0009__x0009__x0009_&lt;/td&gt;_x0009__x0009__x0009_&lt;td style="width:6.14%;height:27px;"&gt;_x0009__x0009__x0009_&lt;p align="center"&gt;&lt;strong&gt;N&lt;/strong&gt;&lt;/p&gt;_x0009__x0009__x0009_&lt;/td&gt;_x0009__x0009_&lt;/tr&gt;_x0009__x0009_&lt;tr&gt;_x0009__x0009__x0009_&lt;td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a&amp;nbsp;o&amp;nbsp;samotnom 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vt:lpwstr>
  </property>
  <property name="FSC#SKEDITIONSLOVLEX@103.510:typpredpis" pid="3" fmtid="{D5CDD505-2E9C-101B-9397-08002B2CF9AE}">
    <vt:lpwstr>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Ing. Jana Vršková</vt:lpwstr>
  </property>
  <property name="FSC#SKEDITIONSLOVLEX@103.510:zodppredkladatel" pid="12" fmtid="{D5CDD505-2E9C-101B-9397-08002B2CF9AE}">
    <vt:lpwstr>Igor Matovič</vt:lpwstr>
  </property>
  <property name="FSC#SKEDITIONSLOVLEX@103.510:dalsipredkladatel" pid="13" fmtid="{D5CDD505-2E9C-101B-9397-08002B2CF9AE}">
    <vt:lpwstr/>
  </property>
  <property name="FSC#SKEDITIONSLOVLEX@103.510:nazovpredpis" pid="14" fmtid="{D5CDD505-2E9C-101B-9397-08002B2CF9AE}">
    <vt:lpwstr>, ktorým sa mení a dopĺňa zákon č. 431/2002 Z. z. o účtovníctve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financií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rok 2021</vt:lpwstr>
  </property>
  <property name="FSC#SKEDITIONSLOVLEX@103.510:plnynazovpredpis" pid="23" fmtid="{D5CDD505-2E9C-101B-9397-08002B2CF9AE}">
    <vt:lpwstr> Zákon, ktorým sa mení a dopĺňa zákon č. 431/2002 Z. z. o účtovníctve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MF/004682/2021-74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LP/2021/256</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 čl. 4 ods. 2  Zmluvy o fungovaní Európskej únie (Ú. v. EÚ C 202, 7.6.2016) v platnom znení.</vt:lpwstr>
  </property>
  <property name="FSC#SKEDITIONSLOVLEX@103.510:AttrStrListDocPropSekundarneLegPravoPO" pid="47" fmtid="{D5CDD505-2E9C-101B-9397-08002B2CF9AE}">
    <vt:lpwstr>• smernica Európskeho parlamentu a Rady (EÚ) 2019/1151 z 20. júna 2019, ktorou sa mení smernica (EÚ) 2017/1132, pokiaľ ide o používanie digitálnych nástrojov a postupov v rámci práva obchodných spoločností (Ú. v. EÚ L 186, 11.7.2019), gestor: MS SR,_x000d__x000a_•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gestor: MF SR,_x000d__x000a_• smernica Európskeho parlamentu a Rady 2014/95/EÚ z 22. októbra 2014, ktorou sa mení smernica 2013/34/EÚ, pokiaľ ide o zverejňovanie nefinančných informácií a informácií týkajúcich sa rozmanitosti niektorými veľkými podnikmi a skupinami (Ú.v. EÚ L 330, 15.11.2014), gestor: MF SR, spolugestor: MS SR,_x000d__x000a_• smernica Rady z 8. decembra 1986 o ročnej účtovnej závierke a konsolidovaných účtoch bánk a iných finančných inštitúcií (1986/635/EHS) (Ú. v. ES L 372, 31.12.1986; Mimoriadne vydanie Ú. v. EÚ kap. 6/zv. 1) v platnom znení, gestor: MF SR,_x000d__x000a_• smernica Rady z 19. decembra 1991 o ročných účtovných závierkach a konsolidovaných účtovných závierkach poisťovní (1991/674/EHS) (Ú. v. ES L 374, 31.12.1991; Mimoriadne  vydanie Ú. v. EÚ kap. 6/zv. 1) v platnom znení, gestor: MF SR,_x000d__x000a_• smernica Európskeho parlamentu a Rady 2004/25/ES z 21. apríla 2004 o ponukách na prevzatie (Ú. v. EÚ L 142, 30.4.2004; Mimoriadne vydanie Ú. v. EÚ kap. 17/zv. 2) v platnom znení, gestor: MF SR, spolugestor: MS SR,_x000d__x000a_•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platnom znení, gestor: MF SR,_x000d__x000a_• smernica Komisie 2006/111/ES zo 16. novembra 2006 o transparentnosti finančných vzťahov členských štátov a verejných podnikov a o finančnej transparentnosti v niektorých podnikoch (kodifikované znenie) (Ú. v. EÚ L 318, 17.11.2006), gestor: MF SR, _x000d__x000a_• smernica Európskeho parlamentu a Rady (EÚ) 2017/1132 zo 14. júna 2017 týkajúca sa niektorých aspektov práva obchodných spoločností (kodifikované znenie) (Ú. v. EÚ L 169, 30. 6. 2017) v platnom znení, gestor: MS SR, spolugestor: MF SR,_x000d__x000a_• nariadenie Európskeho parlamentu a Rady (ES) č. 1606/2002 z 19. júla 2002 o uplatňovaní medzinárodných účtovných noriem (Ú. v. ES L 243, 11.9.2002; Mimoriadne vydanie Ú. v. EÚ, kap. 13/zv. 29) v platnom znení, _x000d__x000a_• nariadenie Komisie (ES) č. 1126/2008 z 3. novembra 2008, ktorým sa v súlade s nariadením Európskeho parlamentu a Rady (ES) č. 1606/2002 prijímajú určité medzinárodné účtovné štandardy (Ú. v. EÚ L 320, 29.11.2008) v platnom znení, gestor: MF SR.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rozhodnutie Súdneho dvora vo veci C - 306/1999, Banque internationale pour l'Afrique occidentale SA (BIAO) v. Finanzamt für Großunternehmen in Hamburg, [2003], Výrok rozhodnutia: 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 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 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ustanovenie._x000d__x000a_• rozhodnutie Súdneho dvora vo veci C – 528/12, Mömax Logistik GmbH proti Bundesamt für Justiz [2014]. Výrok rozhodnutia:  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právnej úprave členského štátu, podľa ktorej sa na dcérsku spoločnosť, ktorá sa spravuje právnymi predpismi tohto členského štátu, neuplatňujú ustanovenia uvedenej smernice týkajúce sa obsahu, auditu a zverejnenia ročných účtovných závierok, iba ak sa materská spoločnosť tiež spravuje právnymi predpismi uvedeného štátu.</vt:lpwstr>
  </property>
  <property name="FSC#SKEDITIONSLOVLEX@103.510:AttrStrListDocPropLehotaPrebratieSmernice" pid="52" fmtid="{D5CDD505-2E9C-101B-9397-08002B2CF9AE}">
    <vt:lpwstr>Lehota na prebratie smernice 2013/34/EÚ bola určená do 20. júla 2015._x000d__x000a_Lehota na prebratie smernice (EÚ) 2017/1132 nebola stanovená. Smernica (EÚ) 2017/1132 zrušila smernicu 2009/101/ES bez vplyvu na povinnosť členského štátu týkajúcu sa lehôt na transpozíciu smerníc do vnútroštátneho práva._x000d__x000a_Lehota na prebratie smernice (EÚ) 2019/1151 bola určená do 1. augusta 2021, s možnosťou odkladu o jeden rok a s výnimkou niektorých článkov, kde bola určená lehota do 1. augusta 2023.</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Proti SR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55" fmtid="{D5CDD505-2E9C-101B-9397-08002B2CF9AE}">
    <vt:lpwstr>Smernica 2013/34/EÚ bola prebratá do:_x000d__x000a_- zákona č. 431/2002 Z. z. o účtovníctve v znení neskorších predpisov, _x000d__x000a_- zákona č. 333/2014 Z. z., ktorým sa mení a dopĺňa zákon č. 595/2003 Z. z. o dani z príjmov v znení neskorších predpisov a ktorým sa menia a dopĺňajú niektoré zákony,_x000d__x000a_- zákona č. 423/2015 Z.z. o štatutárnom audite a o zmene a doplnení zákona č. 431/2002 Z. z. o účtovníctve v znení neskorších predpisov v znení neskorších predpisov, _x000d__x000a_- zákona č. 500/2001 Z. z., ktorým sa mení a dopĺňa Obchodný zákonník v znení neskorších predpisov._x000d__x000a_Smernica (EÚ) 2017/1132 bola prebratá do:_x000d__x000a_- zákona č. 390/2019 Z. z., ktorým sa mení a dopĺňa zákon č. 513/1991 Zb. Obchodný zákonník v znení neskorších predpisov a ktorým sa menia a dopĺňajú niektoré zákony,_x000d__x000a_- zákona č. 530/2003 Z. z. o obchodnom registri a o zmene a doplnení niektorých zákonov v znení neskorších predpisov.</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8. 4. 2021</vt:lpwstr>
  </property>
  <property name="FSC#SKEDITIONSLOVLEX@103.510:AttrDateDocPropUkonceniePKK" pid="59" fmtid="{D5CDD505-2E9C-101B-9397-08002B2CF9AE}">
    <vt:lpwstr>21. 4. 2021</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Vo všeobecnosti&amp;nbsp; možno skonštatovať, že v&amp;nbsp;každej zo sledovaných oblastí&amp;nbsp; identifikovaných vybraných vplyvov okrem rozpočtu verejnej správy výrazne prevládajú pozitívne vplyvy. V&amp;nbsp;prípade vplyvov na rozpočet verejnej správy sú negatívne vplyvy v&amp;nbsp;prvom roku zavedenia elektronického podávania dokumentov, nakoľko je potrebné dotvoriť štruktúrovanú formu podávania dokumentov na strane Finančnej správy a&amp;nbsp;aj na strane registra účtovných závierok. V&amp;nbsp;nasledujúcich rokoch nebudú vynakladané finančné prostriedky na neautomatizované spracovanie údajov účtovných závierok, čo je vyjadrené poklesom výdavkov.&amp;nbsp;K&amp;nbsp;tomuto výberu variantov sa pristúpilo po analýze vplyvov na rozpočet, v&amp;nbsp;ktorom boli 3 varianty riešenia problematiky. Zavedením možnosti uľahčiť archiváciu účtovnej dokumentácie v&amp;nbsp;elektronickej podobe prostredníctvom napríklad účtovného systému má návrh zákona za cieľ znížiť náklady účtovných jednotiek pri archivácii, čo predstavuje pozitívny vplyv nielen na podnikateľské prostredie, ale aj na rozpočet, zároveň to predstavuje aj zníženie ekologickej záťaže pri zachovaní archivácie v listinnej podobe.&lt;p&gt;Návrh novely bude mať aj pozitívny vplyv na rozpočet pri príjmoch za zavedenie dolnej hranice pokuty, pričom bola ustanovená pokuta za neuloženie účtovnej závierky, keď daňový úrad nemá informáciu o&amp;nbsp;hodnote majetku, z&amp;nbsp;ktorej by mohol vyčísliť výšku sankcie. Súčasne sa navrhuje uloženie pokuty osobe, ktorá porušila zákon o&amp;nbsp;účtovníctve v&amp;nbsp;oblasti ukladania účtovných dokumentov po výmaze spoločnosti. Tak ako to vyplýva aj z&amp;nbsp;Analýzy vplyvov na podnikateľské prostredie, prevažujú pozitívne vplyvy na podnikateľské prostredie. Prijatím návrhu zákona sa z&amp;nbsp;dôvodu úprav pri podpisovom zázname osoby zodpovednej za účtovný prípad v&amp;nbsp;účtovnej jednotke nebudú musieť tlačiť účtovné záznamy, pri tých účtovných prípadoch, ak sa to zabezpečí elektronickou výmenou údajov alebo vnútorným kontrolným systémom účtovných záznamov. Tým sa usporí na nákladoch za tlač, tlačiareň, papier, toner a&amp;nbsp;pod. Návrh zákona urýchľuje postupný prechod účtovníctva podnikateľov do elektronickej podoby, nielen umožnením elektronickej podoby archivovania účtovnej dokumentácie, ale aj samotných procesov pri vedení účtovníctva.&amp;nbsp;&lt;/p&gt;</vt:lpwstr>
  </property>
  <property name="FSC#SKEDITIONSLOVLEX@103.510:AttrStrListDocPropAltRiesenia" pid="66" fmtid="{D5CDD505-2E9C-101B-9397-08002B2CF9AE}">
    <vt:lpwstr>Alternatívne riešenia neboli zvažované.Alternatíva 0: zachovanie súčasného stavu</vt:lpwstr>
  </property>
  <property name="FSC#SKEDITIONSLOVLEX@103.510:AttrStrListDocPropStanoviskoGest" pid="67" fmtid="{D5CDD505-2E9C-101B-9397-08002B2CF9AE}">
    <vt:lpwstr>&lt;p style="margin-left:6.8pt;"&gt;(PREDBEŽNÉ PRIPOMIENKOVÉ KONANIE)&lt;/p&gt;&lt;p style="margin-left:6.8pt;"&gt;K MATERIÁLU&lt;/p&gt;&lt;p style="margin-left:6.8pt;"&gt;&lt;strong&gt;NÁVRH ZÁKONA, KTORÝM SA MENÍ A DOPĹŇA ZÁKON Č. 431/2002 Z.Z. O ÚČTOVNÍCTVE V ZNENÍ NESKORŠÍCH PREDPISOV&lt;/strong&gt;&lt;/p&gt;&lt;p style="margin-left:6.8pt;"&gt;&lt;strong&gt;I. Úvod:&lt;/strong&gt; Ministerstvo financií SR predložilo dňa 8. apríla 2021 Stálej pracovnej komisii na posudzovanie vybraných vplyvov (ďalej len „Komisia“) na predbežné pripomienkové konanie materiál: „Návrh zákona, ktorým sa mení a dopĺňa zákon č. 431/2012 Z. 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informatizáciu.&lt;/p&gt;&lt;p style="margin-left:6.8pt;"&gt;&lt;strong&gt;II. Pripomienky a návrhy zmien:&lt;/strong&gt; Komisia uplatňuje k materiálu tieto pripomienky a odporúčania:&lt;/p&gt;&lt;p style="margin-left:6.8pt;"&gt;&lt;strong&gt;K doložke vybraných vplyvov&lt;/strong&gt;&lt;/p&gt;&lt;p style="margin-left:6.8pt;"&gt;V bode 10 .Poznámky odporúča Komisia predkladateľovi aby uviedol, že z Analýzy vplyvov na podnikateľské prostredie vyplýva, že prevažujú pozitívne vplyvy.&lt;/p&gt;&lt;p style="margin-left:6.8pt;"&gt;&lt;strong&gt;K vplyvom na podnikateľské prostredie&lt;/strong&gt;&lt;/p&gt;&lt;p style="margin-left:6.8pt;"&gt;Komisia odporúča predkladateľovi v analýze vplyvov na podnikateľské prostredie v Súhrnnej tabuľke nákladov regulácie doplniť pri úspore nákladov&amp;nbsp; znamienko (-) a doplniť jeden riadok celkové náklady regulácie, kde sa uvedie rozdiel nákladov a úspor nákladov regulácie, ktorý by mal mať znamienko (-).&lt;/p&gt;&lt;p style="margin-left:6.8pt;"&gt;&lt;strong&gt;III. Záver:&lt;/strong&gt; Stála pracovná komisia na posudzovanie vybraných vplyvov vyjadruje&lt;/p&gt;&lt;p style="margin-left:6.8pt;"&gt;&lt;strong&gt;súhlasné stanovisko s návrhom na dopracovanie&lt;/strong&gt;&lt;/p&gt;&lt;p style="margin-left:6.8pt;"&gt;s materiálom predloženým na predbežné pripomienkové konanie s odporúčaním na jeho dopracovanie podľa pripomienok v bode II.&lt;/p&gt;&lt;p style="margin-left:6.8pt;"&gt;&lt;strong&gt;IV. Poznámka:&lt;/strong&gt; Predkladateľ zapracuje pripomienky a odporúčania na úpravu uvedené v bode II a uvedie stanovisko Komisie do doložky vybraných vplyvov spolu s vyhodnotením pripomienok.&lt;/p&gt;Pripomienky Komisie boli zapracované do doložky vybraných vplyvov.</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a minister financií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
  </property>
  <property name="FSC#SKEDITIONSLOVLEX@103.510:funkciaZodpPredAkuzativ" pid="142" fmtid="{D5CDD505-2E9C-101B-9397-08002B2CF9AE}">
    <vt:lpwstr/>
  </property>
  <property name="FSC#SKEDITIONSLOVLEX@103.510:funkciaZodpPredDativ" pid="143" fmtid="{D5CDD505-2E9C-101B-9397-08002B2CF9AE}">
    <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Igor Matovič</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 zákona, ktorým sa mení a dopĺňa zákon č. 431/2002 Z. z. o&amp;nbsp;účtovníctve v&amp;nbsp;znení neskorších predpisov, sa predkladá na základe Plánu legislatívnych úloh vlády Slovenskej republiky na rok 2021.&lt;/p&gt;&lt;p&gt;Navrhuje sa rozšíriť verejnú časť Registra účtovných závierok (ďalej len „register“) o ďalšie právne formy právnických osôb, čím by všetky právnické osoby boli zaradené do verejnej časti registra. V záujme rozšírenia funkcionalít registra sa navrhuje, aby všetky účtovné dokumenty boli ukladané v elektronickej podobe, čo zjednoduší postup pri ich ukladaní, ale aj odstráni chybovosť pri neautomatizovanom spracovaní účtovných dokumentov.&lt;/p&gt;&lt;p&gt;Ustanovujú sa náležitosti výročnej správy pre neziskové organizácie, ktoré nemajú vo svojom hmotnoprávnom predpise zadefinovaný obsah výročnej správy.&lt;/p&gt;&lt;p&gt;Upresňujú a&amp;nbsp;zjednodušujú &amp;nbsp;sa ustanovenia o&amp;nbsp;listinnej a&amp;nbsp;elektronickej podobe účtovného záznamu. Nanovo sa ustanovujú možné spôsoby transformácie účtovného záznamu &amp;nbsp;pri zmene podoby účtovného záznamu. Umožňuje sa nahradiť vlastnoručný podpis akýmkoľvek elektronickým podpisom, ktorý umožní preukázateľnú identifikáciu osoby.&lt;/p&gt;&lt;p&gt;Ustanovuje sa najnižšia výška pokuty, pokuta voči osobe, ktorá prevezme plnenie povinností po zániku účtovnej jednotky a&amp;nbsp;výška pokuty, ktorú z&amp;nbsp;rôznych dôvodov nie je možné odvodiť z celkovej sumy majetku, sa ustanovuje v&amp;nbsp;absolútnej výške.&amp;nbsp;&lt;/p&gt;&lt;p&gt;Predkladaný návrh zákona je v&amp;nbsp;súlade s&amp;nbsp;Ústavou Slovenskej republiky, ústavnými zákonmi, nálezmi Ústavného súdu Slovenskej republiky a&amp;nbsp;inými právnymi predpismi, medzinárodnými zmluvami a&amp;nbsp;dokumentmi, ktorými je Slovenská republika viazaná, ako aj v&amp;nbsp;súlade s&amp;nbsp;právom Európskej únie.&lt;/p&gt;&lt;p&gt;Návrh zákona nie je predmetom vnútrokomunitárneho pripomienkového konania.&lt;/p&gt;&lt;p&gt;Navrhuje sa účinnosť zákona 1. januára 2022 tak, aby jednotlivé zmeny v&amp;nbsp;zákone boli účinné od začiatku nového účtovného obdobia.&lt;/p&gt;</vt:lpwstr>
  </property>
  <property name="FSC#SKEDITIONSLOVLEX@103.510:vytvorenedna" pid="150" fmtid="{D5CDD505-2E9C-101B-9397-08002B2CF9AE}">
    <vt:lpwstr>27. 7. 2021</vt:lpwstr>
  </property>
  <property name="FSC#COOSYSTEM@1.1:Container" pid="151" fmtid="{D5CDD505-2E9C-101B-9397-08002B2CF9AE}">
    <vt:lpwstr>COO.2145.1000.3.4478166</vt:lpwstr>
  </property>
  <property name="FSC#FSCFOLIO@1.1001:docpropproject" pid="152" fmtid="{D5CDD505-2E9C-101B-9397-08002B2CF9AE}">
    <vt:lpwstr/>
  </property>
</Properties>
</file>