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48450B" w:rsidRDefault="0048450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48450B">
        <w:trPr>
          <w:divId w:val="859928485"/>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1.  Základné údaje</w:t>
            </w:r>
          </w:p>
        </w:tc>
      </w:tr>
      <w:tr w:rsidR="0048450B">
        <w:trPr>
          <w:divId w:val="85992848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Názov materiálu</w:t>
            </w:r>
          </w:p>
        </w:tc>
      </w:tr>
      <w:tr w:rsidR="0048450B">
        <w:trPr>
          <w:divId w:val="85992848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r>
              <w:rPr>
                <w:rFonts w:ascii="Times" w:hAnsi="Times" w:cs="Times"/>
                <w:sz w:val="20"/>
                <w:szCs w:val="20"/>
              </w:rPr>
              <w:t>Nariadenie vlády Slovenskej republiky, ktorým sa vyhlasuje chránený areál Horný tok Výravy</w:t>
            </w:r>
          </w:p>
        </w:tc>
      </w:tr>
      <w:tr w:rsidR="0048450B">
        <w:trPr>
          <w:divId w:val="85992848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Predkladateľ (a spolupredkladateľ)</w:t>
            </w:r>
          </w:p>
        </w:tc>
      </w:tr>
      <w:tr w:rsidR="0048450B">
        <w:trPr>
          <w:divId w:val="85992848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r>
              <w:rPr>
                <w:rFonts w:ascii="Times" w:hAnsi="Times" w:cs="Times"/>
                <w:sz w:val="20"/>
                <w:szCs w:val="20"/>
              </w:rPr>
              <w:t>Ministerstvo životného prostredia Slovenskej republiky</w:t>
            </w:r>
          </w:p>
        </w:tc>
      </w:tr>
      <w:tr w:rsidR="0048450B">
        <w:trPr>
          <w:divId w:val="859928485"/>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8450B">
        <w:trPr>
          <w:divId w:val="859928485"/>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8450B">
        <w:trPr>
          <w:divId w:val="859928485"/>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48450B">
        <w:trPr>
          <w:divId w:val="859928485"/>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p>
        </w:tc>
      </w:tr>
      <w:tr w:rsidR="0048450B">
        <w:trPr>
          <w:divId w:val="85992848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r>
              <w:rPr>
                <w:rFonts w:ascii="Times" w:hAnsi="Times" w:cs="Times"/>
                <w:sz w:val="20"/>
                <w:szCs w:val="20"/>
              </w:rPr>
              <w:t>Začiatok:    15.</w:t>
            </w:r>
            <w:r w:rsidR="00633514">
              <w:rPr>
                <w:rFonts w:ascii="Times" w:hAnsi="Times" w:cs="Times"/>
                <w:sz w:val="20"/>
                <w:szCs w:val="20"/>
              </w:rPr>
              <w:t>0</w:t>
            </w:r>
            <w:r>
              <w:rPr>
                <w:rFonts w:ascii="Times" w:hAnsi="Times" w:cs="Times"/>
                <w:sz w:val="20"/>
                <w:szCs w:val="20"/>
              </w:rPr>
              <w:t>4.2021</w:t>
            </w:r>
            <w:r>
              <w:rPr>
                <w:rFonts w:ascii="Times" w:hAnsi="Times" w:cs="Times"/>
                <w:sz w:val="20"/>
                <w:szCs w:val="20"/>
              </w:rPr>
              <w:br/>
              <w:t>Ukončenie: 29.</w:t>
            </w:r>
            <w:r w:rsidR="00633514">
              <w:rPr>
                <w:rFonts w:ascii="Times" w:hAnsi="Times" w:cs="Times"/>
                <w:sz w:val="20"/>
                <w:szCs w:val="20"/>
              </w:rPr>
              <w:t>0</w:t>
            </w:r>
            <w:r>
              <w:rPr>
                <w:rFonts w:ascii="Times" w:hAnsi="Times" w:cs="Times"/>
                <w:sz w:val="20"/>
                <w:szCs w:val="20"/>
              </w:rPr>
              <w:t>4.2021</w:t>
            </w:r>
          </w:p>
        </w:tc>
      </w:tr>
      <w:tr w:rsidR="0048450B">
        <w:trPr>
          <w:divId w:val="85992848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8450B" w:rsidRDefault="00633514">
            <w:pPr>
              <w:rPr>
                <w:rFonts w:ascii="Times" w:hAnsi="Times" w:cs="Times"/>
                <w:sz w:val="20"/>
                <w:szCs w:val="20"/>
              </w:rPr>
            </w:pPr>
            <w:r>
              <w:rPr>
                <w:rFonts w:ascii="Times" w:hAnsi="Times" w:cs="Times"/>
                <w:sz w:val="20"/>
                <w:szCs w:val="20"/>
              </w:rPr>
              <w:t>Začiatok:    19.05.2021</w:t>
            </w:r>
            <w:r>
              <w:rPr>
                <w:rFonts w:ascii="Times" w:hAnsi="Times" w:cs="Times"/>
                <w:sz w:val="20"/>
                <w:szCs w:val="20"/>
              </w:rPr>
              <w:br/>
              <w:t>Ukončenie: 08.06.2021</w:t>
            </w:r>
          </w:p>
        </w:tc>
      </w:tr>
      <w:tr w:rsidR="0048450B">
        <w:trPr>
          <w:divId w:val="859928485"/>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r>
              <w:rPr>
                <w:rFonts w:ascii="Times" w:hAnsi="Times" w:cs="Times"/>
                <w:sz w:val="20"/>
                <w:szCs w:val="20"/>
              </w:rPr>
              <w:t>jún 2021</w:t>
            </w:r>
          </w:p>
        </w:tc>
      </w:tr>
    </w:tbl>
    <w:p w:rsidR="00325440" w:rsidRDefault="00325440" w:rsidP="00C579E9">
      <w:pPr>
        <w:pStyle w:val="Normlnywebov"/>
        <w:spacing w:before="0" w:beforeAutospacing="0" w:after="0" w:afterAutospacing="0"/>
        <w:rPr>
          <w:bCs/>
          <w:sz w:val="22"/>
          <w:szCs w:val="22"/>
        </w:rPr>
      </w:pPr>
    </w:p>
    <w:p w:rsidR="0048450B" w:rsidRDefault="0048450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2.  Definícia problému</w:t>
            </w:r>
          </w:p>
        </w:tc>
      </w:tr>
      <w:tr w:rsidR="0048450B">
        <w:trPr>
          <w:divId w:val="11161023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Nedostatočné plnenie záväzkov Slovenskej republiky vyplývajúcich z čl. 4 ods. 4 smernice Rady 92/43/EHS z 21. mája 1992 o ochrane prirodzených biotopov a voľne žijúcich živočíchov a rastlín (Ú. v. ES L 206, 22.7.1992; Mimoriadne vydanie Ú. v. EÚ, kap. 15/zv. 2) v platnom znení (ďalej len „smernica 92/43/EHS v platnom znení“) pokiaľ ide o vyhlasovanie lokalít zapísaných v zozname lokalít európskeho významu. Dôvodom vyhlásenia navrhovaného chráneného areálu (CHA) Horný tok Výravy je aj formálne oznámenie Európskej komisie v rámci konania o porušení zmlúv č. 2019/2141, ktoré sa týka nedostatočného vyhlasovania lokalít európskeho významu a stanovenia cieľov ochrany a opatrení na ich dosiahnutie (napr. v rámci programov starostlivosti).</w:t>
            </w: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3.  Ciele a výsledný stav</w:t>
            </w:r>
          </w:p>
        </w:tc>
      </w:tr>
      <w:tr w:rsidR="0048450B">
        <w:trPr>
          <w:divId w:val="11161023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 xml:space="preserve">Zabezpečenie priaznivého stavu biotopu európskeho významu a biotopov druhov živočíchov európskeho významu, ktoré sú predmetom ochrany navrhovaného CHA Horný tok Výravy a zároveň zabezpečenie plnenia medzinárodných záväzkov ochrany európskej sústavy chránených území Natura 2000. </w:t>
            </w: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rsidP="00633514">
            <w:pPr>
              <w:jc w:val="both"/>
              <w:rPr>
                <w:rFonts w:ascii="Times" w:hAnsi="Times" w:cs="Times"/>
                <w:b/>
                <w:bCs/>
                <w:sz w:val="22"/>
                <w:szCs w:val="22"/>
              </w:rPr>
            </w:pPr>
            <w:r>
              <w:rPr>
                <w:rFonts w:ascii="Times" w:hAnsi="Times" w:cs="Times"/>
                <w:b/>
                <w:bCs/>
                <w:sz w:val="22"/>
                <w:szCs w:val="22"/>
              </w:rPr>
              <w:t>  4.  Dotknuté subjekty</w:t>
            </w:r>
          </w:p>
        </w:tc>
      </w:tr>
      <w:tr w:rsidR="0048450B">
        <w:trPr>
          <w:divId w:val="11161023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Vlastníci a správcovia dotknutých pozemkov, obce, záujmové združenia, dotknuté orgány štátnej správy, vrátane dotknutých organizácií v ich zriaďovacej pôsobnosti, verejnosť.</w:t>
            </w: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5.  Alternatívne riešenia</w:t>
            </w:r>
          </w:p>
        </w:tc>
      </w:tr>
      <w:tr w:rsidR="0048450B">
        <w:trPr>
          <w:divId w:val="11161023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Alternatívne riešenie sa týka celkovo vyhlásenia/nevyhlásenia CHA Horný tok Výravy.</w:t>
            </w:r>
            <w:r w:rsidR="00633514">
              <w:rPr>
                <w:rFonts w:ascii="Times" w:hAnsi="Times" w:cs="Times"/>
                <w:sz w:val="20"/>
                <w:szCs w:val="20"/>
              </w:rPr>
              <w:t xml:space="preserve"> </w:t>
            </w:r>
            <w:r>
              <w:rPr>
                <w:rFonts w:ascii="Times" w:hAnsi="Times" w:cs="Times"/>
                <w:sz w:val="20"/>
                <w:szCs w:val="20"/>
              </w:rPr>
              <w:t>Dôvodom vyhlásenia CHA Horný tok Výravy je splnenie požiadavky vyplývajúcej z čl. 4 ods. 4 smernice 92/43/EHS v platnom znení, podľa ktorého členské štáty určia lokality uvedené v národnom zozname lokalít európskeho významu ako osobitné chránené územia a stanovia priority v oblasti ochrany a potrebné opatrenia, najneskôr do šiestich rokov. V prípade nevyhlásenia CHA Horný tok Výravy nebude splnená požiadavka na vyhlásenie a na stanovenie cieľov ochrany a opatrení na ich dosiahnutie.</w:t>
            </w: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6.  Vykonávacie predpisy</w:t>
            </w:r>
          </w:p>
        </w:tc>
      </w:tr>
      <w:tr w:rsidR="0048450B" w:rsidTr="00633514">
        <w:trPr>
          <w:divId w:val="1116102375"/>
          <w:trHeight w:val="265"/>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xml:space="preserve">  7.  Transpozícia práva EÚ </w:t>
            </w:r>
          </w:p>
        </w:tc>
      </w:tr>
      <w:tr w:rsidR="0048450B" w:rsidTr="00633514">
        <w:trPr>
          <w:divId w:val="1116102375"/>
          <w:trHeight w:val="259"/>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b/>
                <w:bCs/>
                <w:sz w:val="22"/>
                <w:szCs w:val="22"/>
              </w:rPr>
            </w:pPr>
          </w:p>
        </w:tc>
      </w:tr>
      <w:tr w:rsidR="0048450B">
        <w:trPr>
          <w:divId w:val="11161023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8.  Preskúmanie účelnosti**</w:t>
            </w:r>
          </w:p>
        </w:tc>
      </w:tr>
      <w:tr w:rsidR="0048450B" w:rsidTr="00633514">
        <w:trPr>
          <w:divId w:val="1116102375"/>
          <w:trHeight w:val="281"/>
          <w:jc w:val="center"/>
        </w:trPr>
        <w:tc>
          <w:tcPr>
            <w:tcW w:w="250" w:type="pct"/>
            <w:tcBorders>
              <w:top w:val="outset" w:sz="6" w:space="0" w:color="000000"/>
              <w:left w:val="outset" w:sz="6" w:space="0" w:color="000000"/>
              <w:bottom w:val="outset" w:sz="6" w:space="0" w:color="000000"/>
              <w:right w:val="outset" w:sz="6" w:space="0" w:color="000000"/>
            </w:tcBorders>
            <w:hideMark/>
          </w:tcPr>
          <w:p w:rsidR="0048450B" w:rsidRDefault="0048450B">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lastRenderedPageBreak/>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48450B" w:rsidRDefault="0048450B"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48450B">
        <w:trPr>
          <w:divId w:val="159851352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0"/>
                <w:szCs w:val="20"/>
              </w:rPr>
            </w:pPr>
            <w:r>
              <w:rPr>
                <w:rFonts w:ascii="Times" w:hAnsi="Times" w:cs="Times"/>
                <w:b/>
                <w:bCs/>
                <w:sz w:val="20"/>
                <w:szCs w:val="20"/>
              </w:rPr>
              <w:t>  9.   Vplyvy navrhovaného materiálu</w:t>
            </w:r>
          </w:p>
        </w:tc>
      </w:tr>
      <w:tr w:rsidR="0048450B">
        <w:trPr>
          <w:divId w:val="159851352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48450B">
        <w:trPr>
          <w:divId w:val="159851352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48450B">
        <w:trPr>
          <w:divId w:val="159851352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8450B">
        <w:trPr>
          <w:divId w:val="159851352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8450B" w:rsidRDefault="0048450B">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8450B" w:rsidRDefault="0048450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48450B" w:rsidRDefault="0048450B" w:rsidP="00543B8E">
      <w:pPr>
        <w:pStyle w:val="Normlnywebov"/>
        <w:spacing w:before="0" w:beforeAutospacing="0" w:after="0" w:afterAutospacing="0"/>
        <w:rPr>
          <w:bCs/>
          <w:sz w:val="22"/>
          <w:szCs w:val="22"/>
        </w:rPr>
      </w:pPr>
    </w:p>
    <w:tbl>
      <w:tblPr>
        <w:tblW w:w="508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206"/>
      </w:tblGrid>
      <w:tr w:rsidR="0048450B" w:rsidTr="00633514">
        <w:trPr>
          <w:divId w:val="54710974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pPr>
              <w:rPr>
                <w:rFonts w:ascii="Times" w:hAnsi="Times" w:cs="Times"/>
                <w:b/>
                <w:bCs/>
                <w:sz w:val="22"/>
                <w:szCs w:val="22"/>
              </w:rPr>
            </w:pPr>
            <w:r>
              <w:rPr>
                <w:rFonts w:ascii="Times" w:hAnsi="Times" w:cs="Times"/>
                <w:b/>
                <w:bCs/>
                <w:sz w:val="22"/>
                <w:szCs w:val="22"/>
              </w:rPr>
              <w:t>  10.  Poznámky</w:t>
            </w:r>
          </w:p>
        </w:tc>
      </w:tr>
      <w:tr w:rsidR="0048450B" w:rsidTr="00633514">
        <w:trPr>
          <w:divId w:val="547109745"/>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CHA Horný tok Výravy je vymedzený na vodnom toku Výrava v úseku od 13,70 riečneho kilometra (rkm) po 18,00 rkm. Je vymedzený príslušnými parcelami vodného toku Výrava, ako aj časťami susedných parciel, do ktorých zasahuje meandrujúce koryto toku. Prevažnú časť CHA Horný tok Výravy (96,22 %) tvoria vodné plochy vo vlastníctve Slovenskej republiky a v správe štátneho podniku Slovenský vodohospodársky podnik. Dotknutý je subjekt Správa a údržba ciest Prešovského samosprávneho kraja, ktorá spravuje cestu II. triedy, ktorá prechádza v blízkosti CHA Horný tok Výravy a cestu III. triedy, ktorá dvakrát križuje CHA Horný tok Výravy. Do CHA Horný tok Výravy zasahujú ochranné pásma uvedených ciest. Činnosti vyplývajúce pre tieto subjekty z príslušnej legislatívy [zákon č. 364/2004 Z. z. o vodách a o zmene zákona č. 372/1990 Zb. o priestupkoch v znení neskorších predpisov (vodný zákon); zákon č. 135/1961 Zb. o pozemných komunikáciách (cestný zákon) v znení neskorších predpisov] môže orgán ochrany prírody obmedziť výlučne za účelom zachovania stavu predmetov ochrany CHA Horný tok Výravy, pričom predpokladané je možné obmedzenie rozsahu alebo lokalizácie činností. Toto neplatí pri povodňových stavoch, kedy je ochrana majetku a životov nadradená iným záujmom, ak pôjde o bezprostredné odvrátenie následkov povodní. Nie sú predpokladané dodatočné náklady na hospodárenie štátnych podnikov.</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Pozemky v súkromnom vlastníctve, resp. vo vlastníctve urbárskej spoločnosti a nevysporiadané pozemky (spolu približne 3,78 %) sú tvorené prevažne trvalými trávnymi porastmi a okrajom lesného porastu. Vyhlásením CHA Horný tok Výravy nedôjde na týchto pozemkoch k obmedzeniu bežného obhospodarovania.</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Súčasťou brehovej vegetácie sú aj invázne druhy rastlín a nepôvodné invázne druhy rastlín, ktorých odstraňovanie zabezpečuje vlastník alebo správca pozemkov v zmysle § 3 zákona č. 150/2019 Z. z. o prevencii a manažmente introdukcie a šírenia inváznych nepôvodných druhov a o zmene a doplnení niektorých zákonov, a to bez ohľadu na stupeň ochrany územia.</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Štátna ochrana prírody Slovenskej republiky (ŠOP SR) a jej organizačná zložka Správa Chránenej krajinnej oblasti (CHKO) Východné Karpaty bude zodpovedná za vykonanie opatrení v oblasti monitoringu a komunikácie s verejnosťou, ktoré budú zamestnanci ŠOP SR vykonávať v rámci pracovnej náplne.</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CHA Horný tok Výravy bude po jeho vyhlásení zapísaný v katastri nehnuteľností (§ 51 ods. 5 zákona), v Štátnom zozname osobitne chránených častí prírody a krajiny (§ 51 ods. 4 zákona) a pre potreby praxe budú na Okresnom úrade Medzilaborce uložené grafické podklady, v ktorých je zakreslená hranica CHA Horný tok Výravy.</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 xml:space="preserve">Vyhlásením CHA Horný tok Výravy nevzniknú nové pracovné miesta a ani nedôjde k zániku pracovných miest. Vyhlásenie CHA Horný tok Výravy nebude mať vplyv na fungovanie trhu práce, na špecifické vekové skupiny zamestnancov, ani nebude mať špecifické negatívne dôsledky pre isté skupiny profesií, skupín zamestnancov či živnostníkov a nevzniknú sociálne vplyvy. Vyhlásenie CHA Horný tok Výravy aj v kontexte ďalších vyhlásených chránených území  môže prispieť k vzniku požiadavky na nové služby v regióne, napr. na sprievodcovskú činnosť </w:t>
            </w:r>
            <w:r w:rsidRPr="004A0C21">
              <w:rPr>
                <w:rFonts w:ascii="Times" w:hAnsi="Times" w:cs="Times"/>
                <w:sz w:val="20"/>
                <w:szCs w:val="20"/>
              </w:rPr>
              <w:lastRenderedPageBreak/>
              <w:t>prípadne vytvorenie sezónnych pracovných miest zabezpečujúcich manažment územia, ktoré nateraz nie je možné špecifikovať.</w:t>
            </w:r>
          </w:p>
          <w:p w:rsidR="0048450B" w:rsidRDefault="0048450B" w:rsidP="00633514">
            <w:pPr>
              <w:jc w:val="both"/>
              <w:rPr>
                <w:rFonts w:ascii="Times" w:hAnsi="Times" w:cs="Times"/>
                <w:sz w:val="20"/>
                <w:szCs w:val="20"/>
              </w:rPr>
            </w:pPr>
            <w:r>
              <w:rPr>
                <w:rFonts w:ascii="Times" w:hAnsi="Times" w:cs="Times"/>
                <w:sz w:val="20"/>
                <w:szCs w:val="20"/>
              </w:rPr>
              <w:t>Na základe  uvedených skutočností Ministerstvo životného prostredia Slovenskej republiky (MŽP SR) vyhodnotilo, že vyhlásenie CHA Horný tok Výravy nebude mať vplyv na podnikateľské prostredie.</w:t>
            </w:r>
          </w:p>
        </w:tc>
      </w:tr>
      <w:tr w:rsidR="0048450B" w:rsidTr="00633514">
        <w:trPr>
          <w:divId w:val="54710974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rsidP="00633514">
            <w:pPr>
              <w:jc w:val="both"/>
              <w:rPr>
                <w:rFonts w:ascii="Times" w:hAnsi="Times" w:cs="Times"/>
                <w:b/>
                <w:bCs/>
                <w:sz w:val="22"/>
                <w:szCs w:val="22"/>
              </w:rPr>
            </w:pPr>
            <w:r>
              <w:rPr>
                <w:rFonts w:ascii="Times" w:hAnsi="Times" w:cs="Times"/>
                <w:b/>
                <w:bCs/>
                <w:sz w:val="22"/>
                <w:szCs w:val="22"/>
              </w:rPr>
              <w:lastRenderedPageBreak/>
              <w:t>  11.  Kontakt na spracovateľa</w:t>
            </w:r>
          </w:p>
        </w:tc>
      </w:tr>
      <w:tr w:rsidR="0048450B" w:rsidTr="00633514">
        <w:trPr>
          <w:divId w:val="547109745"/>
          <w:trHeight w:val="509"/>
          <w:jc w:val="center"/>
        </w:trPr>
        <w:tc>
          <w:tcPr>
            <w:tcW w:w="500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Ing. Janka Guzmová, sekcia ochrany prírody, biodiverzity a odpadového hospodárstva MŽP SR (janka.guzmova@enviro.gov.sk). </w:t>
            </w:r>
          </w:p>
        </w:tc>
      </w:tr>
      <w:tr w:rsidR="0048450B" w:rsidTr="00633514">
        <w:trPr>
          <w:divId w:val="54710974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rsidP="00633514">
            <w:pPr>
              <w:jc w:val="both"/>
              <w:rPr>
                <w:rFonts w:ascii="Times" w:hAnsi="Times" w:cs="Times"/>
                <w:b/>
                <w:bCs/>
                <w:sz w:val="22"/>
                <w:szCs w:val="22"/>
              </w:rPr>
            </w:pPr>
            <w:r>
              <w:rPr>
                <w:rFonts w:ascii="Times" w:hAnsi="Times" w:cs="Times"/>
                <w:b/>
                <w:bCs/>
                <w:sz w:val="22"/>
                <w:szCs w:val="22"/>
              </w:rPr>
              <w:t>  12.  Zdroje</w:t>
            </w:r>
          </w:p>
        </w:tc>
      </w:tr>
      <w:tr w:rsidR="0048450B" w:rsidTr="00633514">
        <w:trPr>
          <w:divId w:val="547109745"/>
          <w:trHeight w:val="293"/>
          <w:jc w:val="center"/>
        </w:trPr>
        <w:tc>
          <w:tcPr>
            <w:tcW w:w="5000" w:type="pct"/>
            <w:tcBorders>
              <w:top w:val="outset" w:sz="6" w:space="0" w:color="000000"/>
              <w:left w:val="outset" w:sz="6" w:space="0" w:color="000000"/>
              <w:bottom w:val="outset" w:sz="6" w:space="0" w:color="000000"/>
              <w:right w:val="outset" w:sz="6" w:space="0" w:color="000000"/>
            </w:tcBorders>
            <w:hideMark/>
          </w:tcPr>
          <w:p w:rsidR="0048450B" w:rsidRDefault="0048450B" w:rsidP="00633514">
            <w:pPr>
              <w:jc w:val="both"/>
              <w:rPr>
                <w:rFonts w:ascii="Times" w:hAnsi="Times" w:cs="Times"/>
                <w:sz w:val="20"/>
                <w:szCs w:val="20"/>
              </w:rPr>
            </w:pPr>
            <w:r>
              <w:rPr>
                <w:rFonts w:ascii="Times" w:hAnsi="Times" w:cs="Times"/>
                <w:sz w:val="20"/>
                <w:szCs w:val="20"/>
              </w:rPr>
              <w:t>Doložka vplyvov bola vypracovaná v spolupráci so ŠOP SR (marta.mutnanova@sopsr.sk). </w:t>
            </w:r>
          </w:p>
        </w:tc>
      </w:tr>
      <w:tr w:rsidR="0048450B" w:rsidTr="00633514">
        <w:trPr>
          <w:divId w:val="54710974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8450B" w:rsidRDefault="0048450B" w:rsidP="00633514">
            <w:pPr>
              <w:jc w:val="both"/>
              <w:rPr>
                <w:rFonts w:ascii="Times" w:hAnsi="Times" w:cs="Times"/>
                <w:b/>
                <w:bCs/>
                <w:sz w:val="22"/>
                <w:szCs w:val="22"/>
              </w:rPr>
            </w:pPr>
            <w:r>
              <w:rPr>
                <w:rFonts w:ascii="Times" w:hAnsi="Times" w:cs="Times"/>
                <w:b/>
                <w:bCs/>
                <w:sz w:val="22"/>
                <w:szCs w:val="22"/>
              </w:rPr>
              <w:t>  13.  Stanovisko Komisie pre posudzovanie vybraných vplyvov z PPK</w:t>
            </w:r>
          </w:p>
        </w:tc>
      </w:tr>
      <w:tr w:rsidR="0048450B" w:rsidTr="00633514">
        <w:trPr>
          <w:divId w:val="547109745"/>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Stála pracovná komisia na posudzovanie vybraných vplyvov v stanovisku č. 0556/2021 z 29.04.2021 uplatnila k materiálu tieto pripomienky a odporúčania:</w:t>
            </w:r>
          </w:p>
          <w:p w:rsidR="0048450B" w:rsidRPr="004A0C21" w:rsidRDefault="0048450B" w:rsidP="00633514">
            <w:pPr>
              <w:pStyle w:val="Normlnywebov"/>
              <w:spacing w:before="0" w:beforeAutospacing="0" w:after="0" w:afterAutospacing="0"/>
              <w:jc w:val="both"/>
              <w:rPr>
                <w:rFonts w:ascii="Times" w:hAnsi="Times" w:cs="Times"/>
                <w:sz w:val="20"/>
                <w:szCs w:val="20"/>
              </w:rPr>
            </w:pPr>
            <w:r w:rsidRPr="004A0C21">
              <w:rPr>
                <w:rStyle w:val="Siln"/>
                <w:rFonts w:ascii="Times" w:hAnsi="Times" w:cs="Times"/>
                <w:sz w:val="20"/>
                <w:szCs w:val="20"/>
              </w:rPr>
              <w:t>K doložke vybraných vplyvov</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Nakoľko majiteľmi dotknutých pozemkov chráneného areálu Horný tok Výravy sú aj fyzické osoby, Komisia odporúča bližšie konkretizovať, či z dôvodu prijatia materiálu dôjde k obmedzeniu obhospodarovania na ich pozemkoch a aká forma kompenzácie im bude za toto obmedzenie ponúknutá. Danú skutočnosť je potrebné identifikovať ako v doložke vybraných vplyvov, tak aj v separátnej analýze sociálnych vplyvov. Ak predkladateľ má zato, že prijatím materiálu nedôjde k žiadnym obmedzeniam v bežnom obhospodarovaní pozemkov súkromných vlastníkov a že sociálne vplyvy nevznikajú, potom Komisia odporúča predmetný stav deklarovať v bode 10. Poznámky doložky vybraných vplyvov.</w:t>
            </w:r>
          </w:p>
          <w:p w:rsidR="0048450B" w:rsidRPr="004A0C21" w:rsidRDefault="0048450B" w:rsidP="00633514">
            <w:pPr>
              <w:pStyle w:val="Normlnywebov"/>
              <w:spacing w:before="0" w:beforeAutospacing="0" w:after="120" w:afterAutospacing="0"/>
              <w:jc w:val="both"/>
              <w:rPr>
                <w:rFonts w:ascii="Times" w:hAnsi="Times" w:cs="Times"/>
                <w:sz w:val="20"/>
                <w:szCs w:val="20"/>
              </w:rPr>
            </w:pPr>
            <w:r w:rsidRPr="004A0C21">
              <w:rPr>
                <w:rFonts w:ascii="Times" w:hAnsi="Times" w:cs="Times"/>
                <w:sz w:val="20"/>
                <w:szCs w:val="20"/>
              </w:rPr>
              <w:t xml:space="preserve">Stála pracovná komisia na posudzovanie vybraných vplyvov vyjadruje </w:t>
            </w:r>
            <w:r w:rsidRPr="004A0C21">
              <w:rPr>
                <w:rStyle w:val="Siln"/>
                <w:rFonts w:ascii="Times" w:hAnsi="Times" w:cs="Times"/>
                <w:sz w:val="20"/>
                <w:szCs w:val="20"/>
              </w:rPr>
              <w:t>súhlasné stanovisko</w:t>
            </w:r>
            <w:r w:rsidRPr="004A0C21">
              <w:rPr>
                <w:rFonts w:ascii="Times" w:hAnsi="Times" w:cs="Times"/>
                <w:sz w:val="20"/>
                <w:szCs w:val="20"/>
              </w:rPr>
              <w:t xml:space="preserve"> s materiálom predloženým na predbežné pripomienkové konanie.</w:t>
            </w:r>
          </w:p>
          <w:p w:rsidR="0048450B" w:rsidRPr="004A0C21" w:rsidRDefault="0048450B" w:rsidP="00633514">
            <w:pPr>
              <w:pStyle w:val="Normlnywebov"/>
              <w:spacing w:before="0" w:beforeAutospacing="0" w:after="0" w:afterAutospacing="0"/>
              <w:jc w:val="both"/>
              <w:rPr>
                <w:rFonts w:ascii="Times" w:hAnsi="Times" w:cs="Times"/>
                <w:sz w:val="20"/>
                <w:szCs w:val="20"/>
              </w:rPr>
            </w:pPr>
            <w:r w:rsidRPr="004A0C21">
              <w:rPr>
                <w:rStyle w:val="Siln"/>
                <w:rFonts w:ascii="Times" w:hAnsi="Times" w:cs="Times"/>
                <w:sz w:val="20"/>
                <w:szCs w:val="20"/>
              </w:rPr>
              <w:t>Stanovisko MŽP SR</w:t>
            </w:r>
          </w:p>
          <w:p w:rsidR="0048450B" w:rsidRDefault="0048450B" w:rsidP="00633514">
            <w:pPr>
              <w:jc w:val="both"/>
              <w:rPr>
                <w:rFonts w:ascii="Times" w:hAnsi="Times" w:cs="Times"/>
                <w:sz w:val="20"/>
                <w:szCs w:val="20"/>
              </w:rPr>
            </w:pPr>
            <w:r>
              <w:rPr>
                <w:rFonts w:ascii="Times" w:hAnsi="Times" w:cs="Times"/>
                <w:sz w:val="20"/>
                <w:szCs w:val="20"/>
              </w:rPr>
              <w:t>MŽP SR akceptovalo pripomienku  a v bode 10. Poznámky Doložky vybraných vplyvov uviedlo informáciu, že vyhlásením CHA Horný tok Výravy nedôjde k obmedzeniu bežného obhospodarovania súkromných vlastníkov pozemkov a ani k vzniku sociálnych vplyvov.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CD9" w:rsidRDefault="007D1CD9">
      <w:r>
        <w:separator/>
      </w:r>
    </w:p>
  </w:endnote>
  <w:endnote w:type="continuationSeparator" w:id="0">
    <w:p w:rsidR="007D1CD9" w:rsidRDefault="007D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CD9" w:rsidRDefault="007D1CD9">
      <w:r>
        <w:separator/>
      </w:r>
    </w:p>
  </w:footnote>
  <w:footnote w:type="continuationSeparator" w:id="0">
    <w:p w:rsidR="007D1CD9" w:rsidRDefault="007D1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3F34"/>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50B"/>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3514"/>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1CD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5573"/>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94DE3224-50F9-4878-AE61-B586477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Siln">
    <w:name w:val="Strong"/>
    <w:uiPriority w:val="22"/>
    <w:qFormat/>
    <w:rsid w:val="00484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9745">
      <w:bodyDiv w:val="1"/>
      <w:marLeft w:val="0"/>
      <w:marRight w:val="0"/>
      <w:marTop w:val="0"/>
      <w:marBottom w:val="0"/>
      <w:divBdr>
        <w:top w:val="none" w:sz="0" w:space="0" w:color="auto"/>
        <w:left w:val="none" w:sz="0" w:space="0" w:color="auto"/>
        <w:bottom w:val="none" w:sz="0" w:space="0" w:color="auto"/>
        <w:right w:val="none" w:sz="0" w:space="0" w:color="auto"/>
      </w:divBdr>
    </w:div>
    <w:div w:id="859928485">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16102375">
      <w:bodyDiv w:val="1"/>
      <w:marLeft w:val="0"/>
      <w:marRight w:val="0"/>
      <w:marTop w:val="0"/>
      <w:marBottom w:val="0"/>
      <w:divBdr>
        <w:top w:val="none" w:sz="0" w:space="0" w:color="auto"/>
        <w:left w:val="none" w:sz="0" w:space="0" w:color="auto"/>
        <w:bottom w:val="none" w:sz="0" w:space="0" w:color="auto"/>
        <w:right w:val="none" w:sz="0" w:space="0" w:color="auto"/>
      </w:divBdr>
    </w:div>
    <w:div w:id="1598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9.5.2021 13:21:19"/>
    <f:field ref="objchangedby" par="" text="Administrator, System"/>
    <f:field ref="objmodifiedat" par="" text="19.5.2021 13:21:23"/>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Kaiserová Dominika</cp:lastModifiedBy>
  <cp:revision>2</cp:revision>
  <dcterms:created xsi:type="dcterms:W3CDTF">2021-06-23T08:20:00Z</dcterms:created>
  <dcterms:modified xsi:type="dcterms:W3CDTF">2021-06-23T08:20:00Z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právo_x000d_
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Dominika Kaiserová</vt:lpwstr>
  </property>
  <property fmtid="{D5CDD505-2E9C-101B-9397-08002B2CF9AE}" pid="9" name="FSC#SKEDITIONSLOVLEX@103.510:zodppredkladatel">
    <vt:lpwstr>Ján Budaj</vt:lpwstr>
  </property>
  <property fmtid="{D5CDD505-2E9C-101B-9397-08002B2CF9AE}" pid="10" name="FSC#SKEDITIONSLOVLEX@103.510:nazovpredpis">
    <vt:lpwstr>, ktorým sa vyhlasuje chránený areál Horný tok Výravy</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Článok 4 ods. 4 smernice Rady 92/43/EHS z 21. mája 1992 o ochrane prirodzených biotopov a voľne žijúcich živočíchov a rastlín_x000d_
</vt:lpwstr>
  </property>
  <property fmtid="{D5CDD505-2E9C-101B-9397-08002B2CF9AE}" pid="16" name="FSC#SKEDITIONSLOVLEX@103.510:plnynazovpredpis">
    <vt:lpwstr> Nariadenie vlády  Slovenskej republiky, ktorým sa vyhlasuje chránený areál Horný tok Výravy</vt:lpwstr>
  </property>
  <property fmtid="{D5CDD505-2E9C-101B-9397-08002B2CF9AE}" pid="17" name="FSC#SKEDITIONSLOVLEX@103.510:rezortcislopredpis">
    <vt:lpwstr>9056/2021-1.7</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LP/2021/252</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15. 4. 2021</vt:lpwstr>
  </property>
  <property fmtid="{D5CDD505-2E9C-101B-9397-08002B2CF9AE}" pid="49" name="FSC#SKEDITIONSLOVLEX@103.510:AttrDateDocPropUkonceniePKK">
    <vt:lpwstr>29. 4. 2021</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&lt;p&gt;CHA Horný tok Výravy je vymedzený na vodnom toku Výrava v úseku od 13,70 riečneho kilometra (rkm) po 18,00 rkm. Je vymedzený príslušnými parcelami vodného toku Výrava, ako aj časťami susedných parciel, do ktorých zasahuje meandrujúce koryto toku. Preva</vt:lpwstr>
  </property>
  <property fmtid="{D5CDD505-2E9C-101B-9397-08002B2CF9AE}" pid="56" name="FSC#SKEDITIONSLOVLEX@103.510:AttrStrListDocPropAltRiesenia">
    <vt:lpwstr>Alternatívne riešenie sa týka celkovo vyhlásenia/nevyhlásenia CHA Horný tok Výravy.Dôvodom vyhlásenia CHA Horný tok Výravy je splnenie požiadavky vyplývajúcej z čl. 4 ods. 4 smernice 92/43/EHS v platnom znení, podľa ktorého členské štáty určia lokality uv</vt:lpwstr>
  </property>
  <property fmtid="{D5CDD505-2E9C-101B-9397-08002B2CF9AE}" pid="57" name="FSC#SKEDITIONSLOVLEX@103.510:AttrStrListDocPropStanoviskoGest">
    <vt:lpwstr>&lt;p&gt;Stála pracovná komisia na posudzovanie vybraných vplyvov v&amp;nbsp;stanovisku č. 0556/2021 z&amp;nbsp;29.04.2021 uplatnila k&amp;nbsp;materiálu tieto pripomienky a&amp;nbsp;odporúčania:&lt;/p&gt;&lt;p&gt;&lt;strong&gt;K&amp;nbsp;doložke vybraných vplyvov&lt;/strong&gt;&lt;/p&gt;&lt;p&gt;Nakoľko majiteľmi d</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životného prostredia Slovenskej republiky predkladá na medzirezortné pripomienkové konanie návrh nariadenia vlády Slovenskej republiky, ktorým sa vyhlasuje chránený areál Horný tok Výravy (ďalej len „návrh nari</vt:lpwstr>
  </property>
  <property fmtid="{D5CDD505-2E9C-101B-9397-08002B2CF9AE}" pid="130" name="FSC#COOSYSTEM@1.1:Container">
    <vt:lpwstr>COO.2145.1000.3.4369258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&lt;p&gt;Zámer vyhlásiť chránený areál Horný tok Výravy bol oznámený Okresným úradom Prešov dotknutým subjektom v zmysle § 50 zákona č. 543/2002 Z. z. o ochrane prírody a krajiny v znení neskorších predpisov. Obce Výrava, Svetlice a Zbojné o zámere informovali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19. 5. 2021</vt:lpwstr>
  </property>
</Properties>
</file>