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6E6F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BD59CA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CE75DC1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3047999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DB9BD2C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3B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návrhu</w:t>
      </w:r>
    </w:p>
    <w:p w14:paraId="799B0B9C" w14:textId="77777777" w:rsidR="00513BC5" w:rsidRPr="00212894" w:rsidRDefault="00513BC5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C195C94" w14:textId="77777777" w:rsidR="0036754E" w:rsidRPr="003A6CC9" w:rsidRDefault="0036754E" w:rsidP="003A6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3A6CC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342"/>
        <w:gridCol w:w="1342"/>
        <w:gridCol w:w="1342"/>
        <w:gridCol w:w="1342"/>
      </w:tblGrid>
      <w:tr w:rsidR="00513BC5" w:rsidRPr="004C0FAD" w14:paraId="085BBBF3" w14:textId="77777777" w:rsidTr="003A6CC9">
        <w:trPr>
          <w:trHeight w:val="194"/>
          <w:jc w:val="center"/>
        </w:trPr>
        <w:tc>
          <w:tcPr>
            <w:tcW w:w="3281" w:type="dxa"/>
            <w:vMerge w:val="restart"/>
            <w:shd w:val="clear" w:color="auto" w:fill="BFBFBF"/>
            <w:vAlign w:val="center"/>
          </w:tcPr>
          <w:p w14:paraId="04016B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4591E0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13BC5" w:rsidRPr="004C0FAD" w14:paraId="3CA4E5EE" w14:textId="77777777" w:rsidTr="003A6CC9">
        <w:trPr>
          <w:trHeight w:val="70"/>
          <w:jc w:val="center"/>
        </w:trPr>
        <w:tc>
          <w:tcPr>
            <w:tcW w:w="3281" w:type="dxa"/>
            <w:vMerge/>
            <w:shd w:val="clear" w:color="auto" w:fill="BFBFBF"/>
            <w:vAlign w:val="center"/>
          </w:tcPr>
          <w:p w14:paraId="4246008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28F8EDE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E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E23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868A13C" w14:textId="77777777"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E23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0FE3251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E23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2DD3E1E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E23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513BC5" w:rsidRPr="004C0FAD" w14:paraId="08DF7E8A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1D15BD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623ADC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1CE50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2FCF5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D600D0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BC7EEA7" w14:textId="77777777" w:rsidTr="003A6CC9">
        <w:trPr>
          <w:trHeight w:val="132"/>
          <w:jc w:val="center"/>
        </w:trPr>
        <w:tc>
          <w:tcPr>
            <w:tcW w:w="3281" w:type="dxa"/>
            <w:noWrap/>
            <w:vAlign w:val="center"/>
          </w:tcPr>
          <w:p w14:paraId="010616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noWrap/>
            <w:vAlign w:val="center"/>
          </w:tcPr>
          <w:p w14:paraId="61A67A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AAF2A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D0BBFB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6C5C29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8818FD6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701B72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34" w:type="dxa"/>
            <w:noWrap/>
            <w:vAlign w:val="center"/>
          </w:tcPr>
          <w:p w14:paraId="6813FA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616BF7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05FBECA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2CB21F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5467C5A2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2D77F2A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6DA529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4282B8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41BF2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F43502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66471A3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2C15B849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34" w:type="dxa"/>
            <w:noWrap/>
            <w:vAlign w:val="center"/>
          </w:tcPr>
          <w:p w14:paraId="584B999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750243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88A8DE8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6729FAC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EEE88DB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4668401F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34" w:type="dxa"/>
            <w:noWrap/>
            <w:vAlign w:val="center"/>
          </w:tcPr>
          <w:p w14:paraId="2870D1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B14DAF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A2079F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AF2C7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D0E24FA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4004F4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1925B7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6EAAB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3AF390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42C92F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3345190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52AD8D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6722B24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1DE68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B2153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89CD21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FB8C5A5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5929C44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325C804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1B240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E6E6D8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D6C52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DE98004" w14:textId="77777777" w:rsidTr="003A6CC9">
        <w:trPr>
          <w:trHeight w:val="125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2E83300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79D60AED" w14:textId="77777777" w:rsidR="007D5748" w:rsidRPr="005C416F" w:rsidRDefault="007A1D38" w:rsidP="00607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660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236E2182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530831FF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7C72DF32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4F83CAA0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1E10739" w14:textId="77777777" w:rsidR="007D5748" w:rsidRPr="007D5748" w:rsidRDefault="00957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MŽP SR/program 075</w:t>
            </w:r>
          </w:p>
        </w:tc>
        <w:tc>
          <w:tcPr>
            <w:tcW w:w="1134" w:type="dxa"/>
            <w:noWrap/>
            <w:vAlign w:val="center"/>
          </w:tcPr>
          <w:p w14:paraId="10DEF385" w14:textId="77777777" w:rsidR="007D5748" w:rsidRPr="007A1D38" w:rsidRDefault="007A1D38" w:rsidP="00607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7A1D38">
              <w:rPr>
                <w:rFonts w:ascii="Times New Roman" w:hAnsi="Times New Roman"/>
                <w:bCs/>
                <w:sz w:val="24"/>
              </w:rPr>
              <w:t xml:space="preserve">8 </w:t>
            </w:r>
            <w:r w:rsidR="006079BC" w:rsidRPr="007A1D38">
              <w:rPr>
                <w:rFonts w:ascii="Times New Roman" w:hAnsi="Times New Roman"/>
                <w:bCs/>
                <w:sz w:val="24"/>
              </w:rPr>
              <w:t>66</w:t>
            </w:r>
            <w:r w:rsidR="006079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430F8AD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noWrap/>
            <w:vAlign w:val="center"/>
          </w:tcPr>
          <w:p w14:paraId="75C0E9FF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noWrap/>
            <w:vAlign w:val="center"/>
          </w:tcPr>
          <w:p w14:paraId="04DDE416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4D4B9CBD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0E01438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34" w:type="dxa"/>
            <w:noWrap/>
            <w:vAlign w:val="center"/>
          </w:tcPr>
          <w:p w14:paraId="61885EFE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47B12504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71E5F61F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1E200424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21AF437A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8C8D95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7C4616BF" w14:textId="77777777" w:rsidR="007D5748" w:rsidRPr="005C416F" w:rsidRDefault="007A1D38" w:rsidP="00B8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660</w:t>
            </w:r>
          </w:p>
        </w:tc>
        <w:tc>
          <w:tcPr>
            <w:tcW w:w="1134" w:type="dxa"/>
            <w:noWrap/>
            <w:vAlign w:val="center"/>
          </w:tcPr>
          <w:p w14:paraId="27E3962C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noWrap/>
            <w:vAlign w:val="center"/>
          </w:tcPr>
          <w:p w14:paraId="6104E854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noWrap/>
            <w:vAlign w:val="center"/>
          </w:tcPr>
          <w:p w14:paraId="1451D042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0590DC58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5BBC6E71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134" w:type="dxa"/>
            <w:noWrap/>
            <w:vAlign w:val="center"/>
          </w:tcPr>
          <w:p w14:paraId="66E5DE0F" w14:textId="77777777" w:rsidR="00C51FD4" w:rsidRPr="005C416F" w:rsidRDefault="007A1D38" w:rsidP="00B8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A1D38">
              <w:rPr>
                <w:rFonts w:ascii="Times New Roman" w:hAnsi="Times New Roman"/>
                <w:bCs/>
                <w:sz w:val="24"/>
              </w:rPr>
              <w:t xml:space="preserve">8 </w:t>
            </w:r>
            <w:r w:rsidR="006079BC" w:rsidRPr="007A1D38">
              <w:rPr>
                <w:rFonts w:ascii="Times New Roman" w:hAnsi="Times New Roman"/>
                <w:bCs/>
                <w:sz w:val="24"/>
              </w:rPr>
              <w:t>66</w:t>
            </w:r>
            <w:r w:rsidR="006079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B84CCB4" w14:textId="77777777" w:rsidR="00C51FD4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noWrap/>
            <w:vAlign w:val="center"/>
          </w:tcPr>
          <w:p w14:paraId="50ADD468" w14:textId="77777777" w:rsidR="00C51FD4" w:rsidRPr="00AE6F86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sk-SK"/>
              </w:rPr>
            </w:pPr>
            <w:r w:rsidRPr="00AE6F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noWrap/>
            <w:vAlign w:val="center"/>
          </w:tcPr>
          <w:p w14:paraId="37BA6A68" w14:textId="77777777" w:rsidR="00C51FD4" w:rsidRPr="00AE6F86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sk-SK"/>
              </w:rPr>
            </w:pPr>
            <w:r w:rsidRPr="00AE6F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2BE1A4E9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2161D7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34" w:type="dxa"/>
            <w:noWrap/>
            <w:vAlign w:val="center"/>
          </w:tcPr>
          <w:p w14:paraId="41882CC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02A32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DD19DB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D9C2F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B027049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0A803A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noWrap/>
            <w:vAlign w:val="center"/>
          </w:tcPr>
          <w:p w14:paraId="7448F2D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D98E04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CE1947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50925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3371A02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079A8E8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4F5A2A4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115CFB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CCDC5F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D2F86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2D5CB84" w14:textId="77777777" w:rsidTr="003A6CC9">
        <w:trPr>
          <w:trHeight w:val="125"/>
          <w:jc w:val="center"/>
        </w:trPr>
        <w:tc>
          <w:tcPr>
            <w:tcW w:w="3281" w:type="dxa"/>
            <w:noWrap/>
            <w:vAlign w:val="center"/>
          </w:tcPr>
          <w:p w14:paraId="23EDA4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6ED74F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50E8F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AA963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F57B55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63451B9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7EED3DC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6E68B9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2AD406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B8C48D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FD269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7EA37CE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00300B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E366A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1896BB9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69A699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751CB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CDB2BD0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4F6BC7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74E3C2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0A8711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906CC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4F096E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B4FB747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F2C8D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1B505B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4DCFF8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D431CD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2B6D67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E65E514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6C37036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158B1D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509CE4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43B0DB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88A58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AF1F5D3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61220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7078D8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71D824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21B83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47EAE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AFDCB3B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1F70736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808D2E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59075A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51FEAAA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1E50BA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7A9E1DD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56A790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34" w:type="dxa"/>
            <w:noWrap/>
            <w:vAlign w:val="center"/>
          </w:tcPr>
          <w:p w14:paraId="50B24F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3B2C70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C8AC4B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2A8900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D202988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B4AB1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34" w:type="dxa"/>
            <w:noWrap/>
            <w:vAlign w:val="center"/>
          </w:tcPr>
          <w:p w14:paraId="3B7B052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98176C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6B72A7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BE5775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651FB24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35E63A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34" w:type="dxa"/>
            <w:noWrap/>
            <w:vAlign w:val="center"/>
          </w:tcPr>
          <w:p w14:paraId="5C4CB6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5F1ABB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55DA9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FAF62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24855F7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421C938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noWrap/>
            <w:vAlign w:val="center"/>
          </w:tcPr>
          <w:p w14:paraId="5D54A1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2B8DE5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937A8D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7563B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3F4C597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C0C0C0"/>
            <w:noWrap/>
            <w:vAlign w:val="center"/>
          </w:tcPr>
          <w:p w14:paraId="3C16C4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50828E3C" w14:textId="77777777" w:rsidR="007D5748" w:rsidRPr="005C416F" w:rsidRDefault="007A1D38" w:rsidP="00B8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660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3B9778A7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3CFC64E0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39B6C6C8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029F0F4E" w14:textId="77777777" w:rsidTr="003A6CC9">
        <w:trPr>
          <w:trHeight w:val="70"/>
          <w:jc w:val="center"/>
        </w:trPr>
        <w:tc>
          <w:tcPr>
            <w:tcW w:w="3281" w:type="dxa"/>
            <w:noWrap/>
            <w:vAlign w:val="center"/>
          </w:tcPr>
          <w:p w14:paraId="504D1104" w14:textId="77777777"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14:paraId="37929428" w14:textId="77777777" w:rsidR="007D5748" w:rsidRPr="00233F30" w:rsidRDefault="007A1D38" w:rsidP="00B8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A1D38">
              <w:rPr>
                <w:rFonts w:ascii="Times New Roman" w:hAnsi="Times New Roman"/>
                <w:bCs/>
                <w:sz w:val="24"/>
              </w:rPr>
              <w:t xml:space="preserve">8 </w:t>
            </w:r>
            <w:r w:rsidR="006079BC" w:rsidRPr="007A1D38">
              <w:rPr>
                <w:rFonts w:ascii="Times New Roman" w:hAnsi="Times New Roman"/>
                <w:bCs/>
                <w:sz w:val="24"/>
              </w:rPr>
              <w:t>66</w:t>
            </w:r>
            <w:r w:rsidR="006079BC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D4A83DF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1 374</w:t>
            </w:r>
          </w:p>
        </w:tc>
        <w:tc>
          <w:tcPr>
            <w:tcW w:w="1134" w:type="dxa"/>
            <w:noWrap/>
            <w:vAlign w:val="center"/>
          </w:tcPr>
          <w:p w14:paraId="7EB1C478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E6F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3 874</w:t>
            </w:r>
          </w:p>
        </w:tc>
        <w:tc>
          <w:tcPr>
            <w:tcW w:w="1134" w:type="dxa"/>
            <w:noWrap/>
            <w:vAlign w:val="center"/>
          </w:tcPr>
          <w:p w14:paraId="04CB3439" w14:textId="77777777" w:rsidR="007D5748" w:rsidRPr="005C416F" w:rsidRDefault="00AE6F8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E6F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174</w:t>
            </w:r>
          </w:p>
        </w:tc>
      </w:tr>
      <w:tr w:rsidR="00513BC5" w:rsidRPr="004C0FAD" w14:paraId="3BA59629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BFBFBF"/>
            <w:noWrap/>
            <w:vAlign w:val="center"/>
          </w:tcPr>
          <w:p w14:paraId="2B1AD75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3FC3DA55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579BC26C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0D7E9762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14:paraId="4C823E87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2257E96" w14:textId="77777777" w:rsidTr="003A6CC9">
        <w:trPr>
          <w:trHeight w:val="70"/>
          <w:jc w:val="center"/>
        </w:trPr>
        <w:tc>
          <w:tcPr>
            <w:tcW w:w="3281" w:type="dxa"/>
            <w:shd w:val="clear" w:color="auto" w:fill="A6A6A6"/>
            <w:noWrap/>
            <w:vAlign w:val="center"/>
          </w:tcPr>
          <w:p w14:paraId="5A7E89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437DF335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51E8153D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4F83AEF5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14:paraId="09DBD921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037611C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3954F4B" w14:textId="77777777" w:rsidR="00E963A3" w:rsidRDefault="00E963A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20FD313" w14:textId="77777777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</w:t>
      </w:r>
      <w:r w:rsidR="00EE23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o zmene a doplnení niektorých zákonov v znení neskorších predpisov</w:t>
      </w: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14:paraId="64217025" w14:textId="77777777" w:rsidR="000B31F0" w:rsidRPr="007D5748" w:rsidRDefault="000B31F0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1D8192D" w14:textId="77777777" w:rsidR="00ED12BA" w:rsidRDefault="00C81696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prírodnej rezervácie </w:t>
      </w:r>
      <w:r w:rsidR="00EE23F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(PR) </w:t>
      </w:r>
      <w:r w:rsidR="00B006C8">
        <w:rPr>
          <w:rFonts w:ascii="Times New Roman" w:eastAsia="Times New Roman" w:hAnsi="Times New Roman"/>
          <w:bCs/>
          <w:sz w:val="24"/>
          <w:szCs w:val="24"/>
          <w:lang w:eastAsia="sk-SK"/>
        </w:rPr>
        <w:t>Brezové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dôjde v rok</w:t>
      </w:r>
      <w:r w:rsidR="008C764D">
        <w:rPr>
          <w:rFonts w:ascii="Times New Roman" w:eastAsia="Times New Roman" w:hAnsi="Times New Roman"/>
          <w:bCs/>
          <w:sz w:val="24"/>
          <w:szCs w:val="24"/>
          <w:lang w:eastAsia="sk-SK"/>
        </w:rPr>
        <w:t>och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202</w:t>
      </w:r>
      <w:r w:rsidR="00EE23F8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8C764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2024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zvýšeniu výdavkov </w:t>
      </w:r>
      <w:r w:rsidR="008C764D">
        <w:rPr>
          <w:rFonts w:ascii="Times New Roman" w:eastAsia="Times New Roman" w:hAnsi="Times New Roman"/>
          <w:bCs/>
          <w:sz w:val="24"/>
          <w:szCs w:val="24"/>
          <w:lang w:eastAsia="sk-SK"/>
        </w:rPr>
        <w:t>verejnej správy</w:t>
      </w:r>
      <w:r w:rsidR="00ED12BA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0A4AB61B" w14:textId="77777777" w:rsidR="00745E4F" w:rsidRDefault="000556A2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Jednorazové f</w:t>
      </w:r>
      <w:r w:rsidR="00ED12BA">
        <w:rPr>
          <w:rFonts w:ascii="Times New Roman" w:eastAsia="Times New Roman" w:hAnsi="Times New Roman"/>
          <w:bCs/>
          <w:sz w:val="24"/>
          <w:szCs w:val="24"/>
          <w:lang w:eastAsia="sk-SK"/>
        </w:rPr>
        <w:t>inančné prostriedky vo výške 28</w:t>
      </w:r>
      <w:r w:rsidR="006079BC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="00ED12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D12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potrebné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roku 2021 </w:t>
      </w:r>
      <w:r w:rsidR="00ED12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označenie PR Brezové 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podľa vyhlášky Ministerstva životného prostredia Slovenskej republiky č. 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z., ktorou sa vykonáva zákon č. 543/2002 Z. z. o ochrane prírody a</w:t>
      </w:r>
      <w:r w:rsidR="00203C32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krajiny</w:t>
      </w:r>
      <w:r w:rsidR="00203C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znení neskorších predpisov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 w:rsidR="00C8169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6F38ECDE" w14:textId="77777777" w:rsidR="00ED12BA" w:rsidRDefault="00ED12BA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Ďalšie finančné prostriedky sú potrebné na zabezpečenie manažmentu PR Brezové – 4 500 EUR jednorazové odstránenie vzrastlých drevín v roku 2021, </w:t>
      </w:r>
      <w:r w:rsidR="001062D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1 200 EUR – odstraňovanie výmladkov drevín v priebehu rokov 2021 </w:t>
      </w:r>
      <w:r w:rsidR="006C2166">
        <w:rPr>
          <w:rFonts w:ascii="Times New Roman" w:eastAsia="Times New Roman" w:hAnsi="Times New Roman"/>
          <w:bCs/>
          <w:sz w:val="24"/>
          <w:szCs w:val="24"/>
          <w:lang w:eastAsia="sk-SK"/>
        </w:rPr>
        <w:t>–</w:t>
      </w:r>
      <w:r w:rsidR="001062D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2023</w:t>
      </w:r>
      <w:r w:rsidR="006C216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2 500 EUR kosenie v dvojročných intervaloch</w:t>
      </w:r>
      <w:r w:rsidR="000556A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v rokoch 2021 a 2023. </w:t>
      </w:r>
    </w:p>
    <w:p w14:paraId="75E3F04A" w14:textId="77777777" w:rsidR="006C2166" w:rsidRDefault="006C2166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0556A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 Brezové dôjde k obmedzeniu bežného obhospodarovania podľa § 61 zákona č. 543/2002 Z. z. o ochrane prírody a krajiny v znení neskorších predpisov (ďalej len zákon“). Náhrada za obmedzenie bežného obhospodarovania riešená formou nájmu podľa § 61b zákona predstavuje každoročne sumu 174 EUR. </w:t>
      </w:r>
    </w:p>
    <w:p w14:paraId="44863999" w14:textId="77777777" w:rsidR="00C81696" w:rsidRDefault="00C81696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potrebné na označenie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 </w:t>
      </w:r>
      <w:r w:rsidR="00E562A4">
        <w:rPr>
          <w:rFonts w:ascii="Times New Roman" w:eastAsia="Times New Roman" w:hAnsi="Times New Roman"/>
          <w:bCs/>
          <w:sz w:val="24"/>
          <w:szCs w:val="24"/>
          <w:lang w:eastAsia="sk-SK"/>
        </w:rPr>
        <w:t>Brezové</w:t>
      </w:r>
      <w:r w:rsidR="000556A2">
        <w:rPr>
          <w:rFonts w:ascii="Times New Roman" w:eastAsia="Times New Roman" w:hAnsi="Times New Roman"/>
          <w:bCs/>
          <w:sz w:val="24"/>
          <w:szCs w:val="24"/>
          <w:lang w:eastAsia="sk-SK"/>
        </w:rPr>
        <w:t>, na zabezpečenie manažmentu a na náhradu za obmedzenie bežného obhospodarovania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 zabezpečené v rozpočte kapitoly Ministerstva životného prostredia Slovenskej republiky (MŽP SR), a to v rozpočte Štátnej ochrany prírody Slovenskej republiky (ŠOP SR), príspevkovej  organizácii v zriaďovateľskej pôsobnosti MŽP SR. </w:t>
      </w:r>
    </w:p>
    <w:p w14:paraId="6C5C8004" w14:textId="77777777" w:rsidR="0036754E" w:rsidRDefault="0036754E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3A806B3" w14:textId="77777777" w:rsidR="00C81696" w:rsidRDefault="00C81696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015D49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7088D32E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4C1A8C5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3187A0FB" w14:textId="77777777"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3784D1" w14:textId="77777777" w:rsidR="00831C0F" w:rsidRPr="007D5748" w:rsidRDefault="00C81696" w:rsidP="0083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Navrhovaná PR </w:t>
      </w:r>
      <w:r w:rsidR="00E562A4">
        <w:rPr>
          <w:rFonts w:ascii="Times New Roman" w:eastAsia="Times New Roman" w:hAnsi="Times New Roman"/>
          <w:sz w:val="24"/>
          <w:szCs w:val="24"/>
          <w:lang w:eastAsia="sk-SK"/>
        </w:rPr>
        <w:t>Brezové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Dôvodom vyhlásenia PR </w:t>
      </w:r>
      <w:r w:rsidR="00E562A4">
        <w:rPr>
          <w:rFonts w:ascii="Times New Roman" w:eastAsia="Times New Roman" w:hAnsi="Times New Roman"/>
          <w:sz w:val="24"/>
          <w:szCs w:val="24"/>
          <w:lang w:eastAsia="sk-SK"/>
        </w:rPr>
        <w:t>Brezové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požiadavky vyplývajúcej z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čl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4 ods. 4 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 xml:space="preserve">smernice Rady 92/43/EHS z 21. mája 1992 o ochrane prirodzených biotopov a voľne žijúcich živočíchov a rastlín </w:t>
      </w:r>
      <w:r w:rsidR="00831C0F" w:rsidRPr="0021583C">
        <w:rPr>
          <w:rFonts w:ascii="Times New Roman" w:eastAsia="Times New Roman" w:hAnsi="Times New Roman"/>
          <w:sz w:val="24"/>
          <w:szCs w:val="24"/>
          <w:lang w:eastAsia="sk-SK"/>
        </w:rPr>
        <w:t>(Ú. v. ES L 206, 22.7.1992; Mimoriadne vydanie Ú. v. EÚ, kap. 15/zv. 2) v platnom znení. Ďalším dôvodom predloženia návrhu nariadenia vlády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vyhlasuje prírodná rezervácia Brezové, </w:t>
      </w:r>
      <w:r w:rsidR="00831C0F" w:rsidRPr="0021583C">
        <w:rPr>
          <w:rFonts w:ascii="Times New Roman" w:eastAsia="Times New Roman" w:hAnsi="Times New Roman"/>
          <w:sz w:val="24"/>
          <w:szCs w:val="24"/>
          <w:lang w:eastAsia="sk-SK"/>
        </w:rPr>
        <w:t>je aj formálne oznámenie Európskej komisie v rámci konania o po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>rušení zmlúv č. 2019/2141, ktoré</w:t>
      </w:r>
      <w:r w:rsidR="00831C0F" w:rsidRPr="0021583C">
        <w:rPr>
          <w:rFonts w:ascii="Times New Roman" w:eastAsia="Times New Roman" w:hAnsi="Times New Roman"/>
          <w:sz w:val="24"/>
          <w:szCs w:val="24"/>
          <w:lang w:eastAsia="sk-SK"/>
        </w:rPr>
        <w:t xml:space="preserve"> sa týka nedostatočného vyhlasovania lokalít európskeho významu a</w:t>
      </w:r>
      <w:r w:rsidR="00831C0F" w:rsidRPr="00F72EE1">
        <w:rPr>
          <w:rFonts w:ascii="Times New Roman" w:eastAsia="Times New Roman" w:hAnsi="Times New Roman"/>
          <w:sz w:val="24"/>
          <w:szCs w:val="24"/>
          <w:lang w:eastAsia="sk-SK"/>
        </w:rPr>
        <w:t xml:space="preserve"> stanovenia cieľov ochrany a opatrení na ich dosiahnutie (napr. v rámci programov starostlivosti).</w:t>
      </w:r>
      <w:r w:rsidR="00831C0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BEF1247" w14:textId="77777777" w:rsidR="00C81696" w:rsidRDefault="00C81696" w:rsidP="0083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D9D0B26" w14:textId="77777777" w:rsidR="009078E5" w:rsidRDefault="009078E5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CC1BD7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7F8D960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5C08B2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76A7AC3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198596D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4F965A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5EBD17B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1744EC0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A209D9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04B89A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EC5136" w14:textId="77777777" w:rsidR="007D5748" w:rsidRDefault="007D5748" w:rsidP="003B5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14:paraId="20F46F64" w14:textId="77777777" w:rsidR="00FB4539" w:rsidRPr="007D5748" w:rsidRDefault="00FB4539" w:rsidP="003B5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6222F2" w14:textId="77777777" w:rsidR="00E91AB2" w:rsidRDefault="00E91AB2" w:rsidP="003A6CC9">
      <w:pPr>
        <w:spacing w:after="0" w:line="240" w:lineRule="auto"/>
        <w:jc w:val="right"/>
      </w:pPr>
    </w:p>
    <w:p w14:paraId="3BE39307" w14:textId="77777777" w:rsidR="0036754E" w:rsidRPr="007D5748" w:rsidRDefault="0036754E" w:rsidP="003A6C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13BC5">
        <w:rPr>
          <w:rFonts w:ascii="Times New Roman" w:eastAsia="Times New Roman" w:hAnsi="Times New Roman"/>
          <w:sz w:val="24"/>
          <w:szCs w:val="20"/>
          <w:lang w:eastAsia="sk-SK"/>
        </w:rPr>
        <w:t>Tabuľka č. 2</w:t>
      </w: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14:paraId="27C2642E" w14:textId="77777777" w:rsidTr="003A6C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248C49B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34F4A09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66DC2309" w14:textId="77777777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6789F49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278B0A0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55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B1CC250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55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9576F3F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55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A53AB37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556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0992D9FB" w14:textId="77777777" w:rsidTr="007719C9">
        <w:trPr>
          <w:trHeight w:val="70"/>
        </w:trPr>
        <w:tc>
          <w:tcPr>
            <w:tcW w:w="4530" w:type="dxa"/>
          </w:tcPr>
          <w:p w14:paraId="26390A1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5456E9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3B1A82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18D74B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AC3EE1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057C5FE0" w14:textId="77777777" w:rsidTr="007719C9">
        <w:trPr>
          <w:trHeight w:val="70"/>
        </w:trPr>
        <w:tc>
          <w:tcPr>
            <w:tcW w:w="4530" w:type="dxa"/>
          </w:tcPr>
          <w:p w14:paraId="61C126E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9FF73D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80CEBB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2BB535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77959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5C752926" w14:textId="77777777" w:rsidTr="00FB4539">
        <w:trPr>
          <w:trHeight w:val="515"/>
        </w:trPr>
        <w:tc>
          <w:tcPr>
            <w:tcW w:w="4530" w:type="dxa"/>
          </w:tcPr>
          <w:p w14:paraId="0F76C87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AF4C6D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7CB82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B1F47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7FCE8A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5B88DA5" w14:textId="77777777" w:rsidR="00FB4539" w:rsidRDefault="00FB4539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41EA990" w14:textId="77777777" w:rsidR="00FB4539" w:rsidRPr="007D5748" w:rsidRDefault="00FB4539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5BE31D" w14:textId="77777777" w:rsidR="00E2791E" w:rsidRDefault="007D5748" w:rsidP="001614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6B24954B" w14:textId="77777777" w:rsidR="0016148C" w:rsidRPr="0016148C" w:rsidRDefault="0016148C" w:rsidP="001614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5803C34" w14:textId="77777777" w:rsidR="000A3C3E" w:rsidRDefault="00B61DFF" w:rsidP="000A3C3E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Vplyvy na verejné financie súvisia s vykonávaním opatrení, ktoré sú potrebné n</w:t>
      </w:r>
      <w:r w:rsidR="00EE23F8">
        <w:rPr>
          <w:rFonts w:ascii="Times New Roman" w:hAnsi="Times New Roman"/>
          <w:sz w:val="24"/>
        </w:rPr>
        <w:t xml:space="preserve">a zabezpečenie priaznivého stavu biotopov a druhov, ktoré sú predmetom PR Brezové </w:t>
      </w:r>
      <w:r w:rsidR="000A3C3E">
        <w:rPr>
          <w:rFonts w:ascii="Times New Roman" w:hAnsi="Times New Roman"/>
          <w:sz w:val="24"/>
        </w:rPr>
        <w:t xml:space="preserve">a s obmedzením bežného obhospodarovania pozemkov podľa § 61 zákona </w:t>
      </w:r>
      <w:r>
        <w:rPr>
          <w:rFonts w:ascii="Times New Roman" w:hAnsi="Times New Roman"/>
          <w:sz w:val="24"/>
        </w:rPr>
        <w:t>v obidvoch ekologicko-funkčn</w:t>
      </w:r>
      <w:r w:rsidR="000A3C3E">
        <w:rPr>
          <w:rFonts w:ascii="Times New Roman" w:hAnsi="Times New Roman"/>
          <w:sz w:val="24"/>
        </w:rPr>
        <w:t>ých</w:t>
      </w:r>
      <w:r>
        <w:rPr>
          <w:rFonts w:ascii="Times New Roman" w:hAnsi="Times New Roman"/>
          <w:sz w:val="24"/>
        </w:rPr>
        <w:t xml:space="preserve"> priestor</w:t>
      </w:r>
      <w:r w:rsidR="000A3C3E">
        <w:rPr>
          <w:rFonts w:ascii="Times New Roman" w:hAnsi="Times New Roman"/>
          <w:sz w:val="24"/>
        </w:rPr>
        <w:t>och</w:t>
      </w:r>
      <w:r>
        <w:rPr>
          <w:rFonts w:ascii="Times New Roman" w:hAnsi="Times New Roman"/>
          <w:sz w:val="24"/>
        </w:rPr>
        <w:t xml:space="preserve"> (EFP) PR Brezové. </w:t>
      </w:r>
    </w:p>
    <w:p w14:paraId="53928EB3" w14:textId="77777777" w:rsidR="0009129A" w:rsidRDefault="00B61DFF" w:rsidP="00781F3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EFP 1, ktorý tvori</w:t>
      </w:r>
      <w:r w:rsidR="00521EC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slatiny s vysokým obsahom báz a vlhké lúky, je potrebné realizovať </w:t>
      </w:r>
      <w:r w:rsidR="00FA12F0">
        <w:rPr>
          <w:rFonts w:ascii="Times New Roman" w:hAnsi="Times New Roman"/>
          <w:sz w:val="24"/>
        </w:rPr>
        <w:t xml:space="preserve">jednorazový </w:t>
      </w:r>
      <w:r>
        <w:rPr>
          <w:rFonts w:ascii="Times New Roman" w:hAnsi="Times New Roman"/>
          <w:sz w:val="24"/>
        </w:rPr>
        <w:t>výrub vzrastlejších drevín v zimnom období</w:t>
      </w:r>
      <w:r w:rsidR="008C764D">
        <w:rPr>
          <w:rFonts w:ascii="Times New Roman" w:hAnsi="Times New Roman"/>
          <w:sz w:val="24"/>
        </w:rPr>
        <w:t xml:space="preserve"> a následne zabezpečiť manažment </w:t>
      </w:r>
      <w:r w:rsidR="00FA12F0">
        <w:rPr>
          <w:rFonts w:ascii="Times New Roman" w:hAnsi="Times New Roman"/>
          <w:sz w:val="24"/>
        </w:rPr>
        <w:t>ko</w:t>
      </w:r>
      <w:r w:rsidR="008C764D">
        <w:rPr>
          <w:rFonts w:ascii="Times New Roman" w:hAnsi="Times New Roman"/>
          <w:sz w:val="24"/>
        </w:rPr>
        <w:t>sením</w:t>
      </w:r>
      <w:r w:rsidR="00FA12F0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odstraňova</w:t>
      </w:r>
      <w:r w:rsidR="008C764D">
        <w:rPr>
          <w:rFonts w:ascii="Times New Roman" w:hAnsi="Times New Roman"/>
          <w:sz w:val="24"/>
        </w:rPr>
        <w:t>ním</w:t>
      </w:r>
      <w:r>
        <w:rPr>
          <w:rFonts w:ascii="Times New Roman" w:hAnsi="Times New Roman"/>
          <w:sz w:val="24"/>
        </w:rPr>
        <w:t xml:space="preserve"> výmladk</w:t>
      </w:r>
      <w:r w:rsidR="008C764D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 xml:space="preserve"> drevín na konci leta. Odstraňovanie výmladkov drevín je potrebné opakovať </w:t>
      </w:r>
      <w:r w:rsidR="0009129A">
        <w:rPr>
          <w:rFonts w:ascii="Times New Roman" w:hAnsi="Times New Roman"/>
          <w:sz w:val="24"/>
        </w:rPr>
        <w:t>v priebehu troch rokov.</w:t>
      </w:r>
      <w:r>
        <w:rPr>
          <w:rFonts w:ascii="Times New Roman" w:hAnsi="Times New Roman"/>
          <w:sz w:val="24"/>
        </w:rPr>
        <w:t xml:space="preserve"> </w:t>
      </w:r>
    </w:p>
    <w:p w14:paraId="387953F3" w14:textId="77777777" w:rsidR="002D6AF1" w:rsidRDefault="002D6AF1" w:rsidP="00781F3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EFP 2, ktorý je tvorený stromovou a krovitou vegetáciou v okolí vodného toku, je potrebné realizovať jednorazový výrub vzrastlejších drevín v zimnom období s ponechaním ucelených kompaktných väčších skupín drevín. </w:t>
      </w:r>
      <w:r w:rsidR="00FA12F0">
        <w:rPr>
          <w:rFonts w:ascii="Times New Roman" w:hAnsi="Times New Roman"/>
          <w:sz w:val="24"/>
        </w:rPr>
        <w:t>Biomasu je potrebné odstrániť mimo plochu EFP 2 a získané plochy obhospodarovať kosením a odstraňovaním výmladkov drevín</w:t>
      </w:r>
      <w:r w:rsidR="008C764D">
        <w:rPr>
          <w:rFonts w:ascii="Times New Roman" w:hAnsi="Times New Roman"/>
          <w:sz w:val="24"/>
        </w:rPr>
        <w:t xml:space="preserve">, rovnako ako v EFP 1. </w:t>
      </w:r>
    </w:p>
    <w:p w14:paraId="219672D6" w14:textId="77777777" w:rsidR="00C92829" w:rsidRDefault="0009129A" w:rsidP="00781F3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jednorazové odstránenie vzrastlých drevín na celom území PR Brezové (EFP 1, EFP 2) je potrebných 4 500 EUR v roku 2021. Odstraňovanie výmladkov drevín sa predpokladá v priebehu troch rokoch a každoročne je na túto činnosť potrebných 1 200 EUR. V prípade, ak kosenie PR Brezové nebudú zabezpečovať vlastníci pozemkov, bude zabezpečené ŠOP SR, pričom náklady na kosenie PR Brezové minimálne v dvojročných intervaloch sa odhadujú na 2 500 EUR. </w:t>
      </w:r>
    </w:p>
    <w:p w14:paraId="23C04240" w14:textId="77777777" w:rsidR="0009129A" w:rsidRDefault="00C92829" w:rsidP="00781F34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Obmedzenie bežného obhospodarovania pozemkov v PR Brezové sa týka stanovenia termínu kosenia za účelom dosiahnutia optimálneho výsledku</w:t>
      </w:r>
      <w:r w:rsidR="006D5338">
        <w:rPr>
          <w:rFonts w:ascii="Times New Roman" w:hAnsi="Times New Roman"/>
          <w:sz w:val="24"/>
        </w:rPr>
        <w:t>, zákazu</w:t>
      </w:r>
      <w:r>
        <w:rPr>
          <w:rFonts w:ascii="Times New Roman" w:hAnsi="Times New Roman"/>
          <w:sz w:val="24"/>
        </w:rPr>
        <w:t xml:space="preserve"> aplikáci</w:t>
      </w:r>
      <w:r w:rsidR="006D533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chemických látok (pesticídov) a dodatkových hnojí</w:t>
      </w:r>
      <w:r w:rsidR="006D5338">
        <w:rPr>
          <w:rFonts w:ascii="Times New Roman" w:hAnsi="Times New Roman"/>
          <w:sz w:val="24"/>
        </w:rPr>
        <w:t>v v celom území PR Brezové a potreby kosiť ručne alebo s pomocou ľahkých mechanizmov</w:t>
      </w:r>
      <w:r w:rsidR="00260D56">
        <w:rPr>
          <w:rFonts w:ascii="Times New Roman" w:hAnsi="Times New Roman"/>
          <w:sz w:val="24"/>
        </w:rPr>
        <w:t xml:space="preserve"> v EFP 1.</w:t>
      </w:r>
      <w:r w:rsidR="006D5338">
        <w:rPr>
          <w:rFonts w:ascii="Times New Roman" w:hAnsi="Times New Roman"/>
          <w:sz w:val="24"/>
        </w:rPr>
        <w:t xml:space="preserve"> </w:t>
      </w:r>
      <w:r w:rsidR="00A51B31">
        <w:rPr>
          <w:rFonts w:ascii="Times New Roman" w:hAnsi="Times New Roman"/>
          <w:sz w:val="24"/>
        </w:rPr>
        <w:t>Riešenie náhrady za obmedzenie bežného obhospodarovania sa predpokladá formou nájmu v zmysle § 61b zákona</w:t>
      </w:r>
      <w:r w:rsidR="0009129A">
        <w:rPr>
          <w:rFonts w:ascii="Times New Roman" w:hAnsi="Times New Roman"/>
          <w:sz w:val="24"/>
        </w:rPr>
        <w:t xml:space="preserve">. Vlastníci môžu využiť aj ďalšie formy náhrady za obmedzenie bežného obhospodarovania v zmysle § 61 zákona. </w:t>
      </w:r>
    </w:p>
    <w:p w14:paraId="21BA682B" w14:textId="77777777" w:rsidR="00C92829" w:rsidRPr="00FA607F" w:rsidRDefault="00A51B31" w:rsidP="00781F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07F">
        <w:rPr>
          <w:rFonts w:ascii="Times New Roman" w:hAnsi="Times New Roman"/>
          <w:sz w:val="24"/>
          <w:szCs w:val="24"/>
        </w:rPr>
        <w:t xml:space="preserve">V prípade nájmu je celková výška náhrady orientačne stanovená ako suma zvýšených nákladov alebo straty pri obmedzení bežného obhospodarovania </w:t>
      </w:r>
      <w:r w:rsidR="00FA607F" w:rsidRPr="00FA607F">
        <w:rPr>
          <w:rFonts w:ascii="Times New Roman" w:hAnsi="Times New Roman"/>
          <w:sz w:val="24"/>
          <w:szCs w:val="24"/>
        </w:rPr>
        <w:t xml:space="preserve">po zohľadnení oprávnenosti poberania </w:t>
      </w:r>
      <w:r w:rsidR="007A1D38">
        <w:rPr>
          <w:rFonts w:ascii="Times New Roman" w:hAnsi="Times New Roman"/>
          <w:sz w:val="24"/>
          <w:szCs w:val="24"/>
        </w:rPr>
        <w:t>podpory zo zdrojov Európskeho poľnohospodárskeho fondu pre rozvoj vidieka</w:t>
      </w:r>
      <w:r w:rsidR="00FA607F">
        <w:rPr>
          <w:rFonts w:ascii="Times New Roman" w:hAnsi="Times New Roman"/>
          <w:sz w:val="24"/>
          <w:szCs w:val="24"/>
        </w:rPr>
        <w:t xml:space="preserve"> </w:t>
      </w:r>
      <w:r w:rsidR="007A1D38">
        <w:rPr>
          <w:rFonts w:ascii="Times New Roman" w:hAnsi="Times New Roman"/>
          <w:sz w:val="24"/>
          <w:szCs w:val="24"/>
        </w:rPr>
        <w:t xml:space="preserve">(EPFRV) </w:t>
      </w:r>
      <w:r w:rsidR="00FA60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tabuľk</w:t>
      </w:r>
      <w:r w:rsidR="00FA60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č. 3</w:t>
      </w:r>
      <w:r w:rsidR="00FA60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predstavuje sumu 174 EUR/rok. </w:t>
      </w:r>
      <w:r>
        <w:t xml:space="preserve"> </w:t>
      </w:r>
    </w:p>
    <w:p w14:paraId="073B0813" w14:textId="77777777" w:rsidR="007907F7" w:rsidRDefault="007907F7" w:rsidP="0093759B">
      <w:pPr>
        <w:jc w:val="both"/>
        <w:rPr>
          <w:rFonts w:ascii="Times New Roman" w:hAnsi="Times New Roman"/>
          <w:sz w:val="24"/>
        </w:rPr>
      </w:pPr>
    </w:p>
    <w:p w14:paraId="7EB17B31" w14:textId="0B13D8E4" w:rsidR="00B871F4" w:rsidRDefault="00B871F4" w:rsidP="0093759B">
      <w:pPr>
        <w:jc w:val="both"/>
        <w:rPr>
          <w:rFonts w:ascii="Times New Roman" w:hAnsi="Times New Roman"/>
          <w:sz w:val="24"/>
        </w:rPr>
      </w:pPr>
    </w:p>
    <w:p w14:paraId="13745003" w14:textId="0BBF0652" w:rsidR="00317CC2" w:rsidRDefault="00317CC2" w:rsidP="0093759B">
      <w:pPr>
        <w:jc w:val="both"/>
        <w:rPr>
          <w:rFonts w:ascii="Times New Roman" w:hAnsi="Times New Roman"/>
          <w:sz w:val="24"/>
        </w:rPr>
      </w:pPr>
    </w:p>
    <w:p w14:paraId="3A623010" w14:textId="77777777" w:rsidR="00317CC2" w:rsidRDefault="00317CC2" w:rsidP="0093759B">
      <w:pPr>
        <w:jc w:val="both"/>
        <w:rPr>
          <w:rFonts w:ascii="Times New Roman" w:hAnsi="Times New Roman"/>
          <w:sz w:val="24"/>
        </w:rPr>
      </w:pPr>
    </w:p>
    <w:p w14:paraId="79D01323" w14:textId="77777777" w:rsidR="00E2791E" w:rsidRPr="0093759B" w:rsidRDefault="0093759B" w:rsidP="0093759B">
      <w:pPr>
        <w:spacing w:after="0"/>
        <w:rPr>
          <w:rFonts w:ascii="Times New Roman" w:hAnsi="Times New Roman"/>
          <w:sz w:val="24"/>
        </w:rPr>
      </w:pPr>
      <w:r w:rsidRPr="0093759B">
        <w:rPr>
          <w:rFonts w:ascii="Times New Roman" w:hAnsi="Times New Roman"/>
          <w:sz w:val="24"/>
        </w:rPr>
        <w:t>Tabuľka č.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373"/>
        <w:gridCol w:w="2347"/>
        <w:gridCol w:w="2520"/>
      </w:tblGrid>
      <w:tr w:rsidR="00E2791E" w14:paraId="77108017" w14:textId="77777777" w:rsidTr="0093759B">
        <w:trPr>
          <w:trHeight w:val="1140"/>
        </w:trPr>
        <w:tc>
          <w:tcPr>
            <w:tcW w:w="2950" w:type="dxa"/>
          </w:tcPr>
          <w:p w14:paraId="3E7B2E29" w14:textId="77777777" w:rsidR="0093759B" w:rsidRDefault="0093759B" w:rsidP="00A5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6A6ABE5" w14:textId="77777777" w:rsidR="00E2791E" w:rsidRPr="0093759B" w:rsidRDefault="0093759B" w:rsidP="00A5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E2791E" w:rsidRPr="0093759B">
              <w:rPr>
                <w:rFonts w:ascii="Times New Roman" w:hAnsi="Times New Roman"/>
                <w:sz w:val="24"/>
              </w:rPr>
              <w:t>bmedzenie</w:t>
            </w:r>
          </w:p>
        </w:tc>
        <w:tc>
          <w:tcPr>
            <w:tcW w:w="1373" w:type="dxa"/>
            <w:vAlign w:val="center"/>
          </w:tcPr>
          <w:p w14:paraId="131D313B" w14:textId="77777777" w:rsidR="00E2791E" w:rsidRPr="0093759B" w:rsidRDefault="00E2791E" w:rsidP="00A51B31">
            <w:pPr>
              <w:pStyle w:val="Nadpisregistra"/>
              <w:jc w:val="center"/>
            </w:pPr>
            <w:r w:rsidRPr="0093759B">
              <w:t>Suma za obmedzenie (Eur/ha/rok)</w:t>
            </w:r>
          </w:p>
        </w:tc>
        <w:tc>
          <w:tcPr>
            <w:tcW w:w="2347" w:type="dxa"/>
            <w:vAlign w:val="center"/>
          </w:tcPr>
          <w:p w14:paraId="61F67162" w14:textId="77777777" w:rsidR="00E2791E" w:rsidRPr="0093759B" w:rsidRDefault="00E2791E" w:rsidP="00A5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9B">
              <w:rPr>
                <w:rFonts w:ascii="Times New Roman" w:hAnsi="Times New Roman"/>
                <w:sz w:val="24"/>
                <w:szCs w:val="24"/>
              </w:rPr>
              <w:t>Predpokladaná plocha obmedzenia</w:t>
            </w:r>
          </w:p>
          <w:p w14:paraId="4668AB58" w14:textId="77777777" w:rsidR="00E2791E" w:rsidRPr="0093759B" w:rsidRDefault="00E2791E" w:rsidP="00A5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9B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520" w:type="dxa"/>
            <w:vAlign w:val="center"/>
          </w:tcPr>
          <w:p w14:paraId="38823AA4" w14:textId="77777777" w:rsidR="00E2791E" w:rsidRPr="0093759B" w:rsidRDefault="00E2791E" w:rsidP="00A51B31">
            <w:pPr>
              <w:pStyle w:val="Nadpisregistra"/>
              <w:jc w:val="center"/>
            </w:pPr>
            <w:r w:rsidRPr="0093759B">
              <w:t>Celková suma za obmedzenie na ploche spolu (€/rok)</w:t>
            </w:r>
          </w:p>
        </w:tc>
      </w:tr>
      <w:tr w:rsidR="00E2791E" w14:paraId="09D3296D" w14:textId="77777777" w:rsidTr="006C3341">
        <w:tc>
          <w:tcPr>
            <w:tcW w:w="2950" w:type="dxa"/>
          </w:tcPr>
          <w:p w14:paraId="4F0EDC61" w14:textId="77777777" w:rsidR="00E2791E" w:rsidRDefault="00E2791E" w:rsidP="0093759B">
            <w:pPr>
              <w:pStyle w:val="Nadpisregistra"/>
              <w:jc w:val="center"/>
            </w:pPr>
            <w:r>
              <w:t>Neaplikovať chemické látky (pesticídy) a dodatkové hnojivá</w:t>
            </w:r>
          </w:p>
        </w:tc>
        <w:tc>
          <w:tcPr>
            <w:tcW w:w="1373" w:type="dxa"/>
            <w:vAlign w:val="center"/>
          </w:tcPr>
          <w:p w14:paraId="08294FFB" w14:textId="77777777" w:rsidR="00E2791E" w:rsidRPr="0093759B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9B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2347" w:type="dxa"/>
            <w:vAlign w:val="center"/>
          </w:tcPr>
          <w:p w14:paraId="33EE0263" w14:textId="77777777" w:rsidR="00E2791E" w:rsidRPr="0093759B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9B">
              <w:rPr>
                <w:rFonts w:ascii="Times New Roman" w:hAnsi="Times New Roman"/>
                <w:sz w:val="24"/>
                <w:szCs w:val="24"/>
              </w:rPr>
              <w:t>16,8493 ha – 1,99 ha (oprávnené z PRV) = 14,8593 ha</w:t>
            </w:r>
          </w:p>
        </w:tc>
        <w:tc>
          <w:tcPr>
            <w:tcW w:w="2520" w:type="dxa"/>
            <w:vAlign w:val="center"/>
          </w:tcPr>
          <w:p w14:paraId="4CDE5E44" w14:textId="77777777" w:rsidR="00E2791E" w:rsidRPr="0093759B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9B">
              <w:rPr>
                <w:rFonts w:ascii="Times New Roman" w:hAnsi="Times New Roman"/>
                <w:sz w:val="24"/>
                <w:szCs w:val="24"/>
              </w:rPr>
              <w:t>77,27 €/rok</w:t>
            </w:r>
          </w:p>
        </w:tc>
      </w:tr>
      <w:tr w:rsidR="00E2791E" w14:paraId="79100572" w14:textId="77777777" w:rsidTr="006C3341">
        <w:tc>
          <w:tcPr>
            <w:tcW w:w="2950" w:type="dxa"/>
          </w:tcPr>
          <w:p w14:paraId="04E90275" w14:textId="77777777" w:rsidR="00E2791E" w:rsidRPr="00FA607F" w:rsidRDefault="00E2791E" w:rsidP="0093759B">
            <w:pPr>
              <w:jc w:val="center"/>
              <w:rPr>
                <w:rFonts w:ascii="Times New Roman" w:hAnsi="Times New Roman"/>
              </w:rPr>
            </w:pPr>
            <w:r w:rsidRPr="00FA607F">
              <w:rPr>
                <w:rFonts w:ascii="Times New Roman" w:hAnsi="Times New Roman"/>
                <w:sz w:val="24"/>
              </w:rPr>
              <w:t>Kosiť ručne, alebo pomocou ľahkých mechanizmov</w:t>
            </w:r>
          </w:p>
        </w:tc>
        <w:tc>
          <w:tcPr>
            <w:tcW w:w="1373" w:type="dxa"/>
            <w:vAlign w:val="center"/>
          </w:tcPr>
          <w:p w14:paraId="7A0FFD65" w14:textId="77777777" w:rsidR="00E2791E" w:rsidRPr="00FA607F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47" w:type="dxa"/>
            <w:vAlign w:val="center"/>
          </w:tcPr>
          <w:p w14:paraId="5279030D" w14:textId="77777777" w:rsidR="00E2791E" w:rsidRPr="00FA607F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7F">
              <w:rPr>
                <w:rFonts w:ascii="Times New Roman" w:hAnsi="Times New Roman"/>
                <w:sz w:val="24"/>
                <w:szCs w:val="24"/>
              </w:rPr>
              <w:t>3,2005 ha – 1,99 ha (oprávnené z PRV) = 1,2105 ha</w:t>
            </w:r>
          </w:p>
        </w:tc>
        <w:tc>
          <w:tcPr>
            <w:tcW w:w="2520" w:type="dxa"/>
            <w:vAlign w:val="center"/>
          </w:tcPr>
          <w:p w14:paraId="0776F134" w14:textId="77777777" w:rsidR="00E2791E" w:rsidRPr="00FA607F" w:rsidRDefault="00E2791E" w:rsidP="00937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7F">
              <w:rPr>
                <w:rFonts w:ascii="Times New Roman" w:hAnsi="Times New Roman"/>
                <w:sz w:val="24"/>
                <w:szCs w:val="24"/>
              </w:rPr>
              <w:t>96,84 €/rok</w:t>
            </w:r>
          </w:p>
        </w:tc>
      </w:tr>
    </w:tbl>
    <w:p w14:paraId="76ADD109" w14:textId="77777777" w:rsidR="0016148C" w:rsidRDefault="0016148C" w:rsidP="007A1D38">
      <w:pPr>
        <w:spacing w:after="0"/>
      </w:pPr>
    </w:p>
    <w:p w14:paraId="05393265" w14:textId="446C5000" w:rsidR="007A1D38" w:rsidRPr="007A1D38" w:rsidRDefault="007A1D38" w:rsidP="00781F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1D38">
        <w:rPr>
          <w:rFonts w:ascii="Times New Roman" w:hAnsi="Times New Roman"/>
          <w:sz w:val="24"/>
          <w:szCs w:val="24"/>
        </w:rPr>
        <w:t>Možnosti podpory sa vzťahujú na konkrétne oznámenia Poľnohospodárskej platobnej agentúry (</w:t>
      </w:r>
      <w:hyperlink r:id="rId12" w:history="1">
        <w:r w:rsidRPr="007A1D38">
          <w:rPr>
            <w:rStyle w:val="Hypertextovprepojenie"/>
            <w:rFonts w:ascii="Times New Roman" w:hAnsi="Times New Roman"/>
            <w:sz w:val="24"/>
            <w:szCs w:val="24"/>
          </w:rPr>
          <w:t>www.apa.sk</w:t>
        </w:r>
      </w:hyperlink>
      <w:r w:rsidRPr="007A1D38">
        <w:rPr>
          <w:rFonts w:ascii="Times New Roman" w:hAnsi="Times New Roman"/>
          <w:sz w:val="24"/>
          <w:szCs w:val="24"/>
        </w:rPr>
        <w:t>). Pravidlá poskytovania podpory v súvislosti s opatreniami programu rozvoja vidieka, v rámci programového obdobia na roky 2014 – 2020, ustanovuje nariadenie vlády S</w:t>
      </w:r>
      <w:r>
        <w:rPr>
          <w:rFonts w:ascii="Times New Roman" w:hAnsi="Times New Roman"/>
          <w:sz w:val="24"/>
          <w:szCs w:val="24"/>
        </w:rPr>
        <w:t>lovenskej republiky</w:t>
      </w:r>
      <w:r w:rsidRPr="007A1D38">
        <w:rPr>
          <w:rFonts w:ascii="Times New Roman" w:hAnsi="Times New Roman"/>
          <w:sz w:val="24"/>
          <w:szCs w:val="24"/>
        </w:rPr>
        <w:t xml:space="preserve"> č. 75/2015 Z. z., ktorým sa ustanovujú pravidlá poskytovania podpory v súvislosti s opatreniami programu rozvoja vidieka. </w:t>
      </w:r>
      <w:r>
        <w:rPr>
          <w:rFonts w:ascii="Times New Roman" w:hAnsi="Times New Roman"/>
          <w:sz w:val="24"/>
          <w:szCs w:val="24"/>
        </w:rPr>
        <w:t>Zoznam pozemkov, na ktoré je možné poberať podporu z</w:t>
      </w:r>
      <w:r w:rsidR="000672C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EPFRV</w:t>
      </w:r>
      <w:r w:rsidR="00067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uvedený v projekte ochrany PR Brezové. </w:t>
      </w:r>
    </w:p>
    <w:p w14:paraId="7E4F045C" w14:textId="77777777" w:rsidR="00BC5802" w:rsidRPr="00BC5802" w:rsidRDefault="00EE23F8" w:rsidP="00781F34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Ďalšie v</w:t>
      </w:r>
      <w:r w:rsid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>plyvy na verejné financie súvisia so zabezpečením označenia PR Brezové. PR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Brezové bude označená podľa § 19 vyhlášky č. 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 w:rsidR="000672C9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 normalizovanými tabuľami so štátnym znakom Slovenskej republiky s rozmermi 30 x 40 cm s bielym nápisom „Prírodná rezervácia Brezové“ umiestneným pod štátnym znakom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>Tieto tabule budú umiestnené na normalizovaných drevených stĺpoch zabezpečených proti poveternostným podmienkam drevenou strieškou. Stĺpy budú osadené v normalizovaných železných košo</w:t>
      </w:r>
      <w:r w:rsid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>ch, celkom budú osadené 4 stĺpy. PR Brezové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bude mať v zmysle </w:t>
      </w:r>
      <w:r w:rsidR="00BC5802" w:rsidRPr="00E04514">
        <w:rPr>
          <w:rFonts w:ascii="Times New Roman" w:eastAsia="Times New Roman" w:hAnsi="Times New Roman"/>
          <w:bCs/>
          <w:sz w:val="24"/>
          <w:szCs w:val="24"/>
          <w:lang w:eastAsia="sk-SK"/>
        </w:rPr>
        <w:t>zákona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obvodové značenie červenou farbou na hraničných stromoch. Na 2 drevených stĺpoch s tabuľami so štátnym znakom a s tabuľami označujúcimi chránené územie budú umiestnené aj tabule s rozmermi 40 x 30 cm s doplňujúcimi informáciami 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Brezov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é</w:t>
      </w:r>
      <w:r w:rsidR="00BC5802" w:rsidRPr="00BC5802">
        <w:rPr>
          <w:rFonts w:ascii="Times New Roman" w:eastAsia="Times New Roman" w:hAnsi="Times New Roman"/>
          <w:bCs/>
          <w:sz w:val="24"/>
          <w:szCs w:val="24"/>
          <w:lang w:eastAsia="sk-SK"/>
        </w:rPr>
        <w:t>. Doplnkové tabule budú napísané zeleným písmom na bielom podklade. Tieto tabule budú umiestnené pod tabuľou s označením chráneného územia. Stĺpy s uvedenými tabuľami budú umiestnené na priesečníkoch hranice chráneného územia s pozemnými komunikáciami na dobre viditeľných miestach. Na tých istých drevených stĺpoch budú umiestené tabule s rozmermi 30 x 20 cm na ktorých bude 6 grafických znázornení s rozmermi 10 x 10 cm, vyjadrujúcimi niektoré zakázané činnosti (tzv. piktogramy). Tieto tabule budú umiestnené pod tabuľou s doplňujúcimi informáciami.</w:t>
      </w:r>
    </w:p>
    <w:p w14:paraId="38673C0D" w14:textId="77777777" w:rsidR="00294491" w:rsidRDefault="00294491" w:rsidP="00294491">
      <w:pPr>
        <w:pStyle w:val="Popis"/>
        <w:keepNext/>
        <w:spacing w:after="0"/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</w:pPr>
    </w:p>
    <w:p w14:paraId="6B7797A9" w14:textId="77777777" w:rsidR="00294491" w:rsidRPr="00E12A12" w:rsidRDefault="00FB4539" w:rsidP="00294491">
      <w:pPr>
        <w:pStyle w:val="Popis"/>
        <w:keepNext/>
        <w:spacing w:after="0"/>
        <w:rPr>
          <w:b w:val="0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Tabuľka č. </w:t>
      </w:r>
      <w:r w:rsidR="00E04514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4</w:t>
      </w:r>
      <w:r w:rsidR="00294491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294491" w:rsidRPr="00E12A1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Kalkulácia nákladov na označenie a technické vybavenie:</w:t>
      </w:r>
    </w:p>
    <w:tbl>
      <w:tblPr>
        <w:tblpPr w:leftFromText="141" w:rightFromText="141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843"/>
        <w:gridCol w:w="1984"/>
        <w:gridCol w:w="2234"/>
      </w:tblGrid>
      <w:tr w:rsidR="00294491" w:rsidRPr="004C0FAD" w14:paraId="12D12F97" w14:textId="77777777" w:rsidTr="006C3341">
        <w:trPr>
          <w:trHeight w:hRule="exact" w:val="567"/>
        </w:trPr>
        <w:tc>
          <w:tcPr>
            <w:tcW w:w="3011" w:type="dxa"/>
            <w:shd w:val="clear" w:color="auto" w:fill="E6E6E6"/>
          </w:tcPr>
          <w:p w14:paraId="66021F8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</w:tcPr>
          <w:p w14:paraId="7A80AF65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14:paraId="35D5B3B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Jednotková cena v €  s</w:t>
            </w:r>
            <w:r w:rsidR="00E117BC">
              <w:rPr>
                <w:rFonts w:ascii="Times New Roman" w:eastAsia="Times New Roman" w:hAnsi="Times New Roman"/>
                <w:bCs/>
                <w:lang w:eastAsia="sk-SK"/>
              </w:rPr>
              <w:t> </w:t>
            </w: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DPH</w:t>
            </w:r>
          </w:p>
        </w:tc>
        <w:tc>
          <w:tcPr>
            <w:tcW w:w="2234" w:type="dxa"/>
            <w:shd w:val="clear" w:color="auto" w:fill="E6E6E6"/>
          </w:tcPr>
          <w:p w14:paraId="625C87C3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Spolu € s DPH</w:t>
            </w:r>
          </w:p>
        </w:tc>
      </w:tr>
      <w:tr w:rsidR="00294491" w:rsidRPr="004C0FAD" w14:paraId="4C7F8D9A" w14:textId="77777777" w:rsidTr="00294491">
        <w:trPr>
          <w:trHeight w:hRule="exact" w:val="586"/>
        </w:trPr>
        <w:tc>
          <w:tcPr>
            <w:tcW w:w="3011" w:type="dxa"/>
          </w:tcPr>
          <w:p w14:paraId="7E1B6EF8" w14:textId="77777777" w:rsidR="00294491" w:rsidRPr="00795E7B" w:rsidRDefault="00294491" w:rsidP="00294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Normalizovaný drevený stĺp </w:t>
            </w:r>
            <w:r w:rsidRPr="00294491">
              <w:rPr>
                <w:rFonts w:ascii="Times New Roman" w:hAnsi="Times New Roman"/>
              </w:rPr>
              <w:t xml:space="preserve">so strieškou a železnými košmi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D2C5B" w14:textId="77777777" w:rsidR="00294491" w:rsidRPr="005E5159" w:rsidDel="0050465C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4 ks</w:t>
            </w:r>
          </w:p>
        </w:tc>
        <w:tc>
          <w:tcPr>
            <w:tcW w:w="1984" w:type="dxa"/>
            <w:vAlign w:val="center"/>
          </w:tcPr>
          <w:p w14:paraId="461BA076" w14:textId="77777777" w:rsidR="00294491" w:rsidRPr="005E5159" w:rsidDel="0050465C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60,00</w:t>
            </w:r>
          </w:p>
        </w:tc>
        <w:tc>
          <w:tcPr>
            <w:tcW w:w="2234" w:type="dxa"/>
            <w:vAlign w:val="center"/>
          </w:tcPr>
          <w:p w14:paraId="2CE79D05" w14:textId="77777777" w:rsidR="00294491" w:rsidRPr="005E5159" w:rsidDel="0050465C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240,00</w:t>
            </w:r>
          </w:p>
        </w:tc>
      </w:tr>
      <w:tr w:rsidR="00294491" w:rsidRPr="004C0FAD" w14:paraId="28E979D4" w14:textId="77777777" w:rsidTr="00294491">
        <w:trPr>
          <w:trHeight w:hRule="exact" w:val="850"/>
        </w:trPr>
        <w:tc>
          <w:tcPr>
            <w:tcW w:w="3011" w:type="dxa"/>
          </w:tcPr>
          <w:p w14:paraId="54681D0B" w14:textId="77777777" w:rsidR="00294491" w:rsidRPr="00795E7B" w:rsidRDefault="00294491" w:rsidP="006C3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Tabula</w:t>
            </w:r>
            <w:r w:rsidRPr="00294491">
              <w:rPr>
                <w:rFonts w:ascii="Times New Roman" w:hAnsi="Times New Roman"/>
              </w:rPr>
              <w:t xml:space="preserve"> o rozmere 30 x 40 cm so štátnym znakom a s normalizovaným označením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F0F81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4 ks</w:t>
            </w:r>
          </w:p>
        </w:tc>
        <w:tc>
          <w:tcPr>
            <w:tcW w:w="1984" w:type="dxa"/>
            <w:vAlign w:val="center"/>
          </w:tcPr>
          <w:p w14:paraId="5D729FE7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5,00</w:t>
            </w:r>
          </w:p>
        </w:tc>
        <w:tc>
          <w:tcPr>
            <w:tcW w:w="2234" w:type="dxa"/>
            <w:vAlign w:val="center"/>
          </w:tcPr>
          <w:p w14:paraId="116D4B2B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20,00</w:t>
            </w:r>
          </w:p>
        </w:tc>
      </w:tr>
      <w:tr w:rsidR="00294491" w:rsidRPr="004C0FAD" w14:paraId="08C5C705" w14:textId="77777777" w:rsidTr="00294491">
        <w:trPr>
          <w:trHeight w:hRule="exact" w:val="990"/>
        </w:trPr>
        <w:tc>
          <w:tcPr>
            <w:tcW w:w="3011" w:type="dxa"/>
          </w:tcPr>
          <w:p w14:paraId="1FF37F40" w14:textId="77777777" w:rsidR="00294491" w:rsidRPr="00795E7B" w:rsidRDefault="00294491" w:rsidP="006C3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Normalizovaná tabula</w:t>
            </w:r>
            <w:r w:rsidRPr="00294491">
              <w:rPr>
                <w:rFonts w:ascii="Times New Roman" w:hAnsi="Times New Roman"/>
              </w:rPr>
              <w:t xml:space="preserve"> s rozmermi 40 x 30 cm s doplňujúcimi informáciami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58DCB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 ks</w:t>
            </w:r>
          </w:p>
        </w:tc>
        <w:tc>
          <w:tcPr>
            <w:tcW w:w="1984" w:type="dxa"/>
            <w:vAlign w:val="center"/>
          </w:tcPr>
          <w:p w14:paraId="61FD92E4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8,00</w:t>
            </w:r>
          </w:p>
        </w:tc>
        <w:tc>
          <w:tcPr>
            <w:tcW w:w="2234" w:type="dxa"/>
            <w:vAlign w:val="center"/>
          </w:tcPr>
          <w:p w14:paraId="57F90F1E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,00</w:t>
            </w:r>
          </w:p>
        </w:tc>
      </w:tr>
      <w:tr w:rsidR="00294491" w:rsidRPr="004C0FAD" w14:paraId="6463E7DF" w14:textId="77777777" w:rsidTr="00294491">
        <w:trPr>
          <w:trHeight w:hRule="exact" w:val="848"/>
        </w:trPr>
        <w:tc>
          <w:tcPr>
            <w:tcW w:w="3011" w:type="dxa"/>
          </w:tcPr>
          <w:p w14:paraId="2670CB7B" w14:textId="77777777" w:rsidR="00294491" w:rsidRPr="00795E7B" w:rsidRDefault="00294491" w:rsidP="00294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Tabula </w:t>
            </w:r>
            <w:r w:rsidRPr="00294491">
              <w:rPr>
                <w:rFonts w:ascii="Times New Roman" w:hAnsi="Times New Roman"/>
              </w:rPr>
              <w:t>s rozmermi 30 x 20 cm s grafickým z</w:t>
            </w:r>
            <w:r>
              <w:rPr>
                <w:rFonts w:ascii="Times New Roman" w:hAnsi="Times New Roman"/>
              </w:rPr>
              <w:t>názornením zakázaných činnosti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AFE28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2 ks</w:t>
            </w:r>
          </w:p>
        </w:tc>
        <w:tc>
          <w:tcPr>
            <w:tcW w:w="1984" w:type="dxa"/>
            <w:vAlign w:val="center"/>
          </w:tcPr>
          <w:p w14:paraId="02352185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5,00</w:t>
            </w:r>
          </w:p>
        </w:tc>
        <w:tc>
          <w:tcPr>
            <w:tcW w:w="2234" w:type="dxa"/>
            <w:vAlign w:val="center"/>
          </w:tcPr>
          <w:p w14:paraId="4B53AEC0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10,00</w:t>
            </w:r>
          </w:p>
        </w:tc>
      </w:tr>
      <w:tr w:rsidR="00294491" w:rsidRPr="004C0FAD" w14:paraId="4DA0CD75" w14:textId="77777777" w:rsidTr="00E04514">
        <w:trPr>
          <w:trHeight w:val="430"/>
        </w:trPr>
        <w:tc>
          <w:tcPr>
            <w:tcW w:w="3011" w:type="dxa"/>
            <w:shd w:val="clear" w:color="auto" w:fill="auto"/>
          </w:tcPr>
          <w:p w14:paraId="67C34AF9" w14:textId="77777777" w:rsidR="00294491" w:rsidRPr="00795E7B" w:rsidRDefault="00294491" w:rsidP="006C3341">
            <w:pPr>
              <w:rPr>
                <w:rFonts w:ascii="Times New Roman" w:hAnsi="Times New Roman"/>
                <w:b/>
              </w:rPr>
            </w:pPr>
            <w:r w:rsidRPr="00795E7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4A20210D" w14:textId="77777777" w:rsidR="00294491" w:rsidRPr="005E5159" w:rsidRDefault="00294491" w:rsidP="006C3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28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6</w:t>
            </w:r>
          </w:p>
        </w:tc>
      </w:tr>
    </w:tbl>
    <w:p w14:paraId="2CF6E443" w14:textId="77777777" w:rsidR="00BC5802" w:rsidRDefault="00BC5802" w:rsidP="00294491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169FA141" w14:textId="77777777" w:rsidR="00BC5802" w:rsidRDefault="00BC5802" w:rsidP="00294491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04F9F5F6" w14:textId="77777777" w:rsidR="00294491" w:rsidRDefault="00294491" w:rsidP="00294491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377B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E04514">
        <w:rPr>
          <w:rFonts w:ascii="Times New Roman" w:eastAsia="Times New Roman" w:hAnsi="Times New Roman"/>
          <w:sz w:val="24"/>
          <w:szCs w:val="20"/>
          <w:lang w:eastAsia="sk-SK"/>
        </w:rPr>
        <w:t>5</w:t>
      </w:r>
      <w:bookmarkStart w:id="1" w:name="_GoBack"/>
      <w:bookmarkEnd w:id="1"/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294491" w:rsidRPr="004C0FAD" w14:paraId="6D834638" w14:textId="77777777" w:rsidTr="006C3341">
        <w:trPr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5D8C74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E1E674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52BF57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294491" w:rsidRPr="004C0FAD" w14:paraId="3AA95EE5" w14:textId="77777777" w:rsidTr="006C3341">
        <w:trPr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579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23C8C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DA9B1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7C938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356C07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 202</w:t>
            </w:r>
            <w:r w:rsidR="00E04514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04A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 w:rsidR="00294491" w:rsidRPr="004C0FAD" w14:paraId="7F49F1B7" w14:textId="77777777" w:rsidTr="006C3341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0E2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B1D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405F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705A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FF7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E539A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15124EC6" w14:textId="77777777" w:rsidTr="006C3341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137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F0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C60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0E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F4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1C653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09F4573D" w14:textId="77777777" w:rsidTr="006C3341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5A1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C81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014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D71C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2309A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F5F36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1BBA1125" w14:textId="77777777" w:rsidTr="00E04514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09C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0C6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BAE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3B2E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2DDA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FCB62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4F1772CC" w14:textId="77777777" w:rsidTr="00E04514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82B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AE4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07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0824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2ED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8955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3494DFC2" w14:textId="77777777" w:rsidTr="006C3341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9BD74C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9F5A9F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6461B4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04E500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1E3B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11A2F4A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4E58DFF4" w14:textId="77777777" w:rsidR="00294491" w:rsidRPr="00513BC5" w:rsidRDefault="00294491" w:rsidP="00294491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294829C" w14:textId="77777777" w:rsidR="00294491" w:rsidRDefault="00294491" w:rsidP="00294491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 xml:space="preserve">Poznámka: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.</w:t>
      </w:r>
    </w:p>
    <w:p w14:paraId="566374E2" w14:textId="77777777" w:rsidR="00294491" w:rsidRDefault="00294491" w:rsidP="00294491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14:paraId="4087F69E" w14:textId="77777777" w:rsidR="00294491" w:rsidRDefault="00FB4539" w:rsidP="0029449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 xml:space="preserve">Tabuľka č. </w:t>
      </w:r>
      <w:r w:rsidR="00E04514">
        <w:rPr>
          <w:rFonts w:ascii="Times New Roman" w:eastAsia="Times New Roman" w:hAnsi="Times New Roman"/>
          <w:bCs/>
          <w:sz w:val="24"/>
          <w:szCs w:val="20"/>
          <w:lang w:eastAsia="sk-SK"/>
        </w:rPr>
        <w:t>6</w:t>
      </w:r>
    </w:p>
    <w:tbl>
      <w:tblPr>
        <w:tblpPr w:leftFromText="141" w:rightFromText="141" w:vertAnchor="text" w:horzAnchor="margin" w:tblpY="6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1240"/>
        <w:gridCol w:w="1020"/>
        <w:gridCol w:w="1020"/>
        <w:gridCol w:w="1021"/>
        <w:gridCol w:w="1207"/>
      </w:tblGrid>
      <w:tr w:rsidR="00294491" w:rsidRPr="004C0FAD" w14:paraId="3F0854D1" w14:textId="77777777" w:rsidTr="006C3341">
        <w:trPr>
          <w:trHeight w:val="28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B0CD02F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B6B2B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6B577D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94491" w:rsidRPr="004C0FAD" w14:paraId="02618522" w14:textId="77777777" w:rsidTr="006C3341">
        <w:trPr>
          <w:trHeight w:val="2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A99D0" w14:textId="77777777" w:rsidR="00294491" w:rsidRPr="000C7AE0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DB89C4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410FCE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07FF05" w14:textId="77777777" w:rsidR="00294491" w:rsidRPr="000C7AE0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202</w:t>
            </w:r>
            <w:r w:rsidR="00E04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CF2A99" w14:textId="77777777" w:rsidR="00294491" w:rsidRPr="000C7AE0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045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09DF" w14:textId="77777777" w:rsidR="00294491" w:rsidRPr="000C7AE0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94491" w:rsidRPr="004C0FAD" w14:paraId="7D2251C8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A03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ABEE" w14:textId="77777777" w:rsidR="00294491" w:rsidRPr="002F3A43" w:rsidRDefault="0049383B" w:rsidP="0060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/>
                <w:bCs/>
                <w:lang w:eastAsia="sk-SK"/>
              </w:rPr>
              <w:t>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972A" w14:textId="77777777" w:rsidR="00294491" w:rsidRPr="002F3A43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1 374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E798" w14:textId="77777777" w:rsidR="00294491" w:rsidRPr="002F3A43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3 874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9B0C" w14:textId="77777777" w:rsidR="00294491" w:rsidRPr="002F3A43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1D342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22D15F16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873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F1BE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E82E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049B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6442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7096D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6F99C782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337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BC5FA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B800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A9F9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845B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B29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6BE17D96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A8D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EBD1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8FDB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CA15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557B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51EF5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48075A87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280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  <w:p w14:paraId="26818EA1" w14:textId="77777777" w:rsidR="00294491" w:rsidRPr="002F3A43" w:rsidRDefault="0049383B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 toho </w:t>
            </w:r>
            <w:r w:rsidR="00294491" w:rsidRPr="002F3A43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8011" w14:textId="77777777" w:rsidR="00294491" w:rsidRPr="0049383B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/>
                <w:lang w:eastAsia="sk-SK"/>
              </w:rPr>
              <w:t>660</w:t>
            </w:r>
          </w:p>
          <w:p w14:paraId="45C2F440" w14:textId="77777777" w:rsidR="0049383B" w:rsidRPr="002F3A43" w:rsidRDefault="0049383B" w:rsidP="0060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 xml:space="preserve">8 </w:t>
            </w:r>
            <w:r w:rsidR="006079BC">
              <w:rPr>
                <w:rFonts w:ascii="Times New Roman" w:eastAsia="Times New Roman" w:hAnsi="Times New Roman"/>
                <w:bCs/>
                <w:lang w:eastAsia="sk-SK"/>
              </w:rPr>
              <w:t>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208D" w14:textId="77777777" w:rsidR="00294491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1 374</w:t>
            </w:r>
          </w:p>
          <w:p w14:paraId="08EAB13E" w14:textId="77777777" w:rsidR="0049383B" w:rsidRPr="0049383B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49383B">
              <w:rPr>
                <w:rFonts w:ascii="Times New Roman" w:eastAsia="Times New Roman" w:hAnsi="Times New Roman"/>
                <w:bCs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Pr="0049383B">
              <w:rPr>
                <w:rFonts w:ascii="Times New Roman" w:eastAsia="Times New Roman" w:hAnsi="Times New Roman"/>
                <w:bCs/>
                <w:lang w:eastAsia="sk-SK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6035" w14:textId="77777777" w:rsidR="00294491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3 874</w:t>
            </w:r>
          </w:p>
          <w:p w14:paraId="0CDD8C13" w14:textId="77777777" w:rsidR="0049383B" w:rsidRPr="0049383B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49383B">
              <w:rPr>
                <w:rFonts w:ascii="Times New Roman" w:eastAsia="Times New Roman" w:hAnsi="Times New Roman"/>
                <w:bCs/>
                <w:lang w:eastAsia="sk-SK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sk-SK"/>
              </w:rPr>
              <w:t xml:space="preserve"> </w:t>
            </w:r>
            <w:r w:rsidRPr="0049383B">
              <w:rPr>
                <w:rFonts w:ascii="Times New Roman" w:eastAsia="Times New Roman" w:hAnsi="Times New Roman"/>
                <w:bCs/>
                <w:lang w:eastAsia="sk-SK"/>
              </w:rPr>
              <w:t>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7EEF" w14:textId="77777777" w:rsidR="00294491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49383B">
              <w:rPr>
                <w:rFonts w:ascii="Times New Roman" w:eastAsia="Times New Roman" w:hAnsi="Times New Roman"/>
                <w:b/>
                <w:lang w:eastAsia="sk-SK"/>
              </w:rPr>
              <w:t>174</w:t>
            </w:r>
          </w:p>
          <w:p w14:paraId="60395BFB" w14:textId="77777777" w:rsidR="0049383B" w:rsidRPr="0049383B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49383B">
              <w:rPr>
                <w:rFonts w:ascii="Times New Roman" w:eastAsia="Times New Roman" w:hAnsi="Times New Roman"/>
                <w:bCs/>
                <w:lang w:eastAsia="sk-SK"/>
              </w:rPr>
              <w:t>174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9F20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294491" w:rsidRPr="004C0FAD" w14:paraId="01B43F7B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6F5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2F3A43">
              <w:t xml:space="preserve"> </w:t>
            </w:r>
            <w:r w:rsidRPr="002F3A43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7DA6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F836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FE39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80F7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4364E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294491" w:rsidRPr="004C0FAD" w14:paraId="713AD4EE" w14:textId="77777777" w:rsidTr="006C3341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FCC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EF535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B29E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325C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EEE88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19B97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684BD3E7" w14:textId="77777777" w:rsidTr="006C334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002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F2D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453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255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C3A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75C47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10817200" w14:textId="77777777" w:rsidTr="006C334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307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A2C7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280F7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A40F3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A6D1E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8CC47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5A96715F" w14:textId="77777777" w:rsidTr="00745E4F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1F0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F6E8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1080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DFC2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E679" w14:textId="77777777" w:rsidR="00294491" w:rsidRPr="002F3A43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7975C" w14:textId="77777777" w:rsidR="00294491" w:rsidRPr="002F3A43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294491" w:rsidRPr="004C0FAD" w14:paraId="67CB3076" w14:textId="77777777" w:rsidTr="006C3341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883841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E30148" w14:textId="77777777" w:rsidR="0049383B" w:rsidRPr="0049383B" w:rsidRDefault="0049383B" w:rsidP="0049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8 </w:t>
            </w:r>
            <w:r w:rsidR="006079BC">
              <w:rPr>
                <w:rFonts w:ascii="Times New Roman" w:eastAsia="Times New Roman" w:hAnsi="Times New Roman"/>
                <w:b/>
                <w:lang w:eastAsia="sk-SK"/>
              </w:rPr>
              <w:t>660</w:t>
            </w:r>
          </w:p>
          <w:p w14:paraId="2BB5280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CDA4EE" w14:textId="77777777" w:rsidR="0049383B" w:rsidRDefault="0049383B" w:rsidP="0049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1 374</w:t>
            </w:r>
          </w:p>
          <w:p w14:paraId="6F3D191F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F9B23A" w14:textId="77777777" w:rsidR="0049383B" w:rsidRDefault="0049383B" w:rsidP="0049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3 874</w:t>
            </w:r>
          </w:p>
          <w:p w14:paraId="27370734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1C2F36" w14:textId="77777777" w:rsidR="00294491" w:rsidRPr="005E5159" w:rsidRDefault="0049383B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174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54BCB83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790F10D4" w14:textId="77777777" w:rsidR="00294491" w:rsidRPr="007D5748" w:rsidRDefault="00294491" w:rsidP="0029449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52059FC8" w14:textId="77777777" w:rsidR="00294491" w:rsidRPr="005E5159" w:rsidRDefault="00294491" w:rsidP="0029449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lastRenderedPageBreak/>
        <w:t xml:space="preserve">Poznámka: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14:paraId="3CCFA4C8" w14:textId="77777777" w:rsidR="00294491" w:rsidRDefault="00294491" w:rsidP="00294491"/>
    <w:p w14:paraId="04F1606E" w14:textId="77777777" w:rsidR="00294491" w:rsidRPr="0032377B" w:rsidRDefault="00294491" w:rsidP="00294491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7A1D38">
        <w:rPr>
          <w:rFonts w:ascii="Times New Roman" w:eastAsia="Times New Roman" w:hAnsi="Times New Roman"/>
          <w:b w:val="0"/>
          <w:sz w:val="24"/>
          <w:lang w:eastAsia="sk-SK"/>
        </w:rPr>
        <w:t>7</w:t>
      </w: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654"/>
        <w:gridCol w:w="682"/>
        <w:gridCol w:w="701"/>
        <w:gridCol w:w="769"/>
        <w:gridCol w:w="1207"/>
      </w:tblGrid>
      <w:tr w:rsidR="00294491" w:rsidRPr="004C0FAD" w14:paraId="2821F092" w14:textId="77777777" w:rsidTr="006C3341">
        <w:trPr>
          <w:trHeight w:val="19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0D124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83487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7F13A7" w14:textId="77777777" w:rsidR="00294491" w:rsidRPr="007D5748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94491" w:rsidRPr="004C0FAD" w14:paraId="51D4D2EE" w14:textId="77777777" w:rsidTr="006C3341">
        <w:trPr>
          <w:trHeight w:val="19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16D107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5DD807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7A1D38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35604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7A1D38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BA840B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7A1D38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685915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7A1D38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2E7895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94491" w:rsidRPr="004C0FAD" w14:paraId="34558B92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664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A3AE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0CAC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00C0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63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5898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36ABC67B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D66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8585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18C65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DE87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A0BC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F0EE9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94491" w:rsidRPr="004C0FAD" w14:paraId="3C5DB1D9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B3F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4336E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BA0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B227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5559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05586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3A8D9823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633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E09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520F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F708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AA12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46F46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19C8F8C1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124A08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AF1483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B2A5E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927CB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C80386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63C139C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43F7E3FC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69D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98F35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CCDB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AB6EA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022E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86A03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5F546852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DCC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F705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3F3B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267B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C00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488E3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6537B956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54B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2079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C72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9080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BA8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FBFA3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94491" w:rsidRPr="004C0FAD" w14:paraId="6A793EDD" w14:textId="77777777" w:rsidTr="006C3341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261" w14:textId="77777777" w:rsidR="00294491" w:rsidRPr="005E5159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C98F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8673D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6568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7FCE1" w14:textId="77777777" w:rsidR="00294491" w:rsidRPr="005E5159" w:rsidRDefault="00294491" w:rsidP="006C3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231F" w14:textId="77777777" w:rsidR="00294491" w:rsidRPr="007D5748" w:rsidRDefault="00294491" w:rsidP="006C3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86DA5FC" w14:textId="77777777" w:rsidR="00294491" w:rsidRPr="005476F0" w:rsidRDefault="00294491" w:rsidP="00294491"/>
    <w:p w14:paraId="31859E7F" w14:textId="77777777" w:rsidR="00CB3623" w:rsidRPr="005476F0" w:rsidRDefault="00CB3623" w:rsidP="00294491">
      <w:pPr>
        <w:spacing w:before="120" w:after="120" w:line="240" w:lineRule="auto"/>
        <w:ind w:firstLine="680"/>
        <w:jc w:val="both"/>
      </w:pPr>
    </w:p>
    <w:sectPr w:rsidR="00CB3623" w:rsidRPr="005476F0" w:rsidSect="003A6C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A091" w14:textId="77777777" w:rsidR="00B91CBF" w:rsidRDefault="00B91CBF">
      <w:pPr>
        <w:spacing w:after="0" w:line="240" w:lineRule="auto"/>
      </w:pPr>
      <w:r>
        <w:separator/>
      </w:r>
    </w:p>
  </w:endnote>
  <w:endnote w:type="continuationSeparator" w:id="0">
    <w:p w14:paraId="711B54A4" w14:textId="77777777" w:rsidR="00B91CBF" w:rsidRDefault="00B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9A9" w14:textId="77777777"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14:paraId="37D375FA" w14:textId="77777777"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B7D5" w14:textId="5901FF1F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317CC2">
      <w:rPr>
        <w:noProof/>
      </w:rPr>
      <w:t>6</w:t>
    </w:r>
    <w:r>
      <w:fldChar w:fldCharType="end"/>
    </w:r>
  </w:p>
  <w:p w14:paraId="4232277E" w14:textId="77777777"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A4A6" w14:textId="77777777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14:paraId="174849BA" w14:textId="77777777"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F6B4" w14:textId="77777777" w:rsidR="00B91CBF" w:rsidRDefault="00B91CBF">
      <w:pPr>
        <w:spacing w:after="0" w:line="240" w:lineRule="auto"/>
      </w:pPr>
      <w:r>
        <w:separator/>
      </w:r>
    </w:p>
  </w:footnote>
  <w:footnote w:type="continuationSeparator" w:id="0">
    <w:p w14:paraId="17C9C50A" w14:textId="77777777" w:rsidR="00B91CBF" w:rsidRDefault="00B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D587" w14:textId="77777777"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CEB6732" w14:textId="77777777"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E2E7" w14:textId="77777777"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D0ED" w14:textId="77777777"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E08"/>
    <w:multiLevelType w:val="multilevel"/>
    <w:tmpl w:val="A4A0FC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4D45"/>
    <w:rsid w:val="0002505B"/>
    <w:rsid w:val="00030ABF"/>
    <w:rsid w:val="00035350"/>
    <w:rsid w:val="00035EB6"/>
    <w:rsid w:val="00044416"/>
    <w:rsid w:val="0005259D"/>
    <w:rsid w:val="000556A2"/>
    <w:rsid w:val="00057135"/>
    <w:rsid w:val="000672C9"/>
    <w:rsid w:val="00076DEC"/>
    <w:rsid w:val="000811FA"/>
    <w:rsid w:val="00082FA2"/>
    <w:rsid w:val="000841DB"/>
    <w:rsid w:val="0008509E"/>
    <w:rsid w:val="0009129A"/>
    <w:rsid w:val="000A3C3E"/>
    <w:rsid w:val="000A46C8"/>
    <w:rsid w:val="000A5721"/>
    <w:rsid w:val="000B31F0"/>
    <w:rsid w:val="000C7AE0"/>
    <w:rsid w:val="000D1535"/>
    <w:rsid w:val="000D7B7C"/>
    <w:rsid w:val="000F6522"/>
    <w:rsid w:val="001062D5"/>
    <w:rsid w:val="001127A8"/>
    <w:rsid w:val="00121DB0"/>
    <w:rsid w:val="001247BB"/>
    <w:rsid w:val="00140022"/>
    <w:rsid w:val="001439E9"/>
    <w:rsid w:val="001544B9"/>
    <w:rsid w:val="0016148C"/>
    <w:rsid w:val="001648B2"/>
    <w:rsid w:val="00170D2B"/>
    <w:rsid w:val="00172410"/>
    <w:rsid w:val="00172791"/>
    <w:rsid w:val="001859CF"/>
    <w:rsid w:val="001C23F3"/>
    <w:rsid w:val="001D2824"/>
    <w:rsid w:val="001D63B5"/>
    <w:rsid w:val="001E36BC"/>
    <w:rsid w:val="001F3DB5"/>
    <w:rsid w:val="001F3E9F"/>
    <w:rsid w:val="001F5DB3"/>
    <w:rsid w:val="00200898"/>
    <w:rsid w:val="00203C32"/>
    <w:rsid w:val="00212894"/>
    <w:rsid w:val="002201F8"/>
    <w:rsid w:val="002328EA"/>
    <w:rsid w:val="00233F30"/>
    <w:rsid w:val="00243DAB"/>
    <w:rsid w:val="00253EFC"/>
    <w:rsid w:val="00260D56"/>
    <w:rsid w:val="0026218B"/>
    <w:rsid w:val="00262D24"/>
    <w:rsid w:val="00294491"/>
    <w:rsid w:val="002B4025"/>
    <w:rsid w:val="002C3262"/>
    <w:rsid w:val="002C54ED"/>
    <w:rsid w:val="002C6F76"/>
    <w:rsid w:val="002D6AF1"/>
    <w:rsid w:val="002E4809"/>
    <w:rsid w:val="002F3A43"/>
    <w:rsid w:val="002F715A"/>
    <w:rsid w:val="00317B90"/>
    <w:rsid w:val="00317CC2"/>
    <w:rsid w:val="0032377B"/>
    <w:rsid w:val="00326120"/>
    <w:rsid w:val="0034417A"/>
    <w:rsid w:val="00354BFA"/>
    <w:rsid w:val="00357988"/>
    <w:rsid w:val="0036754E"/>
    <w:rsid w:val="003A6CC9"/>
    <w:rsid w:val="003B2780"/>
    <w:rsid w:val="003B516D"/>
    <w:rsid w:val="003B7F7C"/>
    <w:rsid w:val="003C4F41"/>
    <w:rsid w:val="003D0513"/>
    <w:rsid w:val="003F0045"/>
    <w:rsid w:val="003F13FE"/>
    <w:rsid w:val="0043020B"/>
    <w:rsid w:val="00447CD6"/>
    <w:rsid w:val="00456A1C"/>
    <w:rsid w:val="004604E7"/>
    <w:rsid w:val="0047552B"/>
    <w:rsid w:val="00484A45"/>
    <w:rsid w:val="00487203"/>
    <w:rsid w:val="0049383B"/>
    <w:rsid w:val="004A5A77"/>
    <w:rsid w:val="004B3EB0"/>
    <w:rsid w:val="004B479F"/>
    <w:rsid w:val="004C0FAD"/>
    <w:rsid w:val="004F3F95"/>
    <w:rsid w:val="004F5650"/>
    <w:rsid w:val="005005EC"/>
    <w:rsid w:val="0050465C"/>
    <w:rsid w:val="00513BC5"/>
    <w:rsid w:val="00521EC2"/>
    <w:rsid w:val="00523A61"/>
    <w:rsid w:val="00530B39"/>
    <w:rsid w:val="00542459"/>
    <w:rsid w:val="00546B82"/>
    <w:rsid w:val="005476F0"/>
    <w:rsid w:val="00551F4A"/>
    <w:rsid w:val="00552E42"/>
    <w:rsid w:val="005535C6"/>
    <w:rsid w:val="00555F7D"/>
    <w:rsid w:val="005705F3"/>
    <w:rsid w:val="00570703"/>
    <w:rsid w:val="005758A6"/>
    <w:rsid w:val="005A49F3"/>
    <w:rsid w:val="005A4C83"/>
    <w:rsid w:val="005A68E8"/>
    <w:rsid w:val="005B053F"/>
    <w:rsid w:val="005C416F"/>
    <w:rsid w:val="005E5159"/>
    <w:rsid w:val="005F3142"/>
    <w:rsid w:val="005F5390"/>
    <w:rsid w:val="0060329C"/>
    <w:rsid w:val="006079BC"/>
    <w:rsid w:val="00636139"/>
    <w:rsid w:val="00642987"/>
    <w:rsid w:val="00643DE3"/>
    <w:rsid w:val="006501F2"/>
    <w:rsid w:val="006517D3"/>
    <w:rsid w:val="00654157"/>
    <w:rsid w:val="00660F26"/>
    <w:rsid w:val="0067015A"/>
    <w:rsid w:val="0067371E"/>
    <w:rsid w:val="00691D0B"/>
    <w:rsid w:val="00693348"/>
    <w:rsid w:val="006A01A4"/>
    <w:rsid w:val="006A2793"/>
    <w:rsid w:val="006C2166"/>
    <w:rsid w:val="006C3341"/>
    <w:rsid w:val="006C423E"/>
    <w:rsid w:val="006C5056"/>
    <w:rsid w:val="006D5338"/>
    <w:rsid w:val="006D57EC"/>
    <w:rsid w:val="006D5A9D"/>
    <w:rsid w:val="006E6A71"/>
    <w:rsid w:val="00716EE3"/>
    <w:rsid w:val="00720D78"/>
    <w:rsid w:val="007246BD"/>
    <w:rsid w:val="007431D1"/>
    <w:rsid w:val="00745DF2"/>
    <w:rsid w:val="00745E4F"/>
    <w:rsid w:val="00753918"/>
    <w:rsid w:val="007719C9"/>
    <w:rsid w:val="007759AB"/>
    <w:rsid w:val="00781F34"/>
    <w:rsid w:val="00783EF9"/>
    <w:rsid w:val="007907F7"/>
    <w:rsid w:val="00795E7B"/>
    <w:rsid w:val="007A1D38"/>
    <w:rsid w:val="007B564C"/>
    <w:rsid w:val="007D411B"/>
    <w:rsid w:val="007D5748"/>
    <w:rsid w:val="00803C5A"/>
    <w:rsid w:val="00815ED4"/>
    <w:rsid w:val="00820A69"/>
    <w:rsid w:val="00823807"/>
    <w:rsid w:val="00831C0F"/>
    <w:rsid w:val="00853A20"/>
    <w:rsid w:val="00857D1D"/>
    <w:rsid w:val="00875B0B"/>
    <w:rsid w:val="008830DC"/>
    <w:rsid w:val="00897DD7"/>
    <w:rsid w:val="008B1A74"/>
    <w:rsid w:val="008C764D"/>
    <w:rsid w:val="008D339D"/>
    <w:rsid w:val="008E2736"/>
    <w:rsid w:val="008F09E8"/>
    <w:rsid w:val="0090633C"/>
    <w:rsid w:val="009078E5"/>
    <w:rsid w:val="00907EBC"/>
    <w:rsid w:val="00915BF2"/>
    <w:rsid w:val="0093759B"/>
    <w:rsid w:val="009451EF"/>
    <w:rsid w:val="00956B56"/>
    <w:rsid w:val="00957786"/>
    <w:rsid w:val="00962811"/>
    <w:rsid w:val="009706B7"/>
    <w:rsid w:val="009866BB"/>
    <w:rsid w:val="009E006F"/>
    <w:rsid w:val="009F2D89"/>
    <w:rsid w:val="00A167E4"/>
    <w:rsid w:val="00A3734A"/>
    <w:rsid w:val="00A41271"/>
    <w:rsid w:val="00A4772D"/>
    <w:rsid w:val="00A51B31"/>
    <w:rsid w:val="00A57F89"/>
    <w:rsid w:val="00A67364"/>
    <w:rsid w:val="00A8058E"/>
    <w:rsid w:val="00AA1A69"/>
    <w:rsid w:val="00AB6DE0"/>
    <w:rsid w:val="00AB7F72"/>
    <w:rsid w:val="00AC1FF3"/>
    <w:rsid w:val="00AE106A"/>
    <w:rsid w:val="00AE6F86"/>
    <w:rsid w:val="00AF3A5D"/>
    <w:rsid w:val="00B006C8"/>
    <w:rsid w:val="00B10E65"/>
    <w:rsid w:val="00B32C04"/>
    <w:rsid w:val="00B4034B"/>
    <w:rsid w:val="00B43556"/>
    <w:rsid w:val="00B5535C"/>
    <w:rsid w:val="00B61DFF"/>
    <w:rsid w:val="00B80F72"/>
    <w:rsid w:val="00B82B0D"/>
    <w:rsid w:val="00B8490E"/>
    <w:rsid w:val="00B871F4"/>
    <w:rsid w:val="00B91CBF"/>
    <w:rsid w:val="00B96100"/>
    <w:rsid w:val="00BA621F"/>
    <w:rsid w:val="00BB6B48"/>
    <w:rsid w:val="00BC5802"/>
    <w:rsid w:val="00C01087"/>
    <w:rsid w:val="00C10C77"/>
    <w:rsid w:val="00C11417"/>
    <w:rsid w:val="00C13899"/>
    <w:rsid w:val="00C15212"/>
    <w:rsid w:val="00C1568E"/>
    <w:rsid w:val="00C168C6"/>
    <w:rsid w:val="00C27852"/>
    <w:rsid w:val="00C32392"/>
    <w:rsid w:val="00C4175A"/>
    <w:rsid w:val="00C51FD4"/>
    <w:rsid w:val="00C81696"/>
    <w:rsid w:val="00C92829"/>
    <w:rsid w:val="00CA03F8"/>
    <w:rsid w:val="00CB0849"/>
    <w:rsid w:val="00CB3623"/>
    <w:rsid w:val="00CC67E5"/>
    <w:rsid w:val="00CD1373"/>
    <w:rsid w:val="00CD2DA5"/>
    <w:rsid w:val="00CD407F"/>
    <w:rsid w:val="00CE1E30"/>
    <w:rsid w:val="00CE299A"/>
    <w:rsid w:val="00CF21EA"/>
    <w:rsid w:val="00D0446D"/>
    <w:rsid w:val="00D13C0E"/>
    <w:rsid w:val="00D23489"/>
    <w:rsid w:val="00D65D0F"/>
    <w:rsid w:val="00D82BCF"/>
    <w:rsid w:val="00DE5BF1"/>
    <w:rsid w:val="00DE6330"/>
    <w:rsid w:val="00E04514"/>
    <w:rsid w:val="00E07CE9"/>
    <w:rsid w:val="00E117BC"/>
    <w:rsid w:val="00E12A12"/>
    <w:rsid w:val="00E2791E"/>
    <w:rsid w:val="00E4327E"/>
    <w:rsid w:val="00E562A4"/>
    <w:rsid w:val="00E60A6F"/>
    <w:rsid w:val="00E632FD"/>
    <w:rsid w:val="00E71B98"/>
    <w:rsid w:val="00E83744"/>
    <w:rsid w:val="00E84681"/>
    <w:rsid w:val="00E91AB2"/>
    <w:rsid w:val="00E955DC"/>
    <w:rsid w:val="00E963A3"/>
    <w:rsid w:val="00E97594"/>
    <w:rsid w:val="00EA1E90"/>
    <w:rsid w:val="00EB1176"/>
    <w:rsid w:val="00EB333E"/>
    <w:rsid w:val="00EC0F1F"/>
    <w:rsid w:val="00EC10F3"/>
    <w:rsid w:val="00EC2C4B"/>
    <w:rsid w:val="00ED12BA"/>
    <w:rsid w:val="00ED5189"/>
    <w:rsid w:val="00EE23F8"/>
    <w:rsid w:val="00EE780D"/>
    <w:rsid w:val="00EE7D8D"/>
    <w:rsid w:val="00EF3707"/>
    <w:rsid w:val="00F1501E"/>
    <w:rsid w:val="00F23726"/>
    <w:rsid w:val="00F40136"/>
    <w:rsid w:val="00F652E7"/>
    <w:rsid w:val="00F669EB"/>
    <w:rsid w:val="00F71A28"/>
    <w:rsid w:val="00F9589A"/>
    <w:rsid w:val="00FA12F0"/>
    <w:rsid w:val="00FA607F"/>
    <w:rsid w:val="00FB4539"/>
    <w:rsid w:val="00FB48D1"/>
    <w:rsid w:val="00FB5BD1"/>
    <w:rsid w:val="00FD3AEE"/>
    <w:rsid w:val="00FD66BB"/>
    <w:rsid w:val="00FE23E4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5B23"/>
  <w15:chartTrackingRefBased/>
  <w15:docId w15:val="{AE86E255-C726-45E9-A29E-36E0F10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2791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  <w:style w:type="character" w:customStyle="1" w:styleId="Nadpis2Char">
    <w:name w:val="Nadpis 2 Char"/>
    <w:link w:val="Nadpis2"/>
    <w:rsid w:val="00E2791E"/>
    <w:rPr>
      <w:rFonts w:ascii="Arial" w:eastAsia="Times New Roman" w:hAnsi="Arial" w:cs="Arial"/>
      <w:b/>
      <w:bCs/>
      <w:sz w:val="24"/>
      <w:szCs w:val="22"/>
      <w:lang w:eastAsia="cs-CZ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2791E"/>
    <w:pPr>
      <w:ind w:left="220" w:hanging="220"/>
    </w:pPr>
  </w:style>
  <w:style w:type="paragraph" w:styleId="Nadpisregistra">
    <w:name w:val="index heading"/>
    <w:basedOn w:val="Normlny"/>
    <w:next w:val="Register1"/>
    <w:semiHidden/>
    <w:rsid w:val="00E279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WW-Zkladntext2">
    <w:name w:val="WW-Základní text 2"/>
    <w:basedOn w:val="Normlny"/>
    <w:rsid w:val="00962811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A51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a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olozka_rozpocet_Brezove-(1)"/>
    <f:field ref="objsubject" par="" edit="true" text=""/>
    <f:field ref="objcreatedby" par="" text="Lojková, Silvia, JUDr."/>
    <f:field ref="objcreatedat" par="" text="19.5.2021 20:12:56"/>
    <f:field ref="objchangedby" par="" text="Administrator, System"/>
    <f:field ref="objmodifiedat" par="" text="19.5.2021 20:12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1C1C3F-F08B-4572-9A73-5DFE02DF8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D081B6-DA78-4D56-846D-A3BE335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11458</CharactersWithSpaces>
  <SharedDoc>false</SharedDoc>
  <HLinks>
    <vt:vector size="6" baseType="variant"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http://www.apa.sk/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2021-03-31T12:31:00Z</cp:lastPrinted>
  <dcterms:created xsi:type="dcterms:W3CDTF">2021-06-16T15:29:00Z</dcterms:created>
  <dcterms:modified xsi:type="dcterms:W3CDTF">2021-06-16T15:29:00Z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COO.2145.1000.3.4369611</vt:lpwstr>
  </property>
  <property fmtid="{D5CDD505-2E9C-101B-9397-08002B2CF9AE}" pid="152" name="FSC#FSCFOLIO@1.1001:docpropproject">
    <vt:lpwstr/>
  </property>
</Properties>
</file>