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13C819D6" w14:textId="1FC83D57" w:rsidR="00054C41" w:rsidRDefault="00F04B2C" w:rsidP="00142154">
            <w:pPr>
              <w:jc w:val="center"/>
              <w:rPr>
                <w:rFonts w:ascii="Times New Roman" w:eastAsia="Calibri" w:hAnsi="Times New Roman" w:cs="Times New Roman"/>
                <w:i/>
                <w:sz w:val="20"/>
              </w:rPr>
            </w:pPr>
            <w:r>
              <w:rPr>
                <w:rFonts w:ascii="Times New Roman" w:eastAsia="Calibri" w:hAnsi="Times New Roman" w:cs="Times New Roman"/>
                <w:i/>
                <w:sz w:val="20"/>
              </w:rPr>
              <w:t xml:space="preserve">Správny </w:t>
            </w:r>
            <w:r w:rsidR="00E50F7F">
              <w:rPr>
                <w:rFonts w:ascii="Times New Roman" w:eastAsia="Calibri" w:hAnsi="Times New Roman" w:cs="Times New Roman"/>
                <w:i/>
                <w:sz w:val="20"/>
              </w:rPr>
              <w:t>poplatok za zápis do zoznamu odborných</w:t>
            </w:r>
            <w:r>
              <w:rPr>
                <w:rFonts w:ascii="Times New Roman" w:eastAsia="Calibri" w:hAnsi="Times New Roman" w:cs="Times New Roman"/>
                <w:i/>
                <w:sz w:val="20"/>
              </w:rPr>
              <w:t xml:space="preserve"> garantov 66 EUR/garant – jednorazový poplatok</w:t>
            </w:r>
          </w:p>
          <w:p w14:paraId="068F1CD9" w14:textId="77777777" w:rsidR="00F04B2C" w:rsidRDefault="00F04B2C" w:rsidP="00142154">
            <w:pPr>
              <w:jc w:val="center"/>
              <w:rPr>
                <w:rFonts w:ascii="Times New Roman" w:eastAsia="Calibri" w:hAnsi="Times New Roman" w:cs="Times New Roman"/>
                <w:i/>
                <w:sz w:val="20"/>
              </w:rPr>
            </w:pPr>
          </w:p>
          <w:p w14:paraId="7437C4A3" w14:textId="32A9597B" w:rsidR="00F04B2C" w:rsidRPr="00895898" w:rsidRDefault="00F04B2C" w:rsidP="00142154">
            <w:pPr>
              <w:jc w:val="center"/>
              <w:rPr>
                <w:rFonts w:ascii="Times New Roman" w:eastAsia="Calibri" w:hAnsi="Times New Roman" w:cs="Times New Roman"/>
                <w:i/>
                <w:sz w:val="20"/>
              </w:rPr>
            </w:pPr>
            <w:r>
              <w:rPr>
                <w:rFonts w:ascii="Times New Roman" w:eastAsia="Calibri" w:hAnsi="Times New Roman" w:cs="Times New Roman"/>
                <w:i/>
                <w:sz w:val="20"/>
              </w:rPr>
              <w:t xml:space="preserve">Poistenie zodpovednosti za škodu (na základe požiadavky verejného obstarávateľa)– </w:t>
            </w:r>
            <w:r w:rsidR="009243AB" w:rsidRPr="009243AB">
              <w:rPr>
                <w:rFonts w:ascii="Times New Roman" w:eastAsia="Calibri" w:hAnsi="Times New Roman" w:cs="Times New Roman"/>
                <w:i/>
                <w:sz w:val="20"/>
              </w:rPr>
              <w:t>od cca 50 EUR</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7C00F1A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F11188">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2B199DCC" w:rsidR="00054C41" w:rsidRPr="00895898" w:rsidRDefault="00EE79A3" w:rsidP="00142154">
            <w:pPr>
              <w:jc w:val="center"/>
              <w:rPr>
                <w:rFonts w:ascii="Times New Roman" w:eastAsia="Calibri" w:hAnsi="Times New Roman" w:cs="Times New Roman"/>
                <w:b/>
                <w:i/>
                <w:sz w:val="20"/>
              </w:rPr>
            </w:pPr>
            <w:r>
              <w:rPr>
                <w:rFonts w:ascii="Times New Roman" w:eastAsia="Calibri" w:hAnsi="Times New Roman" w:cs="Times New Roman"/>
                <w:i/>
                <w:sz w:val="20"/>
              </w:rPr>
              <w:t>N/A</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432B45A2" w:rsidR="00054C41" w:rsidRPr="00895898" w:rsidRDefault="006501B4"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66 EUR/garant</w:t>
            </w:r>
          </w:p>
        </w:tc>
        <w:tc>
          <w:tcPr>
            <w:tcW w:w="2693" w:type="dxa"/>
            <w:shd w:val="clear" w:color="auto" w:fill="92D050"/>
          </w:tcPr>
          <w:p w14:paraId="254E8359" w14:textId="7392873E" w:rsidR="00054C41" w:rsidRPr="00895898" w:rsidRDefault="001D6CFD"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N/A</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2A7363A7" w:rsidR="00054C41" w:rsidRDefault="006501B4" w:rsidP="00054C41">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Uvedená zákonná úprava inštitútu odborných garantov bude mať vplyv na kvalitu a otvorenosť verejných obstarávaní a tým aj priamy vplyv na lepší prístup MSP k verejným obstarávaniam  </w:t>
      </w:r>
    </w:p>
    <w:p w14:paraId="27C2B5DE" w14:textId="3F60C8F5" w:rsidR="006501B4" w:rsidRPr="001D6CFD" w:rsidRDefault="001D6CFD" w:rsidP="001D6CFD">
      <w:pPr>
        <w:pStyle w:val="BodyText"/>
        <w:spacing w:afterLines="20" w:after="48"/>
        <w:ind w:left="0" w:right="112"/>
        <w:rPr>
          <w:bCs/>
          <w:sz w:val="22"/>
          <w:szCs w:val="22"/>
        </w:rPr>
        <w:sectPr w:rsidR="006501B4" w:rsidRPr="001D6CFD" w:rsidSect="00142154">
          <w:headerReference w:type="default" r:id="rId10"/>
          <w:footerReference w:type="default" r:id="rId11"/>
          <w:pgSz w:w="11906" w:h="16838"/>
          <w:pgMar w:top="993" w:right="1417" w:bottom="1417" w:left="1417" w:header="708" w:footer="708" w:gutter="0"/>
          <w:pgNumType w:start="1"/>
          <w:cols w:space="708"/>
          <w:docGrid w:linePitch="360"/>
        </w:sectPr>
      </w:pPr>
      <w:r>
        <w:rPr>
          <w:rFonts w:eastAsia="Calibri"/>
        </w:rPr>
        <w:t xml:space="preserve">- Nová úprava § 8 ZVO - </w:t>
      </w:r>
      <w:r w:rsidRPr="00CA7402">
        <w:rPr>
          <w:rFonts w:eastAsia="Calibri"/>
        </w:rPr>
        <w:t xml:space="preserve">cieľom navrhovanej úpravy je v prípade tzv. dotovaných subjektov odstrániť tzv. národný goldplating a zosúladiť legislatívnu úpravu s úpravou čl. 13 smernice Európskeho parlamentu a Rady 2014/24/EÚ o verejnom obstarávaní a o zrušení smernice 2004/18/ES (ďalej len smernica 2014/24/EÚ). Navrhovaná úprava reflektujúc čl. 13 smernice 2014/24/EÚ vymedzuje dotovaným subjektom povinnosť postupovať podľa pravidiel </w:t>
      </w:r>
      <w:r w:rsidRPr="00CA7402">
        <w:rPr>
          <w:rFonts w:eastAsia="Calibri"/>
        </w:rPr>
        <w:lastRenderedPageBreak/>
        <w:t xml:space="preserve">verejného obstarávania len v prípade nadlimitných zákaziek a len stavebných prác a služieb s nimi súvisiacimi. Navrhovanou úpravou sa významné uvoľňujú pravidlá verejného obstarávania pre podnikateľské subjekty,  ktoré získali na  realizáciu  svojej  podnikateľskej  činnosti  dotáciu, v dôsledku čoho sa rovnako tieto subjekty v zásadnej miere odbremeňujú od výkonu dohľadu nad verejným obstarávaním zo strany úradu. Je však potrebné akcentovať, že vynakladanie verejných zdrojov prostredníctvom dotačných schém adresovaných podnikateľským subjektom bude aj naďalej podliehať iným pravidlám (napr. pravidlá štátnej pomoci) a taktiež budú pod dohľadom iných kontrolných mechanizmov a kontrolných inštitúcií, ako napr. Najvyšší kontrolný úrad, alebo orgánov činných v trestnom konaní. </w:t>
      </w:r>
      <w:r>
        <w:rPr>
          <w:rFonts w:eastAsia="Calibri"/>
        </w:rPr>
        <w:t>V</w:t>
      </w:r>
      <w:r w:rsidR="006501B4">
        <w:rPr>
          <w:rFonts w:eastAsia="Calibri"/>
        </w:rPr>
        <w:t> roku 2020 aktívne realizovalo postupy nadlimitného a podlimitného verejného obstarávania</w:t>
      </w:r>
      <w:r w:rsidR="005117BA">
        <w:rPr>
          <w:rFonts w:eastAsia="Calibri"/>
        </w:rPr>
        <w:t>, resp. zákaziek s nízkou hodnotou</w:t>
      </w:r>
      <w:r w:rsidR="006501B4">
        <w:rPr>
          <w:rFonts w:eastAsia="Calibri"/>
        </w:rPr>
        <w:t xml:space="preserve"> 709 subjektov podľa §8 zákona</w:t>
      </w:r>
      <w:r>
        <w:rPr>
          <w:rFonts w:eastAsia="Calibri"/>
        </w:rPr>
        <w:t>.</w:t>
      </w: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2679"/>
        <w:gridCol w:w="962"/>
        <w:gridCol w:w="1151"/>
        <w:gridCol w:w="1246"/>
        <w:gridCol w:w="934"/>
        <w:gridCol w:w="1316"/>
        <w:gridCol w:w="1490"/>
        <w:gridCol w:w="1346"/>
        <w:gridCol w:w="1129"/>
        <w:gridCol w:w="1129"/>
        <w:gridCol w:w="1001"/>
      </w:tblGrid>
      <w:tr w:rsidR="00441A99"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441A99"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4A32756" w14:textId="77777777" w:rsidR="00E50F7F" w:rsidRPr="00E50F7F" w:rsidRDefault="00E50F7F" w:rsidP="00E50F7F">
            <w:pPr>
              <w:spacing w:after="2" w:line="240" w:lineRule="auto"/>
              <w:jc w:val="both"/>
              <w:rPr>
                <w:rFonts w:eastAsia="Calibri"/>
              </w:rPr>
            </w:pPr>
            <w:r w:rsidRPr="00E50F7F">
              <w:rPr>
                <w:rFonts w:eastAsia="Calibri"/>
              </w:rPr>
              <w:t xml:space="preserve">Prílohou žiadosti o zápis do zoznamu odborných garantov je doklad o zaplatení správneho poplatku. </w:t>
            </w:r>
          </w:p>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D94B612" w14:textId="572E1C6F" w:rsidR="00054C41" w:rsidRPr="006E7319" w:rsidRDefault="0079703E" w:rsidP="00142154">
            <w:pPr>
              <w:spacing w:after="0" w:line="240" w:lineRule="auto"/>
              <w:rPr>
                <w:rFonts w:ascii="Times New Roman" w:eastAsia="Times New Roman" w:hAnsi="Times New Roman" w:cs="Times New Roman"/>
                <w:sz w:val="20"/>
                <w:szCs w:val="20"/>
                <w:lang w:eastAsia="sk-SK"/>
              </w:rPr>
            </w:pPr>
            <w:r w:rsidRPr="006E7319">
              <w:rPr>
                <w:rFonts w:ascii="Times New Roman" w:eastAsia="Times New Roman" w:hAnsi="Times New Roman" w:cs="Times New Roman"/>
                <w:sz w:val="20"/>
                <w:szCs w:val="20"/>
                <w:lang w:eastAsia="sk-SK"/>
              </w:rPr>
              <w:t>Novelizačný bod 209 -</w:t>
            </w:r>
            <w:r w:rsidR="00E50F7F" w:rsidRPr="006E7319">
              <w:rPr>
                <w:rFonts w:ascii="Times New Roman" w:eastAsia="Times New Roman" w:hAnsi="Times New Roman" w:cs="Times New Roman"/>
                <w:sz w:val="20"/>
                <w:szCs w:val="20"/>
                <w:lang w:eastAsia="sk-SK"/>
              </w:rPr>
              <w:t>§184f ods. 2</w:t>
            </w:r>
          </w:p>
          <w:p w14:paraId="43FDAD4A" w14:textId="77777777" w:rsidR="0079703E" w:rsidRPr="006E7319" w:rsidRDefault="0079703E" w:rsidP="00142154">
            <w:pPr>
              <w:spacing w:after="0" w:line="240" w:lineRule="auto"/>
              <w:rPr>
                <w:rFonts w:ascii="Times New Roman" w:eastAsia="Times New Roman" w:hAnsi="Times New Roman" w:cs="Times New Roman"/>
                <w:sz w:val="20"/>
                <w:szCs w:val="20"/>
                <w:lang w:eastAsia="sk-SK"/>
              </w:rPr>
            </w:pPr>
          </w:p>
          <w:p w14:paraId="1B4826F8" w14:textId="48B56FC5" w:rsidR="0079703E" w:rsidRPr="00895898" w:rsidRDefault="006E7319" w:rsidP="00142154">
            <w:pPr>
              <w:spacing w:after="0" w:line="240" w:lineRule="auto"/>
              <w:rPr>
                <w:rFonts w:ascii="Times New Roman" w:eastAsia="Times New Roman" w:hAnsi="Times New Roman" w:cs="Times New Roman"/>
                <w:sz w:val="20"/>
                <w:szCs w:val="20"/>
                <w:lang w:eastAsia="sk-SK"/>
              </w:rPr>
            </w:pPr>
            <w:r w:rsidRPr="006E7319">
              <w:rPr>
                <w:rFonts w:ascii="Times New Roman" w:eastAsia="Times New Roman" w:hAnsi="Times New Roman" w:cs="Times New Roman"/>
                <w:sz w:val="20"/>
                <w:szCs w:val="20"/>
                <w:lang w:eastAsia="sk-SK"/>
              </w:rPr>
              <w:t xml:space="preserve">Novelizačný bod - </w:t>
            </w:r>
            <w:r w:rsidR="0079703E" w:rsidRPr="006E7319">
              <w:rPr>
                <w:rFonts w:ascii="Times New Roman" w:eastAsia="Times New Roman" w:hAnsi="Times New Roman" w:cs="Times New Roman"/>
                <w:sz w:val="20"/>
                <w:szCs w:val="20"/>
                <w:lang w:eastAsia="sk-SK"/>
              </w:rPr>
              <w:t xml:space="preserve">Čl. III – novela  zákona č, </w:t>
            </w:r>
            <w:r w:rsidR="0079703E" w:rsidRPr="006E7319">
              <w:rPr>
                <w:rFonts w:ascii="Times New Roman" w:eastAsia="Calibri" w:hAnsi="Times New Roman" w:cs="Times New Roman"/>
                <w:sz w:val="20"/>
                <w:szCs w:val="20"/>
              </w:rPr>
              <w:t>145/1995 Z. z. o správnych poplatkoch</w:t>
            </w:r>
          </w:p>
        </w:tc>
        <w:tc>
          <w:tcPr>
            <w:tcW w:w="1303" w:type="dxa"/>
            <w:vAlign w:val="center"/>
          </w:tcPr>
          <w:p w14:paraId="3A0BA666" w14:textId="02A82EDF" w:rsidR="00054C41" w:rsidRPr="00895898" w:rsidRDefault="006E731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6BFB7AA2" w14:textId="269439F2" w:rsidR="00054C41" w:rsidRPr="00895898" w:rsidRDefault="006E731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1.január 2022</w:t>
            </w:r>
          </w:p>
        </w:tc>
        <w:tc>
          <w:tcPr>
            <w:tcW w:w="1337" w:type="dxa"/>
            <w:vAlign w:val="center"/>
          </w:tcPr>
          <w:p w14:paraId="299C820D" w14:textId="5E7484E1" w:rsidR="00054C41" w:rsidRPr="00895898" w:rsidRDefault="006E731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Osoby vykonávajúce úkony podľa zákona o verejnom obstarávaní (vrátane MSP, živnostníkov)</w:t>
            </w:r>
          </w:p>
        </w:tc>
        <w:tc>
          <w:tcPr>
            <w:tcW w:w="974" w:type="dxa"/>
            <w:shd w:val="clear" w:color="auto" w:fill="auto"/>
            <w:noWrap/>
            <w:vAlign w:val="center"/>
          </w:tcPr>
          <w:p w14:paraId="74360775" w14:textId="16F2CBDA" w:rsidR="00054C41" w:rsidRPr="00441A99" w:rsidRDefault="00441A99" w:rsidP="00142154">
            <w:pPr>
              <w:spacing w:after="0" w:line="240" w:lineRule="auto"/>
              <w:rPr>
                <w:rFonts w:ascii="Times New Roman" w:eastAsia="Times New Roman" w:hAnsi="Times New Roman" w:cs="Times New Roman"/>
                <w:sz w:val="20"/>
                <w:szCs w:val="20"/>
                <w:lang w:eastAsia="sk-SK"/>
              </w:rPr>
            </w:pPr>
            <w:r w:rsidRPr="00441A99">
              <w:rPr>
                <w:rFonts w:ascii="Times New Roman" w:hAnsi="Times New Roman" w:cs="Times New Roman"/>
                <w:sz w:val="20"/>
                <w:szCs w:val="20"/>
              </w:rPr>
              <w:t xml:space="preserve">Z hľadiska kvantifikácie dotknutých subjektov je možné len všeobecne poukázať na to, že k 26. 9. 2018 </w:t>
            </w:r>
            <w:r w:rsidRPr="00F11188">
              <w:rPr>
                <w:rFonts w:ascii="Times New Roman" w:hAnsi="Times New Roman" w:cs="Times New Roman"/>
                <w:sz w:val="20"/>
                <w:szCs w:val="20"/>
              </w:rPr>
              <w:t>bolo v živnostenskom registri SR evidovaných</w:t>
            </w:r>
            <w:r w:rsidRPr="00441A99">
              <w:rPr>
                <w:rFonts w:ascii="Times New Roman" w:hAnsi="Times New Roman" w:cs="Times New Roman"/>
                <w:sz w:val="20"/>
                <w:szCs w:val="20"/>
              </w:rPr>
              <w:t xml:space="preserve"> celkovo 5 744 podnikateľských subjektov (FO a PO) s predmetom podnikania „verejné obstarávanie“</w:t>
            </w:r>
          </w:p>
        </w:tc>
        <w:tc>
          <w:tcPr>
            <w:tcW w:w="974" w:type="dxa"/>
            <w:shd w:val="clear" w:color="auto" w:fill="auto"/>
            <w:noWrap/>
            <w:vAlign w:val="center"/>
          </w:tcPr>
          <w:p w14:paraId="57C9126E" w14:textId="25C1348B" w:rsidR="00054C41" w:rsidRPr="00895898" w:rsidRDefault="00441A9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   Viď stĺpec „Počet subjektov v dotknutej kategórii“</w:t>
            </w:r>
          </w:p>
        </w:tc>
        <w:tc>
          <w:tcPr>
            <w:tcW w:w="982" w:type="dxa"/>
            <w:shd w:val="clear" w:color="auto" w:fill="auto"/>
            <w:noWrap/>
            <w:vAlign w:val="center"/>
          </w:tcPr>
          <w:p w14:paraId="57D4FAC6" w14:textId="76E7B250" w:rsidR="00054C41" w:rsidRPr="00895898" w:rsidRDefault="006E731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66 EUR/garant – jednorazový poplatok za zápis do zoznamu garantov</w:t>
            </w:r>
          </w:p>
        </w:tc>
        <w:tc>
          <w:tcPr>
            <w:tcW w:w="992" w:type="dxa"/>
            <w:shd w:val="clear" w:color="auto" w:fill="auto"/>
            <w:noWrap/>
            <w:vAlign w:val="center"/>
          </w:tcPr>
          <w:p w14:paraId="20A55E97" w14:textId="161A9F2A" w:rsidR="00054C41" w:rsidRPr="00895898" w:rsidRDefault="006E731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66 EUR/garant – jednorazový poplatok za zápis do zoznamu garantov</w:t>
            </w:r>
          </w:p>
        </w:tc>
        <w:tc>
          <w:tcPr>
            <w:tcW w:w="1134" w:type="dxa"/>
            <w:vAlign w:val="center"/>
          </w:tcPr>
          <w:p w14:paraId="032A8679" w14:textId="4E2F4CB4" w:rsidR="00054C41" w:rsidRPr="00895898" w:rsidRDefault="006E731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w:t>
            </w:r>
          </w:p>
        </w:tc>
      </w:tr>
      <w:tr w:rsidR="00441A99"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5255C71B" w14:textId="77777777" w:rsidR="00054C41" w:rsidRDefault="00E50F7F" w:rsidP="00F11188">
            <w:pPr>
              <w:spacing w:after="2" w:line="240" w:lineRule="auto"/>
              <w:jc w:val="both"/>
              <w:rPr>
                <w:rFonts w:eastAsia="Calibri"/>
              </w:rPr>
            </w:pPr>
            <w:r w:rsidRPr="00F11188">
              <w:rPr>
                <w:rFonts w:eastAsia="Calibri"/>
              </w:rPr>
              <w:t xml:space="preserve">Ak to požaduje verejný obstarávateľ alebo obstarávateľ, je odborný garant  povinný mať počas </w:t>
            </w:r>
            <w:r w:rsidRPr="00F11188">
              <w:rPr>
                <w:rFonts w:eastAsia="Calibri"/>
              </w:rPr>
              <w:lastRenderedPageBreak/>
              <w:t xml:space="preserve">celého výkonu činnosti podľa odseku 2 poistenú svoju zodpovednosť za škodu spôsobenú výkonom činnosti odborného garanta. </w:t>
            </w:r>
          </w:p>
          <w:p w14:paraId="7BEDDF1C" w14:textId="05FEEE6F" w:rsidR="00F11188" w:rsidRPr="00F11188" w:rsidRDefault="00F11188" w:rsidP="00F11188">
            <w:pPr>
              <w:spacing w:after="2" w:line="240" w:lineRule="auto"/>
              <w:jc w:val="both"/>
              <w:rPr>
                <w:rFonts w:ascii="Times New Roman" w:eastAsia="Times New Roman" w:hAnsi="Times New Roman" w:cs="Times New Roman"/>
                <w:sz w:val="20"/>
                <w:szCs w:val="20"/>
                <w:lang w:eastAsia="sk-SK"/>
              </w:rPr>
            </w:pPr>
            <w:r>
              <w:rPr>
                <w:rFonts w:eastAsia="Calibri"/>
              </w:rPr>
              <w:t>Zodpovednosť za škodu však môže byť zmluvne dojednaná už aj v súčasnosti.</w:t>
            </w:r>
          </w:p>
        </w:tc>
        <w:tc>
          <w:tcPr>
            <w:tcW w:w="1044" w:type="dxa"/>
          </w:tcPr>
          <w:p w14:paraId="6F95232A" w14:textId="77777777" w:rsidR="00054C41" w:rsidRPr="00F1118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60EC646C" w14:textId="52753562" w:rsidR="00441A99" w:rsidRPr="00F11188" w:rsidRDefault="00441A99" w:rsidP="00142154">
            <w:pPr>
              <w:spacing w:after="0" w:line="240" w:lineRule="auto"/>
              <w:rPr>
                <w:rFonts w:ascii="Times New Roman" w:eastAsia="Times New Roman" w:hAnsi="Times New Roman" w:cs="Times New Roman"/>
                <w:sz w:val="20"/>
                <w:szCs w:val="20"/>
                <w:lang w:eastAsia="sk-SK"/>
              </w:rPr>
            </w:pPr>
            <w:r w:rsidRPr="00F11188">
              <w:rPr>
                <w:rFonts w:ascii="Times New Roman" w:eastAsia="Times New Roman" w:hAnsi="Times New Roman" w:cs="Times New Roman"/>
                <w:sz w:val="20"/>
                <w:szCs w:val="20"/>
                <w:lang w:eastAsia="sk-SK"/>
              </w:rPr>
              <w:t>Novelizačný bod 209 -</w:t>
            </w:r>
          </w:p>
          <w:p w14:paraId="4772F4F9" w14:textId="4AF2D544" w:rsidR="00054C41" w:rsidRPr="00F11188" w:rsidRDefault="00E50F7F" w:rsidP="00142154">
            <w:pPr>
              <w:spacing w:after="0" w:line="240" w:lineRule="auto"/>
              <w:rPr>
                <w:rFonts w:ascii="Times New Roman" w:eastAsia="Times New Roman" w:hAnsi="Times New Roman" w:cs="Times New Roman"/>
                <w:sz w:val="20"/>
                <w:szCs w:val="20"/>
                <w:lang w:eastAsia="sk-SK"/>
              </w:rPr>
            </w:pPr>
            <w:r w:rsidRPr="00F11188">
              <w:rPr>
                <w:rFonts w:ascii="Times New Roman" w:eastAsia="Times New Roman" w:hAnsi="Times New Roman" w:cs="Times New Roman"/>
                <w:sz w:val="20"/>
                <w:szCs w:val="20"/>
                <w:lang w:eastAsia="sk-SK"/>
              </w:rPr>
              <w:t>§184b ods. 11</w:t>
            </w:r>
          </w:p>
        </w:tc>
        <w:tc>
          <w:tcPr>
            <w:tcW w:w="1303" w:type="dxa"/>
            <w:vAlign w:val="center"/>
          </w:tcPr>
          <w:p w14:paraId="202CD1E5" w14:textId="495BFD9C" w:rsidR="00054C41" w:rsidRPr="00F11188" w:rsidRDefault="00360FA9" w:rsidP="00142154">
            <w:pPr>
              <w:spacing w:after="0" w:line="240" w:lineRule="auto"/>
              <w:rPr>
                <w:rFonts w:ascii="Times New Roman" w:eastAsia="Times New Roman" w:hAnsi="Times New Roman" w:cs="Times New Roman"/>
                <w:color w:val="000000"/>
                <w:sz w:val="20"/>
                <w:szCs w:val="20"/>
                <w:lang w:eastAsia="sk-SK"/>
              </w:rPr>
            </w:pPr>
            <w:r w:rsidRPr="00F11188">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727D0512" w14:textId="6AF57771" w:rsidR="00054C41" w:rsidRPr="00F11188" w:rsidRDefault="00441A99" w:rsidP="00142154">
            <w:pPr>
              <w:spacing w:after="0" w:line="240" w:lineRule="auto"/>
              <w:rPr>
                <w:rFonts w:ascii="Times New Roman" w:eastAsia="Times New Roman" w:hAnsi="Times New Roman" w:cs="Times New Roman"/>
                <w:color w:val="000000"/>
                <w:sz w:val="20"/>
                <w:szCs w:val="20"/>
                <w:lang w:eastAsia="sk-SK"/>
              </w:rPr>
            </w:pPr>
            <w:r w:rsidRPr="00F11188">
              <w:rPr>
                <w:rFonts w:ascii="Times New Roman" w:eastAsia="Times New Roman" w:hAnsi="Times New Roman" w:cs="Times New Roman"/>
                <w:color w:val="000000"/>
                <w:sz w:val="20"/>
                <w:szCs w:val="20"/>
                <w:lang w:eastAsia="sk-SK"/>
              </w:rPr>
              <w:t>1.január 2024</w:t>
            </w:r>
          </w:p>
        </w:tc>
        <w:tc>
          <w:tcPr>
            <w:tcW w:w="1337" w:type="dxa"/>
            <w:vAlign w:val="center"/>
          </w:tcPr>
          <w:p w14:paraId="41387D4C" w14:textId="22F7A4F8" w:rsidR="00054C41" w:rsidRPr="00F11188" w:rsidRDefault="00360FA9" w:rsidP="00142154">
            <w:pPr>
              <w:spacing w:after="0" w:line="240" w:lineRule="auto"/>
              <w:rPr>
                <w:rFonts w:ascii="Times New Roman" w:eastAsia="Times New Roman" w:hAnsi="Times New Roman" w:cs="Times New Roman"/>
                <w:sz w:val="20"/>
                <w:szCs w:val="20"/>
                <w:lang w:eastAsia="sk-SK"/>
              </w:rPr>
            </w:pPr>
            <w:r w:rsidRPr="00F11188">
              <w:rPr>
                <w:rFonts w:ascii="Times New Roman" w:eastAsia="Times New Roman" w:hAnsi="Times New Roman" w:cs="Times New Roman"/>
                <w:sz w:val="20"/>
                <w:szCs w:val="20"/>
                <w:lang w:eastAsia="sk-SK"/>
              </w:rPr>
              <w:t xml:space="preserve">Osoby vykonávajúce úkony podľa zákona o verejnom </w:t>
            </w:r>
            <w:r w:rsidRPr="00F11188">
              <w:rPr>
                <w:rFonts w:ascii="Times New Roman" w:eastAsia="Times New Roman" w:hAnsi="Times New Roman" w:cs="Times New Roman"/>
                <w:sz w:val="20"/>
                <w:szCs w:val="20"/>
                <w:lang w:eastAsia="sk-SK"/>
              </w:rPr>
              <w:lastRenderedPageBreak/>
              <w:t>obstarávaní (vrátane MSP, živnostníkov), ak to bude verejný obstarávateľ vyžadovať</w:t>
            </w:r>
          </w:p>
        </w:tc>
        <w:tc>
          <w:tcPr>
            <w:tcW w:w="974" w:type="dxa"/>
            <w:shd w:val="clear" w:color="auto" w:fill="auto"/>
            <w:noWrap/>
            <w:vAlign w:val="center"/>
          </w:tcPr>
          <w:p w14:paraId="2F2BACE5" w14:textId="73F076A8" w:rsidR="00054C41" w:rsidRPr="00F11188" w:rsidRDefault="00360FA9" w:rsidP="00142154">
            <w:pPr>
              <w:spacing w:after="0" w:line="240" w:lineRule="auto"/>
              <w:rPr>
                <w:rFonts w:ascii="Times New Roman" w:eastAsia="Times New Roman" w:hAnsi="Times New Roman" w:cs="Times New Roman"/>
                <w:sz w:val="20"/>
                <w:szCs w:val="20"/>
                <w:lang w:eastAsia="sk-SK"/>
              </w:rPr>
            </w:pPr>
            <w:r w:rsidRPr="00F11188">
              <w:rPr>
                <w:rFonts w:ascii="Times New Roman" w:hAnsi="Times New Roman" w:cs="Times New Roman"/>
                <w:sz w:val="20"/>
                <w:szCs w:val="20"/>
              </w:rPr>
              <w:lastRenderedPageBreak/>
              <w:t xml:space="preserve">Z hľadiska kvantifikácie dotknutých subjektov je možné len </w:t>
            </w:r>
            <w:r w:rsidRPr="00F11188">
              <w:rPr>
                <w:rFonts w:ascii="Times New Roman" w:hAnsi="Times New Roman" w:cs="Times New Roman"/>
                <w:sz w:val="20"/>
                <w:szCs w:val="20"/>
              </w:rPr>
              <w:lastRenderedPageBreak/>
              <w:t>všeobecne poukázať na to, že k 26. 9. 2018 bolo v živnostenskom registri SR evidovaných celkovo 5 744 podnikateľských subjektov (FO a PO) s predmetom podnikania „verejné obstarávanie“</w:t>
            </w:r>
          </w:p>
        </w:tc>
        <w:tc>
          <w:tcPr>
            <w:tcW w:w="974" w:type="dxa"/>
            <w:shd w:val="clear" w:color="auto" w:fill="auto"/>
            <w:noWrap/>
            <w:vAlign w:val="center"/>
          </w:tcPr>
          <w:p w14:paraId="39949054" w14:textId="18C1BE4D" w:rsidR="00054C41" w:rsidRPr="00895898" w:rsidRDefault="00360FA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 xml:space="preserve">   Viď stĺpec „Počet subjektov v dotknutej kategórii“</w:t>
            </w:r>
          </w:p>
        </w:tc>
        <w:tc>
          <w:tcPr>
            <w:tcW w:w="982" w:type="dxa"/>
            <w:shd w:val="clear" w:color="auto" w:fill="auto"/>
            <w:noWrap/>
            <w:vAlign w:val="center"/>
          </w:tcPr>
          <w:p w14:paraId="1371B6C4" w14:textId="67ADCAE7" w:rsidR="00054C41" w:rsidRPr="00895898" w:rsidRDefault="009243AB"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Od cca. 50 EUR</w:t>
            </w:r>
          </w:p>
        </w:tc>
        <w:tc>
          <w:tcPr>
            <w:tcW w:w="992" w:type="dxa"/>
            <w:shd w:val="clear" w:color="auto" w:fill="auto"/>
            <w:noWrap/>
            <w:vAlign w:val="center"/>
          </w:tcPr>
          <w:p w14:paraId="0C7D454A" w14:textId="7B5BCFE8" w:rsidR="00054C41" w:rsidRPr="00895898" w:rsidRDefault="009243AB"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Od cca. 50 EUR</w:t>
            </w:r>
          </w:p>
        </w:tc>
        <w:tc>
          <w:tcPr>
            <w:tcW w:w="1134" w:type="dxa"/>
            <w:vAlign w:val="center"/>
          </w:tcPr>
          <w:p w14:paraId="3CD7D152" w14:textId="0941B2CF" w:rsidR="00054C41" w:rsidRPr="00895898" w:rsidRDefault="00926ABA"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w:t>
            </w:r>
          </w:p>
        </w:tc>
      </w:tr>
      <w:tr w:rsidR="00441A99"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39912B1" w:rsidR="00054C41" w:rsidRPr="00895898" w:rsidRDefault="00926ABA"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Vyššia kvalita verejných obstarávaní, </w:t>
            </w:r>
            <w:r w:rsidR="00360FA9">
              <w:rPr>
                <w:rFonts w:ascii="Times New Roman" w:eastAsia="Times New Roman" w:hAnsi="Times New Roman" w:cs="Times New Roman"/>
                <w:sz w:val="20"/>
                <w:szCs w:val="20"/>
                <w:lang w:eastAsia="sk-SK"/>
              </w:rPr>
              <w:t>vyššia miera otvorenosti súťaží</w:t>
            </w: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435E1B4D" w:rsidR="00054C41" w:rsidRPr="00895898" w:rsidRDefault="00360FA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14220C43" w14:textId="7CC37F17" w:rsidR="00054C41" w:rsidRPr="00895898" w:rsidRDefault="00360FA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1.január 2022</w:t>
            </w:r>
          </w:p>
        </w:tc>
        <w:tc>
          <w:tcPr>
            <w:tcW w:w="1337" w:type="dxa"/>
            <w:vAlign w:val="center"/>
          </w:tcPr>
          <w:p w14:paraId="793D105F" w14:textId="40BAEE98" w:rsidR="00054C41" w:rsidRPr="00895898" w:rsidRDefault="00360FA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MSP</w:t>
            </w:r>
            <w:r w:rsidR="005117BA">
              <w:rPr>
                <w:rFonts w:ascii="Times New Roman" w:eastAsia="Times New Roman" w:hAnsi="Times New Roman" w:cs="Times New Roman"/>
                <w:sz w:val="20"/>
                <w:szCs w:val="20"/>
                <w:lang w:eastAsia="sk-SK"/>
              </w:rPr>
              <w:t>/veľké podniky</w:t>
            </w:r>
          </w:p>
        </w:tc>
        <w:tc>
          <w:tcPr>
            <w:tcW w:w="974" w:type="dxa"/>
            <w:shd w:val="clear" w:color="auto" w:fill="auto"/>
            <w:noWrap/>
            <w:vAlign w:val="center"/>
          </w:tcPr>
          <w:p w14:paraId="36AA08E5" w14:textId="6CFD7DFB" w:rsidR="00054C41" w:rsidRPr="00895898" w:rsidRDefault="00360FA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MSP</w:t>
            </w:r>
            <w:r w:rsidR="005117BA">
              <w:rPr>
                <w:rFonts w:ascii="Times New Roman" w:eastAsia="Times New Roman" w:hAnsi="Times New Roman" w:cs="Times New Roman"/>
                <w:sz w:val="20"/>
                <w:szCs w:val="20"/>
                <w:lang w:eastAsia="sk-SK"/>
              </w:rPr>
              <w:t>/veľké podniky</w:t>
            </w:r>
          </w:p>
        </w:tc>
        <w:tc>
          <w:tcPr>
            <w:tcW w:w="974" w:type="dxa"/>
            <w:shd w:val="clear" w:color="auto" w:fill="auto"/>
            <w:noWrap/>
            <w:vAlign w:val="center"/>
          </w:tcPr>
          <w:p w14:paraId="77890B1F" w14:textId="77777777" w:rsidR="00054C41" w:rsidRDefault="00360FA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w:t>
            </w:r>
          </w:p>
          <w:p w14:paraId="0653DC17" w14:textId="77777777" w:rsidR="005117BA" w:rsidRDefault="005117BA" w:rsidP="00142154">
            <w:pPr>
              <w:spacing w:after="0" w:line="240" w:lineRule="auto"/>
              <w:rPr>
                <w:rFonts w:ascii="Times New Roman" w:eastAsia="Times New Roman" w:hAnsi="Times New Roman" w:cs="Times New Roman"/>
                <w:color w:val="000000"/>
                <w:sz w:val="20"/>
                <w:szCs w:val="20"/>
                <w:lang w:eastAsia="sk-SK"/>
              </w:rPr>
            </w:pPr>
          </w:p>
          <w:p w14:paraId="342400C0" w14:textId="750D4EF6" w:rsidR="005117BA" w:rsidRPr="00895898" w:rsidRDefault="005117BA"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roku 2020 bolo zadaných MSP a veľkým podnikom zákazky v hodnote 4 628,940 mil. EUR  (spolu 1608 subjektov)</w:t>
            </w:r>
          </w:p>
        </w:tc>
        <w:tc>
          <w:tcPr>
            <w:tcW w:w="982" w:type="dxa"/>
            <w:shd w:val="clear" w:color="auto" w:fill="auto"/>
            <w:noWrap/>
            <w:vAlign w:val="center"/>
          </w:tcPr>
          <w:p w14:paraId="643D8B22" w14:textId="6ED6ECDD" w:rsidR="00054C41" w:rsidRPr="00895898" w:rsidRDefault="005117BA"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w:t>
            </w:r>
          </w:p>
        </w:tc>
        <w:tc>
          <w:tcPr>
            <w:tcW w:w="992" w:type="dxa"/>
            <w:shd w:val="clear" w:color="auto" w:fill="auto"/>
            <w:noWrap/>
            <w:vAlign w:val="center"/>
          </w:tcPr>
          <w:p w14:paraId="280F78D6" w14:textId="0645CC84" w:rsidR="00054C41" w:rsidRPr="00895898" w:rsidRDefault="005117BA"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w:t>
            </w:r>
          </w:p>
        </w:tc>
        <w:tc>
          <w:tcPr>
            <w:tcW w:w="1134" w:type="dxa"/>
            <w:vAlign w:val="center"/>
          </w:tcPr>
          <w:p w14:paraId="749B6947" w14:textId="7B69BBD3" w:rsidR="00054C41" w:rsidRPr="00895898" w:rsidRDefault="00926ABA"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out</w:t>
            </w:r>
          </w:p>
        </w:tc>
      </w:tr>
      <w:tr w:rsidR="00441A99"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47E889E6" w:rsidR="00054C41" w:rsidRPr="00895898" w:rsidRDefault="00360FA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Odstránenie národného goldplatingu pre dotované subjekty - § 8 ZVO</w:t>
            </w: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365C782C" w:rsidR="00054C41" w:rsidRPr="00895898" w:rsidRDefault="00360FA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SK/EÚ</w:t>
            </w:r>
          </w:p>
        </w:tc>
        <w:tc>
          <w:tcPr>
            <w:tcW w:w="934" w:type="dxa"/>
            <w:shd w:val="clear" w:color="auto" w:fill="auto"/>
            <w:noWrap/>
            <w:vAlign w:val="center"/>
          </w:tcPr>
          <w:p w14:paraId="6DB51E86" w14:textId="68AC5C79" w:rsidR="00054C41" w:rsidRPr="00895898" w:rsidRDefault="00360FA9"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1.január 2022</w:t>
            </w:r>
          </w:p>
        </w:tc>
        <w:tc>
          <w:tcPr>
            <w:tcW w:w="1337" w:type="dxa"/>
            <w:vAlign w:val="center"/>
          </w:tcPr>
          <w:p w14:paraId="5860EA3F" w14:textId="5AC9DA89" w:rsidR="00054C41" w:rsidRPr="00895898" w:rsidRDefault="00360FA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MSP</w:t>
            </w:r>
            <w:r w:rsidR="005117BA">
              <w:rPr>
                <w:rFonts w:ascii="Times New Roman" w:eastAsia="Times New Roman" w:hAnsi="Times New Roman" w:cs="Times New Roman"/>
                <w:sz w:val="20"/>
                <w:szCs w:val="20"/>
                <w:lang w:eastAsia="sk-SK"/>
              </w:rPr>
              <w:t>/veľké podniky</w:t>
            </w:r>
          </w:p>
        </w:tc>
        <w:tc>
          <w:tcPr>
            <w:tcW w:w="974" w:type="dxa"/>
            <w:shd w:val="clear" w:color="auto" w:fill="auto"/>
            <w:noWrap/>
            <w:vAlign w:val="center"/>
          </w:tcPr>
          <w:p w14:paraId="19075E90" w14:textId="5053AFA5" w:rsidR="00054C41" w:rsidRPr="00895898" w:rsidRDefault="00360FA9"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MSP</w:t>
            </w:r>
            <w:r w:rsidR="005117BA">
              <w:rPr>
                <w:rFonts w:ascii="Times New Roman" w:eastAsia="Times New Roman" w:hAnsi="Times New Roman" w:cs="Times New Roman"/>
                <w:sz w:val="20"/>
                <w:szCs w:val="20"/>
                <w:lang w:eastAsia="sk-SK"/>
              </w:rPr>
              <w:t>/veľké podniky</w:t>
            </w:r>
          </w:p>
        </w:tc>
        <w:tc>
          <w:tcPr>
            <w:tcW w:w="974" w:type="dxa"/>
            <w:shd w:val="clear" w:color="auto" w:fill="auto"/>
            <w:noWrap/>
            <w:vAlign w:val="center"/>
          </w:tcPr>
          <w:p w14:paraId="4AC36E76" w14:textId="12D54215" w:rsidR="00054C41" w:rsidRPr="006F55AC" w:rsidRDefault="00360FA9" w:rsidP="00142154">
            <w:pPr>
              <w:spacing w:after="0" w:line="240" w:lineRule="auto"/>
              <w:rPr>
                <w:rFonts w:ascii="Times New Roman" w:eastAsia="Times New Roman" w:hAnsi="Times New Roman" w:cs="Times New Roman"/>
                <w:color w:val="000000"/>
                <w:sz w:val="20"/>
                <w:szCs w:val="20"/>
                <w:lang w:eastAsia="sk-SK"/>
              </w:rPr>
            </w:pPr>
            <w:r w:rsidRPr="006F55AC">
              <w:rPr>
                <w:rFonts w:ascii="Times New Roman" w:eastAsia="Calibri" w:hAnsi="Times New Roman" w:cs="Times New Roman"/>
                <w:sz w:val="20"/>
                <w:szCs w:val="20"/>
              </w:rPr>
              <w:t>V roku 2020 aktívne realizovalo postupy nadlimitného a podlimitného verejného obstarávania 709 subjektov podľa §8 ZVO</w:t>
            </w:r>
          </w:p>
        </w:tc>
        <w:tc>
          <w:tcPr>
            <w:tcW w:w="982" w:type="dxa"/>
            <w:shd w:val="clear" w:color="auto" w:fill="auto"/>
            <w:noWrap/>
            <w:vAlign w:val="center"/>
          </w:tcPr>
          <w:p w14:paraId="46718EE4" w14:textId="18D4D30A" w:rsidR="00054C41" w:rsidRPr="00F11188" w:rsidRDefault="00360FA9" w:rsidP="00142154">
            <w:pPr>
              <w:spacing w:after="0" w:line="240" w:lineRule="auto"/>
              <w:rPr>
                <w:rFonts w:ascii="Times New Roman" w:eastAsia="Times New Roman" w:hAnsi="Times New Roman" w:cs="Times New Roman"/>
                <w:color w:val="000000"/>
                <w:sz w:val="20"/>
                <w:szCs w:val="20"/>
                <w:lang w:eastAsia="sk-SK"/>
              </w:rPr>
            </w:pPr>
            <w:r w:rsidRPr="00F11188">
              <w:rPr>
                <w:rFonts w:ascii="Times New Roman" w:eastAsia="Times New Roman" w:hAnsi="Times New Roman" w:cs="Times New Roman"/>
                <w:color w:val="000000"/>
                <w:sz w:val="20"/>
                <w:szCs w:val="20"/>
                <w:lang w:eastAsia="sk-SK"/>
              </w:rPr>
              <w:t>N/A</w:t>
            </w:r>
          </w:p>
        </w:tc>
        <w:tc>
          <w:tcPr>
            <w:tcW w:w="992" w:type="dxa"/>
            <w:shd w:val="clear" w:color="auto" w:fill="auto"/>
            <w:noWrap/>
            <w:vAlign w:val="center"/>
          </w:tcPr>
          <w:p w14:paraId="0D839B7F" w14:textId="733F818A" w:rsidR="00054C41" w:rsidRPr="00F11188" w:rsidRDefault="00360FA9" w:rsidP="00142154">
            <w:pPr>
              <w:spacing w:after="0" w:line="240" w:lineRule="auto"/>
              <w:rPr>
                <w:rFonts w:ascii="Times New Roman" w:eastAsia="Times New Roman" w:hAnsi="Times New Roman" w:cs="Times New Roman"/>
                <w:color w:val="000000"/>
                <w:sz w:val="20"/>
                <w:szCs w:val="20"/>
                <w:lang w:eastAsia="sk-SK"/>
              </w:rPr>
            </w:pPr>
            <w:r w:rsidRPr="00F11188">
              <w:rPr>
                <w:rFonts w:ascii="Times New Roman" w:eastAsia="Times New Roman" w:hAnsi="Times New Roman" w:cs="Times New Roman"/>
                <w:color w:val="000000"/>
                <w:sz w:val="20"/>
                <w:szCs w:val="20"/>
                <w:lang w:eastAsia="sk-SK"/>
              </w:rPr>
              <w:t>N/A</w:t>
            </w:r>
          </w:p>
        </w:tc>
        <w:tc>
          <w:tcPr>
            <w:tcW w:w="1134" w:type="dxa"/>
            <w:vAlign w:val="center"/>
          </w:tcPr>
          <w:p w14:paraId="0CF10260" w14:textId="0F61AE4F" w:rsidR="00054C41" w:rsidRPr="00895898" w:rsidRDefault="00926ABA"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out</w:t>
            </w:r>
          </w:p>
        </w:tc>
      </w:tr>
      <w:tr w:rsidR="00441A99"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441A99"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441A99"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441A99"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441A99"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7AD4FFCD" w:rsidR="00054C41" w:rsidRPr="00CA7402"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w:t>
      </w:r>
      <w:r w:rsidRPr="00CA7402">
        <w:rPr>
          <w:rFonts w:ascii="Times New Roman" w:eastAsia="Calibri" w:hAnsi="Times New Roman" w:cs="Times New Roman"/>
          <w:bCs/>
          <w:i/>
          <w:iCs/>
          <w:sz w:val="24"/>
          <w:szCs w:val="24"/>
        </w:rPr>
        <w:t>nákladov (A. Dane, odvody, clá</w:t>
      </w:r>
      <w:r w:rsidR="00A000DA" w:rsidRPr="00CA7402">
        <w:rPr>
          <w:rFonts w:ascii="Times New Roman" w:eastAsia="Calibri" w:hAnsi="Times New Roman" w:cs="Times New Roman"/>
          <w:bCs/>
          <w:i/>
          <w:iCs/>
          <w:sz w:val="24"/>
          <w:szCs w:val="24"/>
        </w:rPr>
        <w:t xml:space="preserve"> a poplatky, ktorých cieľom je znižovať negatívne externality</w:t>
      </w:r>
      <w:r w:rsidRPr="00CA7402">
        <w:rPr>
          <w:rFonts w:ascii="Times New Roman" w:eastAsia="Calibri" w:hAnsi="Times New Roman" w:cs="Times New Roman"/>
          <w:bCs/>
          <w:i/>
          <w:iCs/>
          <w:sz w:val="24"/>
          <w:szCs w:val="24"/>
        </w:rPr>
        <w:t xml:space="preserve">, B. </w:t>
      </w:r>
      <w:r w:rsidR="00A000DA" w:rsidRPr="00CA7402">
        <w:rPr>
          <w:rFonts w:ascii="Times New Roman" w:eastAsia="Calibri" w:hAnsi="Times New Roman" w:cs="Times New Roman"/>
          <w:bCs/>
          <w:i/>
          <w:iCs/>
          <w:sz w:val="24"/>
          <w:szCs w:val="24"/>
        </w:rPr>
        <w:t>Iné p</w:t>
      </w:r>
      <w:r w:rsidRPr="00CA7402">
        <w:rPr>
          <w:rFonts w:ascii="Times New Roman" w:eastAsia="Calibri" w:hAnsi="Times New Roman" w:cs="Times New Roman"/>
          <w:bCs/>
          <w:i/>
          <w:iCs/>
          <w:sz w:val="24"/>
          <w:szCs w:val="24"/>
        </w:rPr>
        <w:t xml:space="preserve">oplatky, C. Nepriame finančné náklady, D. Administratívne náklady). Rozčleňte ich a vypočítajte v súlade s metodickým postupom. </w:t>
      </w:r>
    </w:p>
    <w:p w14:paraId="58665D66" w14:textId="5C10B22B" w:rsidR="005117BA" w:rsidRPr="00CA7402" w:rsidRDefault="005117BA" w:rsidP="00054C41">
      <w:pPr>
        <w:jc w:val="both"/>
        <w:rPr>
          <w:rFonts w:ascii="Times New Roman" w:eastAsia="Calibri" w:hAnsi="Times New Roman" w:cs="Times New Roman"/>
          <w:sz w:val="20"/>
          <w:szCs w:val="20"/>
        </w:rPr>
      </w:pPr>
      <w:r w:rsidRPr="00CA7402">
        <w:rPr>
          <w:rFonts w:ascii="Times New Roman" w:eastAsia="Times New Roman" w:hAnsi="Times New Roman" w:cs="Times New Roman"/>
          <w:sz w:val="20"/>
          <w:szCs w:val="20"/>
          <w:lang w:eastAsia="sk-SK"/>
        </w:rPr>
        <w:t xml:space="preserve">Novelizačný bod - Čl. III – novela  zákona č, </w:t>
      </w:r>
      <w:r w:rsidRPr="00CA7402">
        <w:rPr>
          <w:rFonts w:ascii="Times New Roman" w:eastAsia="Calibri" w:hAnsi="Times New Roman" w:cs="Times New Roman"/>
          <w:sz w:val="20"/>
          <w:szCs w:val="20"/>
        </w:rPr>
        <w:t>145/1995 Z. z. o správnych poplatkoch</w:t>
      </w:r>
    </w:p>
    <w:p w14:paraId="24215285" w14:textId="7AE85C8B" w:rsidR="009243AB" w:rsidRPr="00CA7402" w:rsidRDefault="009243AB" w:rsidP="00054C41">
      <w:pPr>
        <w:jc w:val="both"/>
        <w:rPr>
          <w:rStyle w:val="Strong"/>
          <w:rFonts w:ascii="Arial" w:hAnsi="Arial" w:cs="Arial"/>
          <w:b w:val="0"/>
          <w:sz w:val="20"/>
          <w:szCs w:val="20"/>
          <w:shd w:val="clear" w:color="auto" w:fill="FFFFFF"/>
        </w:rPr>
      </w:pPr>
      <w:r w:rsidRPr="00CA7402">
        <w:rPr>
          <w:rStyle w:val="Strong"/>
          <w:rFonts w:ascii="Arial" w:hAnsi="Arial" w:cs="Arial"/>
          <w:b w:val="0"/>
          <w:sz w:val="20"/>
          <w:szCs w:val="20"/>
          <w:shd w:val="clear" w:color="auto" w:fill="FFFFFF"/>
        </w:rPr>
        <w:t>Informácia o celkovom štatistickom vyhodnotení procesu verejného obstarávania za rok 2020</w:t>
      </w:r>
    </w:p>
    <w:p w14:paraId="4AF6A1A1" w14:textId="7D7CB59B" w:rsidR="009243AB" w:rsidRPr="00CA7402" w:rsidRDefault="00A27360" w:rsidP="00054C41">
      <w:pPr>
        <w:jc w:val="both"/>
        <w:rPr>
          <w:rFonts w:ascii="Times New Roman" w:eastAsia="Calibri" w:hAnsi="Times New Roman" w:cs="Times New Roman"/>
          <w:bCs/>
          <w:i/>
          <w:iCs/>
          <w:sz w:val="24"/>
          <w:szCs w:val="24"/>
        </w:rPr>
      </w:pPr>
      <w:hyperlink r:id="rId12" w:history="1">
        <w:r w:rsidR="009243AB" w:rsidRPr="00CA7402">
          <w:rPr>
            <w:rStyle w:val="Hyperlink"/>
            <w:rFonts w:ascii="Times New Roman" w:eastAsia="Calibri" w:hAnsi="Times New Roman" w:cs="Times New Roman"/>
            <w:bCs/>
            <w:i/>
            <w:iCs/>
            <w:color w:val="auto"/>
            <w:sz w:val="24"/>
            <w:szCs w:val="24"/>
          </w:rPr>
          <w:t>https://www.uvo.gov.sk/2020-664.html</w:t>
        </w:r>
      </w:hyperlink>
      <w:r w:rsidR="009243AB" w:rsidRPr="00CA7402">
        <w:rPr>
          <w:rFonts w:ascii="Times New Roman" w:eastAsia="Calibri" w:hAnsi="Times New Roman" w:cs="Times New Roman"/>
          <w:bCs/>
          <w:i/>
          <w:iCs/>
          <w:sz w:val="24"/>
          <w:szCs w:val="24"/>
        </w:rPr>
        <w:t xml:space="preserve"> </w:t>
      </w:r>
    </w:p>
    <w:p w14:paraId="13B2860B" w14:textId="77777777" w:rsidR="00054C41" w:rsidRPr="00CA7402" w:rsidRDefault="00054C41" w:rsidP="00054C41">
      <w:pPr>
        <w:rPr>
          <w:rFonts w:ascii="Times New Roman" w:eastAsia="Calibri" w:hAnsi="Times New Roman" w:cs="Times New Roman"/>
          <w:i/>
          <w:sz w:val="24"/>
          <w:szCs w:val="24"/>
        </w:rPr>
      </w:pPr>
    </w:p>
    <w:p w14:paraId="42CD176F" w14:textId="77777777" w:rsidR="00054C41" w:rsidRPr="00CA7402" w:rsidRDefault="00054C41" w:rsidP="00054C41">
      <w:pPr>
        <w:jc w:val="both"/>
        <w:rPr>
          <w:rFonts w:ascii="Times New Roman" w:eastAsia="Calibri" w:hAnsi="Times New Roman" w:cs="Times New Roman"/>
          <w:b/>
          <w:sz w:val="24"/>
          <w:szCs w:val="24"/>
        </w:rPr>
      </w:pPr>
      <w:r w:rsidRPr="00CA7402">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CA7402" w:rsidRDefault="00054C41" w:rsidP="00054C41">
      <w:pPr>
        <w:spacing w:after="0"/>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CA7402" w:rsidRDefault="00054C41" w:rsidP="00054C41">
      <w:pPr>
        <w:spacing w:after="0"/>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Uveďte hlavné body konzultácií a ich závery. </w:t>
      </w:r>
    </w:p>
    <w:p w14:paraId="653EA427" w14:textId="77777777" w:rsidR="00054C41" w:rsidRPr="00CA7402" w:rsidRDefault="00054C41" w:rsidP="00054C41">
      <w:pPr>
        <w:spacing w:after="0"/>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1E59AFF3" w:rsidR="00054C41" w:rsidRPr="00CA7402" w:rsidRDefault="00054C41" w:rsidP="00054C41">
      <w:pPr>
        <w:spacing w:after="0"/>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71BFC1D6" w14:textId="2E22E5DB" w:rsidR="005117BA" w:rsidRPr="00CA7402" w:rsidRDefault="005117BA" w:rsidP="00054C41">
      <w:pPr>
        <w:spacing w:after="0"/>
        <w:jc w:val="both"/>
        <w:rPr>
          <w:rFonts w:ascii="Times New Roman" w:eastAsia="Calibri" w:hAnsi="Times New Roman" w:cs="Times New Roman"/>
          <w:i/>
          <w:sz w:val="24"/>
          <w:szCs w:val="24"/>
        </w:rPr>
      </w:pPr>
    </w:p>
    <w:p w14:paraId="55E82DE6" w14:textId="587F4843" w:rsidR="005117BA" w:rsidRPr="00CA7402" w:rsidRDefault="005117BA" w:rsidP="005117BA">
      <w:pPr>
        <w:rPr>
          <w:i/>
        </w:rPr>
      </w:pPr>
      <w:r w:rsidRPr="00CA7402">
        <w:rPr>
          <w:i/>
        </w:rPr>
        <w:t xml:space="preserve">Predmetné návrhy boli konzultované vo viacerých etapách ich kreovania </w:t>
      </w:r>
    </w:p>
    <w:p w14:paraId="72E1DED3" w14:textId="78D77BC5" w:rsidR="005117BA" w:rsidRPr="00CA7402" w:rsidRDefault="005117BA" w:rsidP="005117BA">
      <w:pPr>
        <w:jc w:val="both"/>
        <w:rPr>
          <w:i/>
        </w:rPr>
      </w:pPr>
      <w:r w:rsidRPr="00CA7402">
        <w:rPr>
          <w:i/>
        </w:rPr>
        <w:t xml:space="preserve">Konzultácie boli vedené o.i. aj s nasledovnými subjektmi: </w:t>
      </w:r>
    </w:p>
    <w:p w14:paraId="5E2E2F46" w14:textId="77777777" w:rsidR="005117BA" w:rsidRPr="00CA7402" w:rsidRDefault="005117BA" w:rsidP="005117BA">
      <w:pPr>
        <w:jc w:val="both"/>
        <w:rPr>
          <w:i/>
        </w:rPr>
      </w:pPr>
      <w:r w:rsidRPr="00CA7402">
        <w:rPr>
          <w:i/>
        </w:rPr>
        <w:t>Slovenský živnostenský zväz</w:t>
      </w:r>
    </w:p>
    <w:p w14:paraId="2CD87C8D" w14:textId="77777777" w:rsidR="005117BA" w:rsidRPr="00CA7402" w:rsidRDefault="005117BA" w:rsidP="005117BA">
      <w:pPr>
        <w:jc w:val="both"/>
        <w:rPr>
          <w:i/>
        </w:rPr>
      </w:pPr>
      <w:r w:rsidRPr="00CA7402">
        <w:rPr>
          <w:i/>
        </w:rPr>
        <w:t>Slovenská komora architektov</w:t>
      </w:r>
    </w:p>
    <w:p w14:paraId="082F0B30" w14:textId="77777777" w:rsidR="005117BA" w:rsidRPr="00CA7402" w:rsidRDefault="005117BA" w:rsidP="005117BA">
      <w:pPr>
        <w:jc w:val="both"/>
        <w:rPr>
          <w:i/>
        </w:rPr>
      </w:pPr>
      <w:r w:rsidRPr="00CA7402">
        <w:rPr>
          <w:i/>
        </w:rPr>
        <w:t xml:space="preserve">Asociácia zamestnávateľov zväzov a združení </w:t>
      </w:r>
    </w:p>
    <w:p w14:paraId="0FCCDB60" w14:textId="77777777" w:rsidR="005117BA" w:rsidRPr="00CA7402" w:rsidRDefault="005117BA" w:rsidP="005117BA">
      <w:pPr>
        <w:jc w:val="both"/>
        <w:rPr>
          <w:i/>
        </w:rPr>
      </w:pPr>
      <w:r w:rsidRPr="00CA7402">
        <w:rPr>
          <w:i/>
        </w:rPr>
        <w:t>Klub 500</w:t>
      </w:r>
    </w:p>
    <w:p w14:paraId="4108A86C" w14:textId="77777777" w:rsidR="005117BA" w:rsidRPr="00CA7402" w:rsidRDefault="005117BA" w:rsidP="005117BA">
      <w:pPr>
        <w:jc w:val="both"/>
        <w:rPr>
          <w:i/>
        </w:rPr>
      </w:pPr>
      <w:r w:rsidRPr="00CA7402">
        <w:rPr>
          <w:i/>
        </w:rPr>
        <w:t>Zväz stavebných podnikateľov Slovenska</w:t>
      </w:r>
    </w:p>
    <w:p w14:paraId="04321A12" w14:textId="77777777" w:rsidR="005117BA" w:rsidRPr="00CA7402" w:rsidRDefault="005117BA" w:rsidP="005117BA">
      <w:pPr>
        <w:jc w:val="both"/>
        <w:rPr>
          <w:i/>
        </w:rPr>
      </w:pPr>
      <w:r w:rsidRPr="00CA7402">
        <w:rPr>
          <w:i/>
        </w:rPr>
        <w:t>Asociácia priemyselných zväzov</w:t>
      </w:r>
    </w:p>
    <w:p w14:paraId="111EC80F" w14:textId="77777777" w:rsidR="005117BA" w:rsidRPr="00CA7402" w:rsidRDefault="005117BA" w:rsidP="005117BA">
      <w:pPr>
        <w:jc w:val="both"/>
        <w:rPr>
          <w:i/>
        </w:rPr>
      </w:pPr>
      <w:r w:rsidRPr="00CA7402">
        <w:rPr>
          <w:i/>
        </w:rPr>
        <w:t>Republiková únia zamestnávateľov</w:t>
      </w:r>
    </w:p>
    <w:p w14:paraId="64ED9EAB" w14:textId="77777777" w:rsidR="005117BA" w:rsidRPr="00CA7402" w:rsidRDefault="005117BA" w:rsidP="005117BA">
      <w:pPr>
        <w:jc w:val="both"/>
        <w:rPr>
          <w:i/>
        </w:rPr>
      </w:pPr>
      <w:r w:rsidRPr="00CA7402">
        <w:rPr>
          <w:i/>
        </w:rPr>
        <w:t xml:space="preserve">Slovensko-nemecká obchodná a priemyselná komora </w:t>
      </w:r>
    </w:p>
    <w:p w14:paraId="0AED014F" w14:textId="77777777" w:rsidR="005117BA" w:rsidRPr="00CA7402" w:rsidRDefault="005117BA" w:rsidP="005117BA">
      <w:pPr>
        <w:jc w:val="both"/>
        <w:rPr>
          <w:i/>
        </w:rPr>
      </w:pPr>
      <w:r w:rsidRPr="00CA7402">
        <w:rPr>
          <w:i/>
        </w:rPr>
        <w:t>Francúzsko - slovenská obchodná komora</w:t>
      </w:r>
    </w:p>
    <w:p w14:paraId="4157D87D" w14:textId="77777777" w:rsidR="005117BA" w:rsidRPr="00CA7402" w:rsidRDefault="005117BA" w:rsidP="005117BA">
      <w:pPr>
        <w:jc w:val="both"/>
        <w:rPr>
          <w:i/>
        </w:rPr>
      </w:pPr>
      <w:r w:rsidRPr="00CA7402">
        <w:rPr>
          <w:i/>
        </w:rPr>
        <w:t>Holandská obchodná komora v Slovenskej republike</w:t>
      </w:r>
    </w:p>
    <w:p w14:paraId="6219145E" w14:textId="77777777" w:rsidR="005117BA" w:rsidRPr="00CA7402" w:rsidRDefault="005117BA" w:rsidP="005117BA">
      <w:pPr>
        <w:rPr>
          <w:i/>
        </w:rPr>
      </w:pPr>
      <w:r w:rsidRPr="00CA7402">
        <w:rPr>
          <w:i/>
        </w:rPr>
        <w:t>Americká obchodná komora v Slovenskej republike</w:t>
      </w:r>
    </w:p>
    <w:p w14:paraId="0BD8C4B9" w14:textId="77777777" w:rsidR="005117BA" w:rsidRPr="00D8247C" w:rsidRDefault="005117BA" w:rsidP="00054C41">
      <w:pPr>
        <w:spacing w:after="0"/>
        <w:jc w:val="both"/>
        <w:rPr>
          <w:rFonts w:ascii="Times New Roman" w:eastAsia="Calibri" w:hAnsi="Times New Roman" w:cs="Times New Roman"/>
          <w:i/>
          <w:sz w:val="24"/>
          <w:szCs w:val="24"/>
        </w:rPr>
      </w:pP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6B2B2941" w:rsidR="00054C41" w:rsidRPr="00D8247C" w:rsidRDefault="00A2736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r w:rsidR="00F04B2C">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3ADB6A0C" w:rsidR="00054C41" w:rsidRPr="00D8247C" w:rsidRDefault="00A2736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r w:rsidR="00F04B2C">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ListParagraph"/>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Pr="00CA7402" w:rsidRDefault="00FF414B" w:rsidP="00FF414B">
      <w:pPr>
        <w:pStyle w:val="ListParagraph"/>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vplyvy súvisiace so žiadosťami o alebo prijímaním dotácií, fondov, štátnej pomoci </w:t>
      </w:r>
      <w:r w:rsidRPr="00CA7402">
        <w:rPr>
          <w:rFonts w:ascii="Times New Roman" w:eastAsia="Calibri" w:hAnsi="Times New Roman" w:cs="Times New Roman"/>
          <w:i/>
          <w:sz w:val="24"/>
          <w:szCs w:val="24"/>
        </w:rPr>
        <w:t>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Pr="00CA7402" w:rsidRDefault="00FF414B" w:rsidP="00FF414B">
      <w:pPr>
        <w:pStyle w:val="ListParagraph"/>
        <w:numPr>
          <w:ilvl w:val="0"/>
          <w:numId w:val="6"/>
        </w:numPr>
        <w:spacing w:after="0" w:line="254" w:lineRule="auto"/>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regulované ceny podľa zákona č. 18/1996 Z. z. o cenách;</w:t>
      </w:r>
    </w:p>
    <w:p w14:paraId="3CEE247D" w14:textId="77777777" w:rsidR="00FF414B" w:rsidRPr="00CA7402" w:rsidRDefault="00FF414B" w:rsidP="00FF414B">
      <w:pPr>
        <w:pStyle w:val="ListParagraph"/>
        <w:numPr>
          <w:ilvl w:val="0"/>
          <w:numId w:val="6"/>
        </w:numPr>
        <w:spacing w:after="0" w:line="254" w:lineRule="auto"/>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iné vplyvy, ktoré predpokladá materiál, ale nemožno ich zaradiť do častí 3.1 a 3.3. </w:t>
      </w:r>
    </w:p>
    <w:p w14:paraId="0B4849FE" w14:textId="70DE4727" w:rsidR="00FF414B" w:rsidRPr="00CA7402" w:rsidRDefault="00FF414B" w:rsidP="00FF414B">
      <w:pPr>
        <w:spacing w:after="0"/>
        <w:jc w:val="both"/>
        <w:rPr>
          <w:rFonts w:ascii="Times New Roman" w:eastAsia="Calibri" w:hAnsi="Times New Roman" w:cs="Times New Roman"/>
          <w:i/>
          <w:sz w:val="24"/>
          <w:szCs w:val="24"/>
        </w:rPr>
      </w:pPr>
    </w:p>
    <w:p w14:paraId="0E85EFCA" w14:textId="2AD13C15" w:rsidR="004E05AF" w:rsidRPr="00CA7402" w:rsidRDefault="00E50F7F" w:rsidP="00FF414B">
      <w:pPr>
        <w:spacing w:after="0"/>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§184l </w:t>
      </w:r>
      <w:r w:rsidR="004E05AF" w:rsidRPr="00CA7402">
        <w:rPr>
          <w:rFonts w:ascii="Times New Roman" w:eastAsia="Calibri" w:hAnsi="Times New Roman" w:cs="Times New Roman"/>
          <w:i/>
          <w:sz w:val="24"/>
          <w:szCs w:val="24"/>
        </w:rPr>
        <w:t>upravuje sankčný mechanizmus v prípade porušenia odborných povinností garanta</w:t>
      </w:r>
      <w:r w:rsidR="0079703E" w:rsidRPr="00CA7402">
        <w:rPr>
          <w:rFonts w:ascii="Times New Roman" w:eastAsia="Calibri" w:hAnsi="Times New Roman" w:cs="Times New Roman"/>
          <w:i/>
          <w:sz w:val="24"/>
          <w:szCs w:val="24"/>
        </w:rPr>
        <w:t xml:space="preserve">, ktoré sú </w:t>
      </w:r>
      <w:r w:rsidR="0079703E" w:rsidRPr="00CA7402">
        <w:rPr>
          <w:rFonts w:eastAsia="Calibri"/>
          <w:b/>
          <w:i/>
        </w:rPr>
        <w:t>priamym dôsledkom</w:t>
      </w:r>
      <w:r w:rsidR="0079703E" w:rsidRPr="00CA7402">
        <w:rPr>
          <w:rFonts w:eastAsia="Calibri"/>
          <w:i/>
        </w:rPr>
        <w:t xml:space="preserve"> úkonu, činnosti, alebo opomenutia, ktoré vo verejnom obstarávaní vykonával alebo mal vykonať odborný garant</w:t>
      </w:r>
      <w:r w:rsidR="004E05AF" w:rsidRPr="00CA7402">
        <w:rPr>
          <w:rFonts w:ascii="Times New Roman" w:eastAsia="Calibri" w:hAnsi="Times New Roman" w:cs="Times New Roman"/>
          <w:i/>
          <w:sz w:val="24"/>
          <w:szCs w:val="24"/>
        </w:rPr>
        <w:t>. Finančne sankcie sa uplatňujú až po opakovanom porušení</w:t>
      </w:r>
      <w:r w:rsidR="0079703E" w:rsidRPr="00CA7402">
        <w:rPr>
          <w:rFonts w:ascii="Times New Roman" w:eastAsia="Calibri" w:hAnsi="Times New Roman" w:cs="Times New Roman"/>
          <w:i/>
          <w:sz w:val="24"/>
          <w:szCs w:val="24"/>
        </w:rPr>
        <w:t xml:space="preserve"> týchto</w:t>
      </w:r>
      <w:r w:rsidR="004E05AF" w:rsidRPr="00CA7402">
        <w:rPr>
          <w:rFonts w:ascii="Times New Roman" w:eastAsia="Calibri" w:hAnsi="Times New Roman" w:cs="Times New Roman"/>
          <w:i/>
          <w:sz w:val="24"/>
          <w:szCs w:val="24"/>
        </w:rPr>
        <w:t xml:space="preserve"> odborných povinností alebo ak odborný garant poruší niektorú</w:t>
      </w:r>
      <w:r w:rsidR="0079703E" w:rsidRPr="00CA7402">
        <w:rPr>
          <w:rFonts w:ascii="Times New Roman" w:eastAsia="Calibri" w:hAnsi="Times New Roman" w:cs="Times New Roman"/>
          <w:i/>
          <w:sz w:val="24"/>
          <w:szCs w:val="24"/>
        </w:rPr>
        <w:t xml:space="preserve"> zo svojich </w:t>
      </w:r>
      <w:r w:rsidR="004E05AF" w:rsidRPr="00CA7402">
        <w:rPr>
          <w:rFonts w:ascii="Times New Roman" w:eastAsia="Calibri" w:hAnsi="Times New Roman" w:cs="Times New Roman"/>
          <w:i/>
          <w:sz w:val="24"/>
          <w:szCs w:val="24"/>
        </w:rPr>
        <w:t xml:space="preserve">oznamovacích povinností. </w:t>
      </w:r>
    </w:p>
    <w:p w14:paraId="1A5CA519" w14:textId="3D85D28F" w:rsidR="00E50F7F" w:rsidRPr="00CA7402" w:rsidRDefault="004E05AF" w:rsidP="00FF414B">
      <w:pPr>
        <w:spacing w:after="0"/>
        <w:jc w:val="both"/>
        <w:rPr>
          <w:rFonts w:ascii="Times New Roman" w:eastAsia="Calibri" w:hAnsi="Times New Roman" w:cs="Times New Roman"/>
          <w:i/>
          <w:sz w:val="24"/>
          <w:szCs w:val="24"/>
        </w:rPr>
      </w:pPr>
      <w:r w:rsidRPr="00CA7402">
        <w:rPr>
          <w:rFonts w:ascii="Times New Roman" w:eastAsia="Calibri" w:hAnsi="Times New Roman" w:cs="Times New Roman"/>
          <w:i/>
          <w:sz w:val="24"/>
          <w:szCs w:val="24"/>
        </w:rPr>
        <w:t xml:space="preserve">Potreba uvedenej regulácie vyplýva zo skutočnosti, že úkony vykonávané osobami v oblasti verejného obstarávania nemajú dopad iba ich vlastnú hospodársku činnosť ale v prípade </w:t>
      </w:r>
      <w:r w:rsidRPr="00CA7402">
        <w:rPr>
          <w:rFonts w:ascii="Times New Roman" w:eastAsia="Calibri" w:hAnsi="Times New Roman" w:cs="Times New Roman"/>
          <w:i/>
          <w:sz w:val="24"/>
          <w:szCs w:val="24"/>
        </w:rPr>
        <w:lastRenderedPageBreak/>
        <w:t>nesprávnych postupov majú v</w:t>
      </w:r>
      <w:r w:rsidR="0079703E" w:rsidRPr="00CA7402">
        <w:rPr>
          <w:rFonts w:ascii="Times New Roman" w:eastAsia="Calibri" w:hAnsi="Times New Roman" w:cs="Times New Roman"/>
          <w:i/>
          <w:sz w:val="24"/>
          <w:szCs w:val="24"/>
        </w:rPr>
        <w:t>plyv priamo</w:t>
      </w:r>
      <w:r w:rsidRPr="00CA7402">
        <w:rPr>
          <w:rFonts w:ascii="Times New Roman" w:eastAsia="Calibri" w:hAnsi="Times New Roman" w:cs="Times New Roman"/>
          <w:i/>
          <w:sz w:val="24"/>
          <w:szCs w:val="24"/>
        </w:rPr>
        <w:t xml:space="preserve"> na rozpočet verejnej správy</w:t>
      </w:r>
      <w:r w:rsidR="0079703E" w:rsidRPr="00CA7402">
        <w:rPr>
          <w:rFonts w:ascii="Times New Roman" w:eastAsia="Calibri" w:hAnsi="Times New Roman" w:cs="Times New Roman"/>
          <w:i/>
          <w:sz w:val="24"/>
          <w:szCs w:val="24"/>
        </w:rPr>
        <w:t xml:space="preserve"> (napr. následné pokuty alebo finančné opravy v prípade eurofondových zákaziek)</w:t>
      </w:r>
      <w:r w:rsidRPr="00CA7402">
        <w:rPr>
          <w:rFonts w:ascii="Times New Roman" w:eastAsia="Calibri" w:hAnsi="Times New Roman" w:cs="Times New Roman"/>
          <w:i/>
          <w:sz w:val="24"/>
          <w:szCs w:val="24"/>
        </w:rPr>
        <w:t xml:space="preserve">  </w:t>
      </w:r>
    </w:p>
    <w:p w14:paraId="567581BF" w14:textId="77777777" w:rsidR="00054C41" w:rsidRPr="00CA7402" w:rsidRDefault="00054C41" w:rsidP="00054C41">
      <w:pPr>
        <w:spacing w:after="0"/>
        <w:jc w:val="both"/>
        <w:rPr>
          <w:rFonts w:ascii="Times New Roman" w:eastAsia="Calibri" w:hAnsi="Times New Roman" w:cs="Times New Roman"/>
          <w:i/>
        </w:rPr>
      </w:pPr>
    </w:p>
    <w:p w14:paraId="74FF4D88" w14:textId="77777777" w:rsidR="00054C41" w:rsidRPr="00CA7402" w:rsidRDefault="00054C41" w:rsidP="00054C41">
      <w:pPr>
        <w:spacing w:after="0" w:line="240" w:lineRule="auto"/>
        <w:jc w:val="center"/>
        <w:rPr>
          <w:rFonts w:ascii="Times New Roman" w:eastAsia="Times New Roman" w:hAnsi="Times New Roman" w:cs="Times New Roman"/>
          <w:b/>
          <w:sz w:val="28"/>
          <w:szCs w:val="28"/>
          <w:lang w:eastAsia="sk-SK"/>
        </w:rPr>
      </w:pPr>
      <w:r w:rsidRPr="00CA7402">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w:t>
      </w:r>
      <w:r w:rsidRPr="00D8247C">
        <w:rPr>
          <w:rFonts w:ascii="Times New Roman" w:eastAsia="Times New Roman" w:hAnsi="Times New Roman" w:cs="Times New Roman"/>
          <w:sz w:val="24"/>
          <w:szCs w:val="24"/>
          <w:lang w:eastAsia="sk-SK"/>
        </w:rPr>
        <w:lastRenderedPageBreak/>
        <w:t xml:space="preserve">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6501B4" w:rsidRDefault="006501B4" w:rsidP="004D20CB">
                              <w:pPr>
                                <w:pStyle w:val="NormalWeb"/>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6501B4" w:rsidRDefault="006501B4" w:rsidP="004D20CB">
                              <w:pPr>
                                <w:pStyle w:val="NormalWeb"/>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6501B4" w:rsidRDefault="006501B4" w:rsidP="004D20CB">
                              <w:pPr>
                                <w:pStyle w:val="NormalWeb"/>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6501B4" w:rsidRDefault="006501B4"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6501B4" w:rsidRDefault="006501B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6501B4" w:rsidRDefault="006501B4"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6501B4" w:rsidRDefault="006501B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6501B4" w:rsidRDefault="006501B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6501B4" w:rsidRDefault="006501B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6501B4" w:rsidRDefault="006501B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6501B4" w:rsidRDefault="006501B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6501B4" w:rsidRDefault="006501B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r w:rsidRPr="00895898">
        <w:rPr>
          <w:rFonts w:ascii="Times New Roman" w:eastAsia="Times New Roman" w:hAnsi="Times New Roman" w:cs="Times New Roman"/>
          <w:i/>
          <w:lang w:val="en-US"/>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Tarifa – pre zjednodušenie výpočtov vychádza z priemernej ceny práce, ktorá je uvedená v Kalkulačke nákladov (priemerná mzda + odvody zamestnávateľa).</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6501B4" w:rsidRPr="00714F21" w:rsidRDefault="006501B4" w:rsidP="00054C41">
                              <w:pPr>
                                <w:pStyle w:val="NormalWeb"/>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6501B4" w:rsidRPr="00714F21" w:rsidRDefault="006501B4" w:rsidP="00054C41">
                              <w:pPr>
                                <w:pStyle w:val="NormalWeb"/>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6501B4" w:rsidRPr="00714F21" w:rsidRDefault="006501B4" w:rsidP="00054C41">
                              <w:pPr>
                                <w:pStyle w:val="NormalWeb"/>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6501B4" w:rsidRDefault="006501B4" w:rsidP="00054C41">
                              <w:pPr>
                                <w:pStyle w:val="NormalWeb"/>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6501B4" w:rsidRDefault="006501B4" w:rsidP="00054C41">
                              <w:pPr>
                                <w:pStyle w:val="NormalWeb"/>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6501B4" w:rsidRPr="00714F21" w:rsidRDefault="006501B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6501B4" w:rsidRPr="00714F21" w:rsidRDefault="006501B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6501B4" w:rsidRPr="00714F21" w:rsidRDefault="006501B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6501B4" w:rsidRDefault="006501B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6501B4" w:rsidRDefault="006501B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6501B4" w:rsidRDefault="006501B4" w:rsidP="00054C41">
                                <w:pPr>
                                  <w:pStyle w:val="NormalWeb"/>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6501B4" w:rsidRDefault="006501B4" w:rsidP="00054C41">
                                <w:pPr>
                                  <w:pStyle w:val="NormalWeb"/>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6501B4" w:rsidRDefault="006501B4" w:rsidP="00054C41">
                                <w:pPr>
                                  <w:pStyle w:val="NormalWeb"/>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6501B4" w:rsidRPr="00895898" w:rsidRDefault="006501B4" w:rsidP="00054C41">
                                <w:pPr>
                                  <w:pStyle w:val="NormalWeb"/>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6501B4" w:rsidRDefault="006501B4"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6501B4" w:rsidRDefault="006501B4"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6501B4" w:rsidRDefault="006501B4"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6501B4" w:rsidRPr="00895898" w:rsidRDefault="006501B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6501B4" w:rsidRPr="00714F21" w:rsidRDefault="006501B4" w:rsidP="00054C41">
                              <w:pPr>
                                <w:pStyle w:val="NormalWeb"/>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6501B4" w:rsidRPr="00714F21" w:rsidRDefault="006501B4" w:rsidP="00054C41">
                              <w:pPr>
                                <w:pStyle w:val="NormalWeb"/>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6501B4" w:rsidRPr="00714F21" w:rsidRDefault="006501B4" w:rsidP="00054C41">
                              <w:pPr>
                                <w:pStyle w:val="NormalWeb"/>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6501B4" w:rsidRDefault="006501B4" w:rsidP="00054C41">
                              <w:pPr>
                                <w:pStyle w:val="NormalWeb"/>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6501B4" w:rsidRDefault="006501B4" w:rsidP="00054C41">
                              <w:pPr>
                                <w:pStyle w:val="NormalWeb"/>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6501B4" w:rsidRPr="00714F21" w:rsidRDefault="006501B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6501B4" w:rsidRPr="00714F21" w:rsidRDefault="006501B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6501B4" w:rsidRPr="00714F21" w:rsidRDefault="006501B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6501B4" w:rsidRDefault="006501B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6501B4" w:rsidRDefault="006501B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EB5B" w14:textId="77777777" w:rsidR="00A27360" w:rsidRDefault="00A27360" w:rsidP="00054C41">
      <w:pPr>
        <w:spacing w:after="0" w:line="240" w:lineRule="auto"/>
      </w:pPr>
      <w:r>
        <w:separator/>
      </w:r>
    </w:p>
  </w:endnote>
  <w:endnote w:type="continuationSeparator" w:id="0">
    <w:p w14:paraId="2CB43DEC" w14:textId="77777777" w:rsidR="00A27360" w:rsidRDefault="00A27360"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06B76032" w:rsidR="006501B4" w:rsidRPr="006045CB" w:rsidRDefault="006501B4" w:rsidP="00054C41">
        <w:pPr>
          <w:pStyle w:val="Footer"/>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F55AC">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D48B09B" w14:textId="77777777" w:rsidR="006501B4" w:rsidRPr="00FF7125" w:rsidRDefault="006501B4" w:rsidP="00054C41">
    <w:pPr>
      <w:pStyle w:val="Footer"/>
      <w:rPr>
        <w:sz w:val="24"/>
        <w:szCs w:val="24"/>
      </w:rPr>
    </w:pPr>
  </w:p>
  <w:p w14:paraId="68AC3825" w14:textId="77777777" w:rsidR="006501B4" w:rsidRDefault="0065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AAF2" w14:textId="77777777" w:rsidR="00A27360" w:rsidRDefault="00A27360" w:rsidP="00054C41">
      <w:pPr>
        <w:spacing w:after="0" w:line="240" w:lineRule="auto"/>
      </w:pPr>
      <w:r>
        <w:separator/>
      </w:r>
    </w:p>
  </w:footnote>
  <w:footnote w:type="continuationSeparator" w:id="0">
    <w:p w14:paraId="2F676CF2" w14:textId="77777777" w:rsidR="00A27360" w:rsidRDefault="00A27360"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3C60" w14:textId="35DE3B53" w:rsidR="006501B4" w:rsidRPr="006045CB" w:rsidRDefault="006501B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6501B4" w:rsidRPr="006045CB" w:rsidRDefault="006501B4" w:rsidP="0014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87E515E"/>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C3789A"/>
    <w:multiLevelType w:val="hybridMultilevel"/>
    <w:tmpl w:val="A2564A64"/>
    <w:lvl w:ilvl="0" w:tplc="F7FE57B8">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54C41"/>
    <w:rsid w:val="00060DA1"/>
    <w:rsid w:val="000C5E9A"/>
    <w:rsid w:val="00142154"/>
    <w:rsid w:val="001B4C03"/>
    <w:rsid w:val="001D1083"/>
    <w:rsid w:val="001D3FA0"/>
    <w:rsid w:val="001D6CFD"/>
    <w:rsid w:val="001E53CB"/>
    <w:rsid w:val="00225555"/>
    <w:rsid w:val="00225A83"/>
    <w:rsid w:val="00270EA5"/>
    <w:rsid w:val="002A182E"/>
    <w:rsid w:val="00340CFD"/>
    <w:rsid w:val="00351BDE"/>
    <w:rsid w:val="00360FA9"/>
    <w:rsid w:val="0038255E"/>
    <w:rsid w:val="00391648"/>
    <w:rsid w:val="0039304E"/>
    <w:rsid w:val="003E58B8"/>
    <w:rsid w:val="003F06D7"/>
    <w:rsid w:val="00422A19"/>
    <w:rsid w:val="00441A99"/>
    <w:rsid w:val="00445638"/>
    <w:rsid w:val="00446432"/>
    <w:rsid w:val="004D20CB"/>
    <w:rsid w:val="004E05AF"/>
    <w:rsid w:val="005117BA"/>
    <w:rsid w:val="006501B4"/>
    <w:rsid w:val="006E7319"/>
    <w:rsid w:val="006F55AC"/>
    <w:rsid w:val="007259CB"/>
    <w:rsid w:val="0077106D"/>
    <w:rsid w:val="0079703E"/>
    <w:rsid w:val="007B40FB"/>
    <w:rsid w:val="007E24B2"/>
    <w:rsid w:val="008634E9"/>
    <w:rsid w:val="008801B5"/>
    <w:rsid w:val="008B4AA1"/>
    <w:rsid w:val="008C1C71"/>
    <w:rsid w:val="00923C0C"/>
    <w:rsid w:val="009243AB"/>
    <w:rsid w:val="00926ABA"/>
    <w:rsid w:val="009A4D56"/>
    <w:rsid w:val="009E09F7"/>
    <w:rsid w:val="00A000DA"/>
    <w:rsid w:val="00A1736E"/>
    <w:rsid w:val="00A27360"/>
    <w:rsid w:val="00B66E33"/>
    <w:rsid w:val="00BD0EF7"/>
    <w:rsid w:val="00C21399"/>
    <w:rsid w:val="00C560C4"/>
    <w:rsid w:val="00C6748F"/>
    <w:rsid w:val="00CA7402"/>
    <w:rsid w:val="00CC50EC"/>
    <w:rsid w:val="00D005F2"/>
    <w:rsid w:val="00D631FA"/>
    <w:rsid w:val="00D82356"/>
    <w:rsid w:val="00D84EEE"/>
    <w:rsid w:val="00D90A61"/>
    <w:rsid w:val="00E030DA"/>
    <w:rsid w:val="00E50F7F"/>
    <w:rsid w:val="00E974E4"/>
    <w:rsid w:val="00EB2BEC"/>
    <w:rsid w:val="00EC0704"/>
    <w:rsid w:val="00ED6B5D"/>
    <w:rsid w:val="00EE4C99"/>
    <w:rsid w:val="00EE79A3"/>
    <w:rsid w:val="00F04B2C"/>
    <w:rsid w:val="00F11188"/>
    <w:rsid w:val="00F354B9"/>
    <w:rsid w:val="00F74FC9"/>
    <w:rsid w:val="00FF2136"/>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4C41"/>
  </w:style>
  <w:style w:type="paragraph" w:styleId="NormalWeb">
    <w:name w:val="Normal (Web)"/>
    <w:basedOn w:val="Normal"/>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TableNormal"/>
    <w:next w:val="TableGrid"/>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4C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C41"/>
  </w:style>
  <w:style w:type="paragraph" w:styleId="BalloonText">
    <w:name w:val="Balloon Text"/>
    <w:basedOn w:val="Normal"/>
    <w:link w:val="BalloonTextChar"/>
    <w:uiPriority w:val="99"/>
    <w:semiHidden/>
    <w:unhideWhenUsed/>
    <w:rsid w:val="001B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03"/>
    <w:rPr>
      <w:rFonts w:ascii="Segoe UI" w:hAnsi="Segoe UI" w:cs="Segoe UI"/>
      <w:sz w:val="18"/>
      <w:szCs w:val="18"/>
    </w:rPr>
  </w:style>
  <w:style w:type="character" w:styleId="CommentReference">
    <w:name w:val="annotation reference"/>
    <w:basedOn w:val="DefaultParagraphFont"/>
    <w:uiPriority w:val="99"/>
    <w:semiHidden/>
    <w:unhideWhenUsed/>
    <w:rsid w:val="001B4C03"/>
    <w:rPr>
      <w:sz w:val="16"/>
      <w:szCs w:val="16"/>
    </w:rPr>
  </w:style>
  <w:style w:type="paragraph" w:styleId="CommentText">
    <w:name w:val="annotation text"/>
    <w:basedOn w:val="Normal"/>
    <w:link w:val="CommentTextChar"/>
    <w:uiPriority w:val="99"/>
    <w:unhideWhenUsed/>
    <w:rsid w:val="001B4C03"/>
    <w:pPr>
      <w:spacing w:line="240" w:lineRule="auto"/>
    </w:pPr>
    <w:rPr>
      <w:sz w:val="20"/>
      <w:szCs w:val="20"/>
    </w:rPr>
  </w:style>
  <w:style w:type="character" w:customStyle="1" w:styleId="CommentTextChar">
    <w:name w:val="Comment Text Char"/>
    <w:basedOn w:val="DefaultParagraphFont"/>
    <w:link w:val="CommentText"/>
    <w:uiPriority w:val="99"/>
    <w:rsid w:val="001B4C03"/>
    <w:rPr>
      <w:sz w:val="20"/>
      <w:szCs w:val="20"/>
    </w:rPr>
  </w:style>
  <w:style w:type="paragraph" w:styleId="CommentSubject">
    <w:name w:val="annotation subject"/>
    <w:basedOn w:val="CommentText"/>
    <w:next w:val="CommentText"/>
    <w:link w:val="CommentSubjectChar"/>
    <w:uiPriority w:val="99"/>
    <w:semiHidden/>
    <w:unhideWhenUsed/>
    <w:rsid w:val="001B4C03"/>
    <w:rPr>
      <w:b/>
      <w:bCs/>
    </w:rPr>
  </w:style>
  <w:style w:type="character" w:customStyle="1" w:styleId="CommentSubjectChar">
    <w:name w:val="Comment Subject Char"/>
    <w:basedOn w:val="CommentTextChar"/>
    <w:link w:val="CommentSubject"/>
    <w:uiPriority w:val="99"/>
    <w:semiHidden/>
    <w:rsid w:val="001B4C03"/>
    <w:rPr>
      <w:b/>
      <w:bCs/>
      <w:sz w:val="20"/>
      <w:szCs w:val="20"/>
    </w:rPr>
  </w:style>
  <w:style w:type="paragraph" w:styleId="ListParagraph">
    <w:name w:val="List Paragraph"/>
    <w:basedOn w:val="Normal"/>
    <w:link w:val="ListParagraphChar"/>
    <w:uiPriority w:val="34"/>
    <w:qFormat/>
    <w:rsid w:val="00EE4C99"/>
    <w:pPr>
      <w:ind w:left="720"/>
      <w:contextualSpacing/>
    </w:pPr>
  </w:style>
  <w:style w:type="character" w:customStyle="1" w:styleId="ListParagraphChar">
    <w:name w:val="List Paragraph Char"/>
    <w:link w:val="ListParagraph"/>
    <w:uiPriority w:val="34"/>
    <w:rsid w:val="00E50F7F"/>
  </w:style>
  <w:style w:type="paragraph" w:styleId="BodyText">
    <w:name w:val="Body Text"/>
    <w:basedOn w:val="Normal"/>
    <w:link w:val="BodyTextChar"/>
    <w:uiPriority w:val="1"/>
    <w:qFormat/>
    <w:rsid w:val="001D6CFD"/>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D6CFD"/>
    <w:rPr>
      <w:rFonts w:ascii="Times New Roman" w:eastAsia="Times New Roman" w:hAnsi="Times New Roman" w:cs="Times New Roman"/>
      <w:sz w:val="24"/>
      <w:szCs w:val="24"/>
    </w:rPr>
  </w:style>
  <w:style w:type="character" w:styleId="Strong">
    <w:name w:val="Strong"/>
    <w:basedOn w:val="DefaultParagraphFont"/>
    <w:uiPriority w:val="22"/>
    <w:qFormat/>
    <w:rsid w:val="009243AB"/>
    <w:rPr>
      <w:b/>
      <w:bCs/>
    </w:rPr>
  </w:style>
  <w:style w:type="character" w:styleId="Hyperlink">
    <w:name w:val="Hyperlink"/>
    <w:basedOn w:val="DefaultParagraphFont"/>
    <w:uiPriority w:val="99"/>
    <w:unhideWhenUsed/>
    <w:rsid w:val="00924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vo.gov.sk/2020-66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DF9F5AF-D02F-4CC1-9EC0-C75EBE27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5272</Words>
  <Characters>30057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2021-06-21T08:47:00Z</dcterms:created>
  <dcterms:modified xsi:type="dcterms:W3CDTF">2021-06-21T09:47:00Z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