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164"/>
        <w:gridCol w:w="103"/>
        <w:gridCol w:w="1267"/>
      </w:tblGrid>
      <w:tr w:rsidR="007D5748" w:rsidRPr="007D5748" w:rsidTr="00165FDE">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5"/>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664F07" w:rsidRPr="007D5748" w:rsidTr="00165FDE">
        <w:trPr>
          <w:cantSplit/>
          <w:trHeight w:val="70"/>
          <w:jc w:val="center"/>
        </w:trPr>
        <w:tc>
          <w:tcPr>
            <w:tcW w:w="4661" w:type="dxa"/>
            <w:vMerge/>
            <w:shd w:val="clear" w:color="auto" w:fill="BFBFBF" w:themeFill="background1" w:themeFillShade="BF"/>
            <w:vAlign w:val="center"/>
          </w:tcPr>
          <w:p w:rsidR="00664F07" w:rsidRPr="007D5748" w:rsidRDefault="00664F07" w:rsidP="00664F07">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664F07" w:rsidRPr="007D5748" w:rsidRDefault="00664F07" w:rsidP="00664F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664F07" w:rsidRPr="007D5748" w:rsidRDefault="00664F07" w:rsidP="00664F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gridSpan w:val="2"/>
            <w:shd w:val="clear" w:color="auto" w:fill="BFBFBF" w:themeFill="background1" w:themeFillShade="BF"/>
            <w:vAlign w:val="center"/>
          </w:tcPr>
          <w:p w:rsidR="00664F07" w:rsidRPr="007D5748" w:rsidRDefault="00664F07" w:rsidP="00664F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664F07" w:rsidRPr="007D5748" w:rsidRDefault="00664F07" w:rsidP="00664F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664F07" w:rsidRPr="007D5748" w:rsidTr="00165FDE">
        <w:trPr>
          <w:trHeight w:val="70"/>
          <w:jc w:val="center"/>
        </w:trPr>
        <w:tc>
          <w:tcPr>
            <w:tcW w:w="4661" w:type="dxa"/>
            <w:shd w:val="clear" w:color="auto" w:fill="C0C0C0"/>
            <w:noWrap/>
            <w:vAlign w:val="center"/>
          </w:tcPr>
          <w:p w:rsidR="00664F07" w:rsidRPr="007D5748" w:rsidRDefault="00664F07" w:rsidP="00664F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C0C0C0"/>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gridSpan w:val="2"/>
            <w:shd w:val="clear" w:color="auto" w:fill="C0C0C0"/>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664F07" w:rsidRPr="007D5748" w:rsidTr="00165FDE">
        <w:trPr>
          <w:trHeight w:val="132"/>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p>
        </w:tc>
      </w:tr>
      <w:tr w:rsidR="00664F07" w:rsidRPr="007D5748" w:rsidTr="00165FDE">
        <w:trPr>
          <w:trHeight w:val="125"/>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0</w:t>
            </w:r>
          </w:p>
        </w:tc>
      </w:tr>
      <w:tr w:rsidR="00664F07" w:rsidRPr="007D5748" w:rsidTr="00165FDE">
        <w:trPr>
          <w:trHeight w:val="125"/>
          <w:jc w:val="center"/>
        </w:trPr>
        <w:tc>
          <w:tcPr>
            <w:tcW w:w="4661" w:type="dxa"/>
            <w:noWrap/>
            <w:vAlign w:val="center"/>
          </w:tcPr>
          <w:p w:rsidR="00664F07" w:rsidRPr="007D5748" w:rsidRDefault="00664F07" w:rsidP="00664F07">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0</w:t>
            </w:r>
          </w:p>
        </w:tc>
      </w:tr>
      <w:tr w:rsidR="00664F07" w:rsidRPr="007D5748" w:rsidTr="00165FDE">
        <w:trPr>
          <w:trHeight w:val="125"/>
          <w:jc w:val="center"/>
        </w:trPr>
        <w:tc>
          <w:tcPr>
            <w:tcW w:w="4661" w:type="dxa"/>
            <w:noWrap/>
            <w:vAlign w:val="center"/>
          </w:tcPr>
          <w:p w:rsidR="00664F07" w:rsidRPr="007D5748" w:rsidRDefault="00664F07" w:rsidP="00664F07">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64F07" w:rsidRPr="007D5748" w:rsidTr="00165FDE">
        <w:trPr>
          <w:trHeight w:val="125"/>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125"/>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125"/>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125"/>
          <w:jc w:val="center"/>
        </w:trPr>
        <w:tc>
          <w:tcPr>
            <w:tcW w:w="4661" w:type="dxa"/>
            <w:shd w:val="clear" w:color="auto" w:fill="C0C0C0"/>
            <w:noWrap/>
            <w:vAlign w:val="center"/>
          </w:tcPr>
          <w:p w:rsidR="00664F07" w:rsidRPr="007D5748" w:rsidRDefault="00664F07" w:rsidP="00664F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664F07" w:rsidRPr="007D5748" w:rsidRDefault="00453D6C" w:rsidP="00664F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804 276</w:t>
            </w:r>
          </w:p>
        </w:tc>
        <w:tc>
          <w:tcPr>
            <w:tcW w:w="1267" w:type="dxa"/>
            <w:shd w:val="clear" w:color="auto" w:fill="C0C0C0"/>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gridSpan w:val="2"/>
            <w:shd w:val="clear" w:color="auto" w:fill="C0C0C0"/>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c>
          <w:tcPr>
            <w:tcW w:w="1267" w:type="dxa"/>
            <w:shd w:val="clear" w:color="auto" w:fill="C0C0C0"/>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4E0D93" w:rsidRPr="00011442" w:rsidTr="00825DEF">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4E0D93" w:rsidRPr="00011442" w:rsidRDefault="004E0D93" w:rsidP="00825DEF">
            <w:pPr>
              <w:spacing w:after="0" w:line="240" w:lineRule="auto"/>
              <w:rPr>
                <w:rFonts w:ascii="Times New Roman" w:eastAsia="Times New Roman" w:hAnsi="Times New Roman" w:cs="Times New Roman"/>
                <w:sz w:val="20"/>
                <w:szCs w:val="20"/>
                <w:lang w:eastAsia="sk-SK"/>
              </w:rPr>
            </w:pPr>
            <w:r w:rsidRPr="00011442">
              <w:rPr>
                <w:rFonts w:ascii="Times New Roman" w:eastAsia="Times New Roman" w:hAnsi="Times New Roman" w:cs="Times New Roman"/>
                <w:sz w:val="20"/>
                <w:szCs w:val="20"/>
                <w:lang w:eastAsia="sk-SK"/>
              </w:rPr>
              <w:t>v tom:  kapitola MF SR/0EK 0D IT financované zo ŠR – MF SR (</w:t>
            </w:r>
            <w:proofErr w:type="spellStart"/>
            <w:r w:rsidRPr="00011442">
              <w:rPr>
                <w:rFonts w:ascii="Times New Roman" w:eastAsia="Times New Roman" w:hAnsi="Times New Roman" w:cs="Times New Roman"/>
                <w:sz w:val="20"/>
                <w:szCs w:val="20"/>
                <w:lang w:eastAsia="sk-SK"/>
              </w:rPr>
              <w:t>org</w:t>
            </w:r>
            <w:proofErr w:type="spellEnd"/>
            <w:r w:rsidRPr="00011442">
              <w:rPr>
                <w:rFonts w:ascii="Times New Roman" w:eastAsia="Times New Roman" w:hAnsi="Times New Roman" w:cs="Times New Roman"/>
                <w:sz w:val="20"/>
                <w:szCs w:val="20"/>
                <w:lang w:eastAsia="sk-SK"/>
              </w:rPr>
              <w:t>. MF SR – úrad)</w:t>
            </w:r>
          </w:p>
        </w:tc>
        <w:tc>
          <w:tcPr>
            <w:tcW w:w="1267" w:type="dxa"/>
            <w:tcBorders>
              <w:top w:val="single" w:sz="4" w:space="0" w:color="auto"/>
              <w:left w:val="single" w:sz="4" w:space="0" w:color="auto"/>
              <w:bottom w:val="single" w:sz="4" w:space="0" w:color="auto"/>
              <w:right w:val="single" w:sz="4" w:space="0" w:color="auto"/>
            </w:tcBorders>
            <w:noWrap/>
            <w:vAlign w:val="center"/>
          </w:tcPr>
          <w:p w:rsidR="004E0D93" w:rsidRPr="00225004" w:rsidRDefault="004E0D93" w:rsidP="004E0D9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263 340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011442" w:rsidRDefault="004E0D93" w:rsidP="00825DEF">
            <w:pPr>
              <w:spacing w:after="0" w:line="240" w:lineRule="auto"/>
              <w:jc w:val="right"/>
              <w:rPr>
                <w:rFonts w:ascii="Times New Roman" w:eastAsia="Times New Roman" w:hAnsi="Times New Roman" w:cs="Times New Roman"/>
                <w:sz w:val="24"/>
                <w:szCs w:val="24"/>
                <w:lang w:eastAsia="sk-SK"/>
              </w:rPr>
            </w:pPr>
            <w:r w:rsidRPr="00011442">
              <w:rPr>
                <w:rFonts w:ascii="Times New Roman" w:eastAsia="Times New Roman" w:hAnsi="Times New Roman" w:cs="Times New Roman"/>
                <w:sz w:val="24"/>
                <w:szCs w:val="24"/>
                <w:lang w:eastAsia="sk-SK"/>
              </w:rPr>
              <w:t>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011442" w:rsidRDefault="004E0D93" w:rsidP="00825DE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011442" w:rsidRDefault="004E0D93" w:rsidP="00825DE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4E0D93" w:rsidRPr="00011442" w:rsidTr="00825DEF">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4E0D93" w:rsidRPr="00011442" w:rsidRDefault="004E0D93" w:rsidP="00825DEF">
            <w:pPr>
              <w:spacing w:after="0" w:line="240" w:lineRule="auto"/>
              <w:rPr>
                <w:rFonts w:ascii="Times New Roman" w:eastAsia="Times New Roman" w:hAnsi="Times New Roman" w:cs="Times New Roman"/>
                <w:sz w:val="20"/>
                <w:szCs w:val="20"/>
                <w:lang w:eastAsia="sk-SK"/>
              </w:rPr>
            </w:pPr>
            <w:r w:rsidRPr="00011442">
              <w:rPr>
                <w:rFonts w:ascii="Times New Roman" w:eastAsia="Times New Roman" w:hAnsi="Times New Roman" w:cs="Times New Roman"/>
                <w:sz w:val="20"/>
                <w:szCs w:val="20"/>
                <w:lang w:eastAsia="sk-SK"/>
              </w:rPr>
              <w:t>kapitola MF SR/0EK 0D IT financované zo ŠR – MF SR (</w:t>
            </w:r>
            <w:proofErr w:type="spellStart"/>
            <w:r w:rsidRPr="00011442">
              <w:rPr>
                <w:rFonts w:ascii="Times New Roman" w:eastAsia="Times New Roman" w:hAnsi="Times New Roman" w:cs="Times New Roman"/>
                <w:sz w:val="20"/>
                <w:szCs w:val="20"/>
                <w:lang w:eastAsia="sk-SK"/>
              </w:rPr>
              <w:t>org</w:t>
            </w:r>
            <w:proofErr w:type="spellEnd"/>
            <w:r w:rsidRPr="00011442">
              <w:rPr>
                <w:rFonts w:ascii="Times New Roman" w:eastAsia="Times New Roman" w:hAnsi="Times New Roman" w:cs="Times New Roman"/>
                <w:sz w:val="20"/>
                <w:szCs w:val="20"/>
                <w:lang w:eastAsia="sk-SK"/>
              </w:rPr>
              <w:t>. FR SR)</w:t>
            </w:r>
          </w:p>
        </w:tc>
        <w:tc>
          <w:tcPr>
            <w:tcW w:w="1267" w:type="dxa"/>
            <w:tcBorders>
              <w:top w:val="single" w:sz="4" w:space="0" w:color="auto"/>
              <w:left w:val="single" w:sz="4" w:space="0" w:color="auto"/>
              <w:bottom w:val="single" w:sz="4" w:space="0" w:color="auto"/>
              <w:right w:val="single" w:sz="4" w:space="0" w:color="auto"/>
            </w:tcBorders>
            <w:noWrap/>
            <w:vAlign w:val="center"/>
          </w:tcPr>
          <w:p w:rsidR="004E0D93" w:rsidRPr="00225004" w:rsidRDefault="00453D6C" w:rsidP="00825DE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540 936</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011442" w:rsidRDefault="004E0D93" w:rsidP="00825DE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011442" w:rsidRDefault="004E0D93" w:rsidP="00825DE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011442" w:rsidRDefault="004E0D93" w:rsidP="00825DE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64F07" w:rsidRPr="007D5748" w:rsidTr="004E0D93">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p>
        </w:tc>
        <w:tc>
          <w:tcPr>
            <w:tcW w:w="1164"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p>
        </w:tc>
        <w:tc>
          <w:tcPr>
            <w:tcW w:w="1370"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64F07" w:rsidRPr="00D94FFC" w:rsidRDefault="00453D6C"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804 276</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664F07" w:rsidRPr="00947B95" w:rsidRDefault="00453D6C" w:rsidP="00664F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
                <w:bCs/>
                <w:sz w:val="24"/>
                <w:szCs w:val="24"/>
                <w:lang w:eastAsia="sk-SK"/>
              </w:rPr>
              <w:t>804 276</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64F07" w:rsidRPr="007D5748" w:rsidTr="00165FDE">
        <w:trPr>
          <w:trHeight w:val="125"/>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125"/>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D7F22" w:rsidRPr="007D5748" w:rsidTr="00165FDE">
        <w:trPr>
          <w:trHeight w:val="125"/>
          <w:jc w:val="center"/>
        </w:trPr>
        <w:tc>
          <w:tcPr>
            <w:tcW w:w="4661" w:type="dxa"/>
            <w:noWrap/>
            <w:vAlign w:val="center"/>
          </w:tcPr>
          <w:p w:rsidR="00FD7F22" w:rsidRPr="007D5748" w:rsidRDefault="00FD7F22" w:rsidP="00664F07">
            <w:pPr>
              <w:spacing w:after="0" w:line="240" w:lineRule="auto"/>
              <w:rPr>
                <w:rFonts w:ascii="Times New Roman" w:eastAsia="Times New Roman" w:hAnsi="Times New Roman" w:cs="Times New Roman"/>
                <w:b/>
                <w:bCs/>
                <w:i/>
                <w:iCs/>
                <w:sz w:val="24"/>
                <w:szCs w:val="24"/>
                <w:lang w:eastAsia="sk-SK"/>
              </w:rPr>
            </w:pPr>
          </w:p>
        </w:tc>
        <w:tc>
          <w:tcPr>
            <w:tcW w:w="1267" w:type="dxa"/>
            <w:noWrap/>
            <w:vAlign w:val="center"/>
          </w:tcPr>
          <w:p w:rsidR="00FD7F22" w:rsidRPr="007D5748" w:rsidRDefault="00FD7F22" w:rsidP="00664F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D7F22" w:rsidRPr="007D5748" w:rsidRDefault="00FD7F22" w:rsidP="00664F07">
            <w:pPr>
              <w:spacing w:after="0" w:line="240" w:lineRule="auto"/>
              <w:jc w:val="right"/>
              <w:rPr>
                <w:rFonts w:ascii="Times New Roman" w:eastAsia="Times New Roman" w:hAnsi="Times New Roman" w:cs="Times New Roman"/>
                <w:b/>
                <w:bCs/>
                <w:iCs/>
                <w:sz w:val="24"/>
                <w:szCs w:val="24"/>
                <w:lang w:eastAsia="sk-SK"/>
              </w:rPr>
            </w:pPr>
          </w:p>
        </w:tc>
        <w:tc>
          <w:tcPr>
            <w:tcW w:w="1267" w:type="dxa"/>
            <w:gridSpan w:val="2"/>
            <w:noWrap/>
            <w:vAlign w:val="center"/>
          </w:tcPr>
          <w:p w:rsidR="00FD7F22" w:rsidRPr="007D5748" w:rsidRDefault="00FD7F22" w:rsidP="00664F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D7F22" w:rsidRPr="007D5748" w:rsidRDefault="00FD7F22" w:rsidP="00664F07">
            <w:pPr>
              <w:spacing w:after="0" w:line="240" w:lineRule="auto"/>
              <w:jc w:val="right"/>
              <w:rPr>
                <w:rFonts w:ascii="Times New Roman" w:eastAsia="Times New Roman" w:hAnsi="Times New Roman" w:cs="Times New Roman"/>
                <w:b/>
                <w:bCs/>
                <w:iCs/>
                <w:sz w:val="24"/>
                <w:szCs w:val="24"/>
                <w:lang w:eastAsia="sk-SK"/>
              </w:rPr>
            </w:pP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shd w:val="clear" w:color="auto" w:fill="BFBFBF" w:themeFill="background1" w:themeFillShade="BF"/>
            <w:noWrap/>
            <w:vAlign w:val="center"/>
          </w:tcPr>
          <w:p w:rsidR="00664F07" w:rsidRPr="007D5748" w:rsidRDefault="00664F07" w:rsidP="00664F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gridSpan w:val="2"/>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shd w:val="clear" w:color="auto" w:fill="BFBFBF" w:themeFill="background1" w:themeFillShade="BF"/>
            <w:noWrap/>
            <w:vAlign w:val="center"/>
          </w:tcPr>
          <w:p w:rsidR="00664F07" w:rsidRPr="007D5748" w:rsidRDefault="00664F07" w:rsidP="00664F0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gridSpan w:val="2"/>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noWrap/>
            <w:vAlign w:val="center"/>
          </w:tcPr>
          <w:p w:rsidR="00664F07" w:rsidRPr="007D5748" w:rsidRDefault="00664F07" w:rsidP="00664F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gridSpan w:val="2"/>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64F07" w:rsidRPr="007D5748" w:rsidRDefault="00664F07" w:rsidP="00664F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4F07" w:rsidRPr="007D5748" w:rsidTr="00165FDE">
        <w:trPr>
          <w:trHeight w:val="70"/>
          <w:jc w:val="center"/>
        </w:trPr>
        <w:tc>
          <w:tcPr>
            <w:tcW w:w="4661" w:type="dxa"/>
            <w:shd w:val="clear" w:color="auto" w:fill="C0C0C0"/>
            <w:noWrap/>
            <w:vAlign w:val="center"/>
          </w:tcPr>
          <w:p w:rsidR="00664F07" w:rsidRPr="007D5748" w:rsidRDefault="00664F07" w:rsidP="00664F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664F07" w:rsidRPr="007D5748" w:rsidRDefault="00453D6C" w:rsidP="00664F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804 276</w:t>
            </w:r>
          </w:p>
        </w:tc>
        <w:tc>
          <w:tcPr>
            <w:tcW w:w="1267" w:type="dxa"/>
            <w:shd w:val="clear" w:color="auto" w:fill="C0C0C0"/>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gridSpan w:val="2"/>
            <w:shd w:val="clear" w:color="auto" w:fill="C0C0C0"/>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4E0D93" w:rsidRPr="00011442" w:rsidTr="00825DEF">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4E0D93" w:rsidRPr="00CA4C2B" w:rsidRDefault="004E0D93" w:rsidP="009660AE">
            <w:pPr>
              <w:spacing w:after="0" w:line="240" w:lineRule="auto"/>
              <w:rPr>
                <w:rFonts w:ascii="Times New Roman" w:eastAsia="Times New Roman" w:hAnsi="Times New Roman" w:cs="Times New Roman"/>
                <w:sz w:val="20"/>
                <w:szCs w:val="20"/>
                <w:lang w:eastAsia="sk-SK"/>
              </w:rPr>
            </w:pPr>
            <w:r w:rsidRPr="00CA4C2B">
              <w:rPr>
                <w:rFonts w:ascii="Times New Roman" w:eastAsia="Times New Roman" w:hAnsi="Times New Roman" w:cs="Times New Roman"/>
                <w:sz w:val="20"/>
                <w:szCs w:val="20"/>
                <w:lang w:eastAsia="sk-SK"/>
              </w:rPr>
              <w:t>v tom: kapitola MF SR/0EK 0D IT financované zo ŠR – MF SR</w:t>
            </w:r>
          </w:p>
        </w:tc>
        <w:tc>
          <w:tcPr>
            <w:tcW w:w="1267" w:type="dxa"/>
            <w:tcBorders>
              <w:top w:val="single" w:sz="4" w:space="0" w:color="auto"/>
              <w:left w:val="single" w:sz="4" w:space="0" w:color="auto"/>
              <w:bottom w:val="single" w:sz="4" w:space="0" w:color="auto"/>
              <w:right w:val="single" w:sz="4" w:space="0" w:color="auto"/>
            </w:tcBorders>
            <w:noWrap/>
            <w:vAlign w:val="center"/>
          </w:tcPr>
          <w:p w:rsidR="004E0D93" w:rsidRPr="00CA4C2B" w:rsidRDefault="00453D6C" w:rsidP="00825DE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804 276</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CA4C2B" w:rsidRDefault="004E0D93" w:rsidP="00825DEF">
            <w:pPr>
              <w:spacing w:after="0" w:line="240" w:lineRule="auto"/>
              <w:jc w:val="right"/>
              <w:rPr>
                <w:rFonts w:ascii="Times New Roman" w:eastAsia="Times New Roman" w:hAnsi="Times New Roman" w:cs="Times New Roman"/>
                <w:sz w:val="24"/>
                <w:szCs w:val="24"/>
                <w:lang w:eastAsia="sk-SK"/>
              </w:rPr>
            </w:pPr>
            <w:r w:rsidRPr="00CA4C2B">
              <w:rPr>
                <w:rFonts w:ascii="Times New Roman" w:eastAsia="Times New Roman" w:hAnsi="Times New Roman" w:cs="Times New Roman"/>
                <w:sz w:val="24"/>
                <w:szCs w:val="24"/>
                <w:lang w:eastAsia="sk-SK"/>
              </w:rPr>
              <w:t>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CA4C2B" w:rsidRDefault="004E0D93" w:rsidP="00825DEF">
            <w:pPr>
              <w:spacing w:after="0" w:line="240" w:lineRule="auto"/>
              <w:jc w:val="right"/>
              <w:rPr>
                <w:rFonts w:ascii="Times New Roman" w:eastAsia="Times New Roman" w:hAnsi="Times New Roman" w:cs="Times New Roman"/>
                <w:sz w:val="24"/>
                <w:szCs w:val="24"/>
                <w:lang w:eastAsia="sk-SK"/>
              </w:rPr>
            </w:pPr>
            <w:r w:rsidRPr="00CA4C2B">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E0D93" w:rsidRPr="00CA4C2B" w:rsidRDefault="004E0D93" w:rsidP="00825DEF">
            <w:pPr>
              <w:spacing w:after="0" w:line="240" w:lineRule="auto"/>
              <w:jc w:val="right"/>
              <w:rPr>
                <w:rFonts w:ascii="Times New Roman" w:eastAsia="Times New Roman" w:hAnsi="Times New Roman" w:cs="Times New Roman"/>
                <w:sz w:val="24"/>
                <w:szCs w:val="24"/>
                <w:lang w:eastAsia="sk-SK"/>
              </w:rPr>
            </w:pPr>
            <w:r w:rsidRPr="00CA4C2B">
              <w:rPr>
                <w:rFonts w:ascii="Times New Roman" w:eastAsia="Times New Roman" w:hAnsi="Times New Roman" w:cs="Times New Roman"/>
                <w:sz w:val="24"/>
                <w:szCs w:val="24"/>
                <w:lang w:eastAsia="sk-SK"/>
              </w:rPr>
              <w:t>0</w:t>
            </w:r>
          </w:p>
        </w:tc>
      </w:tr>
      <w:tr w:rsidR="004E0D93" w:rsidRPr="007D5748" w:rsidTr="00165FDE">
        <w:trPr>
          <w:trHeight w:val="70"/>
          <w:jc w:val="center"/>
        </w:trPr>
        <w:tc>
          <w:tcPr>
            <w:tcW w:w="4661" w:type="dxa"/>
            <w:shd w:val="clear" w:color="auto" w:fill="C0C0C0"/>
            <w:noWrap/>
            <w:vAlign w:val="center"/>
          </w:tcPr>
          <w:p w:rsidR="004E0D93" w:rsidRPr="007D5748" w:rsidRDefault="004E0D93" w:rsidP="00664F07">
            <w:pPr>
              <w:spacing w:after="0" w:line="240" w:lineRule="auto"/>
              <w:rPr>
                <w:rFonts w:ascii="Times New Roman" w:eastAsia="Times New Roman" w:hAnsi="Times New Roman" w:cs="Times New Roman"/>
                <w:b/>
                <w:bCs/>
                <w:sz w:val="24"/>
                <w:szCs w:val="24"/>
                <w:lang w:eastAsia="sk-SK"/>
              </w:rPr>
            </w:pPr>
          </w:p>
        </w:tc>
        <w:tc>
          <w:tcPr>
            <w:tcW w:w="1267" w:type="dxa"/>
            <w:shd w:val="clear" w:color="auto" w:fill="C0C0C0"/>
            <w:noWrap/>
            <w:vAlign w:val="center"/>
          </w:tcPr>
          <w:p w:rsidR="004E0D93" w:rsidRDefault="004E0D93" w:rsidP="00664F07">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C0C0C0"/>
            <w:noWrap/>
            <w:vAlign w:val="center"/>
          </w:tcPr>
          <w:p w:rsidR="004E0D93" w:rsidRPr="007D5748" w:rsidRDefault="004E0D93" w:rsidP="00664F07">
            <w:pPr>
              <w:spacing w:after="0" w:line="240" w:lineRule="auto"/>
              <w:jc w:val="right"/>
              <w:rPr>
                <w:rFonts w:ascii="Times New Roman" w:eastAsia="Times New Roman" w:hAnsi="Times New Roman" w:cs="Times New Roman"/>
                <w:b/>
                <w:bCs/>
                <w:sz w:val="24"/>
                <w:szCs w:val="24"/>
                <w:lang w:eastAsia="sk-SK"/>
              </w:rPr>
            </w:pPr>
          </w:p>
        </w:tc>
        <w:tc>
          <w:tcPr>
            <w:tcW w:w="1267" w:type="dxa"/>
            <w:gridSpan w:val="2"/>
            <w:shd w:val="clear" w:color="auto" w:fill="C0C0C0"/>
            <w:noWrap/>
            <w:vAlign w:val="center"/>
          </w:tcPr>
          <w:p w:rsidR="004E0D93" w:rsidRPr="007D5748" w:rsidRDefault="004E0D93" w:rsidP="00664F07">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C0C0C0"/>
            <w:noWrap/>
            <w:vAlign w:val="center"/>
          </w:tcPr>
          <w:p w:rsidR="004E0D93" w:rsidRPr="007D5748" w:rsidRDefault="004E0D93" w:rsidP="00664F07">
            <w:pPr>
              <w:spacing w:after="0" w:line="240" w:lineRule="auto"/>
              <w:jc w:val="right"/>
              <w:rPr>
                <w:rFonts w:ascii="Times New Roman" w:eastAsia="Times New Roman" w:hAnsi="Times New Roman" w:cs="Times New Roman"/>
                <w:b/>
                <w:bCs/>
                <w:sz w:val="24"/>
                <w:szCs w:val="24"/>
                <w:lang w:eastAsia="sk-SK"/>
              </w:rPr>
            </w:pPr>
          </w:p>
        </w:tc>
      </w:tr>
      <w:tr w:rsidR="00664F07" w:rsidRPr="007D5748" w:rsidTr="00165FDE">
        <w:trPr>
          <w:trHeight w:val="70"/>
          <w:jc w:val="center"/>
        </w:trPr>
        <w:tc>
          <w:tcPr>
            <w:tcW w:w="4661" w:type="dxa"/>
            <w:shd w:val="clear" w:color="auto" w:fill="BFBFBF" w:themeFill="background1" w:themeFillShade="BF"/>
            <w:noWrap/>
            <w:vAlign w:val="center"/>
          </w:tcPr>
          <w:p w:rsidR="00664F07" w:rsidRPr="007D5748" w:rsidRDefault="00664F07" w:rsidP="00664F0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gridSpan w:val="2"/>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64F07" w:rsidRPr="007D5748" w:rsidTr="00165FDE">
        <w:trPr>
          <w:trHeight w:val="70"/>
          <w:jc w:val="center"/>
        </w:trPr>
        <w:tc>
          <w:tcPr>
            <w:tcW w:w="4661" w:type="dxa"/>
            <w:shd w:val="clear" w:color="auto" w:fill="A6A6A6" w:themeFill="background1" w:themeFillShade="A6"/>
            <w:noWrap/>
            <w:vAlign w:val="center"/>
          </w:tcPr>
          <w:p w:rsidR="00664F07" w:rsidRPr="007D5748" w:rsidRDefault="00664F07" w:rsidP="00664F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gridSpan w:val="2"/>
            <w:shd w:val="clear" w:color="auto" w:fill="A6A6A6" w:themeFill="background1" w:themeFillShade="A6"/>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64F07" w:rsidRPr="007D5748" w:rsidRDefault="00664F07" w:rsidP="00664F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D94FFC" w:rsidRPr="00026641" w:rsidRDefault="00D94FFC" w:rsidP="00D94FF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026641">
        <w:rPr>
          <w:rFonts w:ascii="Times New Roman" w:eastAsia="Times New Roman" w:hAnsi="Times New Roman" w:cs="Times New Roman"/>
          <w:b/>
          <w:bCs/>
          <w:sz w:val="24"/>
          <w:szCs w:val="24"/>
          <w:lang w:eastAsia="sk-SK"/>
        </w:rPr>
        <w:t>Do informačných systémov je potrebné zapracovať návrhom dotknuté ustanovenia:</w:t>
      </w:r>
    </w:p>
    <w:p w:rsidR="00D94FFC" w:rsidRPr="00026641" w:rsidRDefault="00D94FFC" w:rsidP="00D94FF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D94FFC" w:rsidRPr="00026641" w:rsidRDefault="00D94FFC" w:rsidP="00D94FF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026641">
        <w:rPr>
          <w:rFonts w:ascii="Times New Roman" w:eastAsia="Times New Roman" w:hAnsi="Times New Roman" w:cs="Times New Roman"/>
          <w:b/>
          <w:bCs/>
          <w:sz w:val="24"/>
          <w:szCs w:val="24"/>
          <w:lang w:eastAsia="sk-SK"/>
        </w:rPr>
        <w:t xml:space="preserve">- doplnenie zoznamu </w:t>
      </w:r>
      <w:r w:rsidR="00F41884" w:rsidRPr="00026641">
        <w:rPr>
          <w:rFonts w:ascii="Times New Roman" w:eastAsia="Times New Roman" w:hAnsi="Times New Roman" w:cs="Times New Roman"/>
          <w:b/>
          <w:bCs/>
          <w:sz w:val="24"/>
          <w:szCs w:val="24"/>
          <w:lang w:eastAsia="sk-SK"/>
        </w:rPr>
        <w:t>daňových subjektov</w:t>
      </w:r>
      <w:r w:rsidRPr="00026641">
        <w:rPr>
          <w:rFonts w:ascii="Times New Roman" w:eastAsia="Times New Roman" w:hAnsi="Times New Roman" w:cs="Times New Roman"/>
          <w:b/>
          <w:bCs/>
          <w:sz w:val="24"/>
          <w:szCs w:val="24"/>
          <w:lang w:eastAsia="sk-SK"/>
        </w:rPr>
        <w:t xml:space="preserve"> registrovaných na daň z príjmov o index spoľahlivosti </w:t>
      </w:r>
    </w:p>
    <w:p w:rsidR="00D94FFC" w:rsidRPr="00026641" w:rsidRDefault="00D94FFC" w:rsidP="00D94FF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026641">
        <w:rPr>
          <w:rFonts w:ascii="Times New Roman" w:eastAsia="Times New Roman" w:hAnsi="Times New Roman" w:cs="Times New Roman"/>
          <w:b/>
          <w:bCs/>
          <w:sz w:val="24"/>
          <w:szCs w:val="24"/>
          <w:lang w:eastAsia="sk-SK"/>
        </w:rPr>
        <w:t xml:space="preserve">- index daňovej spoľahlivosti  </w:t>
      </w:r>
    </w:p>
    <w:p w:rsidR="00D94FFC" w:rsidRPr="00026641" w:rsidRDefault="00D94FFC" w:rsidP="00D94FF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026641">
        <w:rPr>
          <w:rFonts w:ascii="Times New Roman" w:eastAsia="Times New Roman" w:hAnsi="Times New Roman" w:cs="Times New Roman"/>
          <w:b/>
          <w:bCs/>
          <w:sz w:val="24"/>
          <w:szCs w:val="24"/>
          <w:lang w:eastAsia="sk-SK"/>
        </w:rPr>
        <w:t>- zánik daňového nedoplatku</w:t>
      </w:r>
    </w:p>
    <w:p w:rsidR="00D94FFC" w:rsidRPr="00026641" w:rsidRDefault="00D94FFC" w:rsidP="00D94FF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026641">
        <w:rPr>
          <w:rFonts w:ascii="Times New Roman" w:eastAsia="Times New Roman" w:hAnsi="Times New Roman" w:cs="Times New Roman"/>
          <w:b/>
          <w:bCs/>
          <w:sz w:val="24"/>
          <w:szCs w:val="24"/>
          <w:lang w:eastAsia="sk-SK"/>
        </w:rPr>
        <w:t>- nový inštitút - rozhodnutie o vylúčení fyzickej osoby, diskvalifikačný list</w:t>
      </w:r>
    </w:p>
    <w:p w:rsidR="00BB7568" w:rsidRDefault="00BB7568" w:rsidP="00D94FF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BB7568" w:rsidRPr="00BB7568" w:rsidRDefault="00BB756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Pôjde o zmeny modulov</w:t>
      </w:r>
      <w:r w:rsidRPr="00BB7568">
        <w:rPr>
          <w:rFonts w:ascii="Times New Roman" w:eastAsia="Times New Roman" w:hAnsi="Times New Roman" w:cs="Times New Roman"/>
          <w:b/>
          <w:bCs/>
          <w:sz w:val="24"/>
          <w:szCs w:val="24"/>
          <w:lang w:eastAsia="sk-SK"/>
        </w:rPr>
        <w:t xml:space="preserve"> systému SAP</w:t>
      </w:r>
      <w:r>
        <w:rPr>
          <w:rFonts w:ascii="Times New Roman" w:eastAsia="Times New Roman" w:hAnsi="Times New Roman" w:cs="Times New Roman"/>
          <w:b/>
          <w:bCs/>
          <w:sz w:val="24"/>
          <w:szCs w:val="24"/>
          <w:lang w:eastAsia="sk-SK"/>
        </w:rPr>
        <w:t>, ktoré</w:t>
      </w:r>
      <w:r w:rsidRPr="00BB7568">
        <w:rPr>
          <w:rFonts w:ascii="Times New Roman" w:eastAsia="Times New Roman" w:hAnsi="Times New Roman" w:cs="Times New Roman"/>
          <w:b/>
          <w:bCs/>
          <w:sz w:val="24"/>
          <w:szCs w:val="24"/>
          <w:lang w:eastAsia="sk-SK"/>
        </w:rPr>
        <w:t xml:space="preserve"> sú súčasťou ISFS-SD (Integrovaný systém finančnej správy – správa daní):</w:t>
      </w:r>
    </w:p>
    <w:p w:rsidR="00BB7568" w:rsidRPr="00BB7568" w:rsidRDefault="00BB756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BB7568" w:rsidRPr="00BB7568" w:rsidRDefault="00BB756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BB7568">
        <w:rPr>
          <w:rFonts w:ascii="Times New Roman" w:eastAsia="Times New Roman" w:hAnsi="Times New Roman" w:cs="Times New Roman"/>
          <w:b/>
          <w:bCs/>
          <w:sz w:val="24"/>
          <w:szCs w:val="24"/>
          <w:lang w:eastAsia="sk-SK"/>
        </w:rPr>
        <w:t xml:space="preserve">ERP – Enterprise </w:t>
      </w:r>
      <w:proofErr w:type="spellStart"/>
      <w:r w:rsidRPr="00BB7568">
        <w:rPr>
          <w:rFonts w:ascii="Times New Roman" w:eastAsia="Times New Roman" w:hAnsi="Times New Roman" w:cs="Times New Roman"/>
          <w:b/>
          <w:bCs/>
          <w:sz w:val="24"/>
          <w:szCs w:val="24"/>
          <w:lang w:eastAsia="sk-SK"/>
        </w:rPr>
        <w:t>Resource</w:t>
      </w:r>
      <w:proofErr w:type="spellEnd"/>
      <w:r w:rsidRPr="00BB7568">
        <w:rPr>
          <w:rFonts w:ascii="Times New Roman" w:eastAsia="Times New Roman" w:hAnsi="Times New Roman" w:cs="Times New Roman"/>
          <w:b/>
          <w:bCs/>
          <w:sz w:val="24"/>
          <w:szCs w:val="24"/>
          <w:lang w:eastAsia="sk-SK"/>
        </w:rPr>
        <w:t xml:space="preserve"> </w:t>
      </w:r>
      <w:proofErr w:type="spellStart"/>
      <w:r w:rsidRPr="00BB7568">
        <w:rPr>
          <w:rFonts w:ascii="Times New Roman" w:eastAsia="Times New Roman" w:hAnsi="Times New Roman" w:cs="Times New Roman"/>
          <w:b/>
          <w:bCs/>
          <w:sz w:val="24"/>
          <w:szCs w:val="24"/>
          <w:lang w:eastAsia="sk-SK"/>
        </w:rPr>
        <w:t>Planning</w:t>
      </w:r>
      <w:proofErr w:type="spellEnd"/>
      <w:r w:rsidRPr="00BB7568">
        <w:rPr>
          <w:rFonts w:ascii="Times New Roman" w:eastAsia="Times New Roman" w:hAnsi="Times New Roman" w:cs="Times New Roman"/>
          <w:b/>
          <w:bCs/>
          <w:sz w:val="24"/>
          <w:szCs w:val="24"/>
          <w:lang w:eastAsia="sk-SK"/>
        </w:rPr>
        <w:t xml:space="preserve"> – plánovanie vnútorných zdrojov podniku</w:t>
      </w:r>
    </w:p>
    <w:p w:rsidR="00BB7568" w:rsidRPr="00BB7568" w:rsidRDefault="00BB756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BB7568">
        <w:rPr>
          <w:rFonts w:ascii="Times New Roman" w:eastAsia="Times New Roman" w:hAnsi="Times New Roman" w:cs="Times New Roman"/>
          <w:b/>
          <w:bCs/>
          <w:sz w:val="24"/>
          <w:szCs w:val="24"/>
          <w:lang w:eastAsia="sk-SK"/>
        </w:rPr>
        <w:t xml:space="preserve">PSCD – </w:t>
      </w:r>
      <w:proofErr w:type="spellStart"/>
      <w:r w:rsidRPr="00BB7568">
        <w:rPr>
          <w:rFonts w:ascii="Times New Roman" w:eastAsia="Times New Roman" w:hAnsi="Times New Roman" w:cs="Times New Roman"/>
          <w:b/>
          <w:bCs/>
          <w:sz w:val="24"/>
          <w:szCs w:val="24"/>
          <w:lang w:eastAsia="sk-SK"/>
        </w:rPr>
        <w:t>Public</w:t>
      </w:r>
      <w:proofErr w:type="spellEnd"/>
      <w:r w:rsidRPr="00BB7568">
        <w:rPr>
          <w:rFonts w:ascii="Times New Roman" w:eastAsia="Times New Roman" w:hAnsi="Times New Roman" w:cs="Times New Roman"/>
          <w:b/>
          <w:bCs/>
          <w:sz w:val="24"/>
          <w:szCs w:val="24"/>
          <w:lang w:eastAsia="sk-SK"/>
        </w:rPr>
        <w:t xml:space="preserve"> </w:t>
      </w:r>
      <w:proofErr w:type="spellStart"/>
      <w:r w:rsidRPr="00BB7568">
        <w:rPr>
          <w:rFonts w:ascii="Times New Roman" w:eastAsia="Times New Roman" w:hAnsi="Times New Roman" w:cs="Times New Roman"/>
          <w:b/>
          <w:bCs/>
          <w:sz w:val="24"/>
          <w:szCs w:val="24"/>
          <w:lang w:eastAsia="sk-SK"/>
        </w:rPr>
        <w:t>Sector</w:t>
      </w:r>
      <w:proofErr w:type="spellEnd"/>
      <w:r w:rsidRPr="00BB7568">
        <w:rPr>
          <w:rFonts w:ascii="Times New Roman" w:eastAsia="Times New Roman" w:hAnsi="Times New Roman" w:cs="Times New Roman"/>
          <w:b/>
          <w:bCs/>
          <w:sz w:val="24"/>
          <w:szCs w:val="24"/>
          <w:lang w:eastAsia="sk-SK"/>
        </w:rPr>
        <w:t xml:space="preserve"> </w:t>
      </w:r>
      <w:proofErr w:type="spellStart"/>
      <w:r w:rsidRPr="00BB7568">
        <w:rPr>
          <w:rFonts w:ascii="Times New Roman" w:eastAsia="Times New Roman" w:hAnsi="Times New Roman" w:cs="Times New Roman"/>
          <w:b/>
          <w:bCs/>
          <w:sz w:val="24"/>
          <w:szCs w:val="24"/>
          <w:lang w:eastAsia="sk-SK"/>
        </w:rPr>
        <w:t>Collection</w:t>
      </w:r>
      <w:proofErr w:type="spellEnd"/>
      <w:r w:rsidRPr="00BB7568">
        <w:rPr>
          <w:rFonts w:ascii="Times New Roman" w:eastAsia="Times New Roman" w:hAnsi="Times New Roman" w:cs="Times New Roman"/>
          <w:b/>
          <w:bCs/>
          <w:sz w:val="24"/>
          <w:szCs w:val="24"/>
          <w:lang w:eastAsia="sk-SK"/>
        </w:rPr>
        <w:t xml:space="preserve"> and </w:t>
      </w:r>
      <w:proofErr w:type="spellStart"/>
      <w:r w:rsidRPr="00BB7568">
        <w:rPr>
          <w:rFonts w:ascii="Times New Roman" w:eastAsia="Times New Roman" w:hAnsi="Times New Roman" w:cs="Times New Roman"/>
          <w:b/>
          <w:bCs/>
          <w:sz w:val="24"/>
          <w:szCs w:val="24"/>
          <w:lang w:eastAsia="sk-SK"/>
        </w:rPr>
        <w:t>Disbursment</w:t>
      </w:r>
      <w:proofErr w:type="spellEnd"/>
      <w:r w:rsidRPr="00BB7568">
        <w:rPr>
          <w:rFonts w:ascii="Times New Roman" w:eastAsia="Times New Roman" w:hAnsi="Times New Roman" w:cs="Times New Roman"/>
          <w:b/>
          <w:bCs/>
          <w:sz w:val="24"/>
          <w:szCs w:val="24"/>
          <w:lang w:eastAsia="sk-SK"/>
        </w:rPr>
        <w:t xml:space="preserve"> – prijímanie a distribúcia platieb vo verejnom sektore</w:t>
      </w:r>
    </w:p>
    <w:p w:rsidR="00BB7568" w:rsidRPr="00BB7568" w:rsidRDefault="00BB756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BB7568">
        <w:rPr>
          <w:rFonts w:ascii="Times New Roman" w:eastAsia="Times New Roman" w:hAnsi="Times New Roman" w:cs="Times New Roman"/>
          <w:b/>
          <w:bCs/>
          <w:sz w:val="24"/>
          <w:szCs w:val="24"/>
          <w:lang w:eastAsia="sk-SK"/>
        </w:rPr>
        <w:t xml:space="preserve">CRM – </w:t>
      </w:r>
      <w:proofErr w:type="spellStart"/>
      <w:r w:rsidRPr="00BB7568">
        <w:rPr>
          <w:rFonts w:ascii="Times New Roman" w:eastAsia="Times New Roman" w:hAnsi="Times New Roman" w:cs="Times New Roman"/>
          <w:b/>
          <w:bCs/>
          <w:sz w:val="24"/>
          <w:szCs w:val="24"/>
          <w:lang w:eastAsia="sk-SK"/>
        </w:rPr>
        <w:t>Customer</w:t>
      </w:r>
      <w:proofErr w:type="spellEnd"/>
      <w:r w:rsidRPr="00BB7568">
        <w:rPr>
          <w:rFonts w:ascii="Times New Roman" w:eastAsia="Times New Roman" w:hAnsi="Times New Roman" w:cs="Times New Roman"/>
          <w:b/>
          <w:bCs/>
          <w:sz w:val="24"/>
          <w:szCs w:val="24"/>
          <w:lang w:eastAsia="sk-SK"/>
        </w:rPr>
        <w:t xml:space="preserve"> </w:t>
      </w:r>
      <w:proofErr w:type="spellStart"/>
      <w:r w:rsidRPr="00BB7568">
        <w:rPr>
          <w:rFonts w:ascii="Times New Roman" w:eastAsia="Times New Roman" w:hAnsi="Times New Roman" w:cs="Times New Roman"/>
          <w:b/>
          <w:bCs/>
          <w:sz w:val="24"/>
          <w:szCs w:val="24"/>
          <w:lang w:eastAsia="sk-SK"/>
        </w:rPr>
        <w:t>Relationship</w:t>
      </w:r>
      <w:proofErr w:type="spellEnd"/>
      <w:r w:rsidRPr="00BB7568">
        <w:rPr>
          <w:rFonts w:ascii="Times New Roman" w:eastAsia="Times New Roman" w:hAnsi="Times New Roman" w:cs="Times New Roman"/>
          <w:b/>
          <w:bCs/>
          <w:sz w:val="24"/>
          <w:szCs w:val="24"/>
          <w:lang w:eastAsia="sk-SK"/>
        </w:rPr>
        <w:t xml:space="preserve"> Management – správa vzťahov so zákazníkmi</w:t>
      </w:r>
    </w:p>
    <w:p w:rsidR="00BB7568" w:rsidRDefault="00BB756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BB7568">
        <w:rPr>
          <w:rFonts w:ascii="Times New Roman" w:eastAsia="Times New Roman" w:hAnsi="Times New Roman" w:cs="Times New Roman"/>
          <w:b/>
          <w:bCs/>
          <w:sz w:val="24"/>
          <w:szCs w:val="24"/>
          <w:lang w:eastAsia="sk-SK"/>
        </w:rPr>
        <w:t xml:space="preserve">BW – Business </w:t>
      </w:r>
      <w:proofErr w:type="spellStart"/>
      <w:r w:rsidRPr="00BB7568">
        <w:rPr>
          <w:rFonts w:ascii="Times New Roman" w:eastAsia="Times New Roman" w:hAnsi="Times New Roman" w:cs="Times New Roman"/>
          <w:b/>
          <w:bCs/>
          <w:sz w:val="24"/>
          <w:szCs w:val="24"/>
          <w:lang w:eastAsia="sk-SK"/>
        </w:rPr>
        <w:t>Warehous</w:t>
      </w:r>
      <w:proofErr w:type="spellEnd"/>
      <w:r w:rsidRPr="00BB7568">
        <w:rPr>
          <w:rFonts w:ascii="Times New Roman" w:eastAsia="Times New Roman" w:hAnsi="Times New Roman" w:cs="Times New Roman"/>
          <w:b/>
          <w:bCs/>
          <w:sz w:val="24"/>
          <w:szCs w:val="24"/>
          <w:lang w:eastAsia="sk-SK"/>
        </w:rPr>
        <w:t xml:space="preserve"> – dátový sklad</w:t>
      </w:r>
    </w:p>
    <w:p w:rsidR="004F4F18" w:rsidRDefault="004F4F1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4F4F18" w:rsidRDefault="004F4F18" w:rsidP="004F4F18">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Cs/>
          <w:sz w:val="16"/>
          <w:szCs w:val="16"/>
          <w:lang w:eastAsia="sk-SK"/>
        </w:rPr>
      </w:pPr>
      <w:r w:rsidRPr="007C6263">
        <w:rPr>
          <w:rFonts w:ascii="Arial" w:eastAsia="Times New Roman" w:hAnsi="Arial" w:cs="Arial"/>
          <w:bCs/>
          <w:sz w:val="16"/>
          <w:szCs w:val="16"/>
          <w:lang w:eastAsia="sk-SK"/>
        </w:rPr>
        <w:t>ERP + PSCD</w:t>
      </w:r>
    </w:p>
    <w:p w:rsidR="007C6263" w:rsidRPr="007C6263" w:rsidRDefault="007C6263" w:rsidP="004F4F18">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Cs/>
          <w:sz w:val="16"/>
          <w:szCs w:val="16"/>
          <w:lang w:eastAsia="sk-SK"/>
        </w:rPr>
      </w:pPr>
    </w:p>
    <w:p w:rsidR="004F4F18" w:rsidRDefault="004F4F1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4F4F18">
        <w:rPr>
          <w:noProof/>
          <w:lang w:eastAsia="sk-SK"/>
        </w:rPr>
        <w:drawing>
          <wp:inline distT="0" distB="0" distL="0" distR="0">
            <wp:extent cx="5760720" cy="2126910"/>
            <wp:effectExtent l="0" t="0" r="0"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26910"/>
                    </a:xfrm>
                    <a:prstGeom prst="rect">
                      <a:avLst/>
                    </a:prstGeom>
                    <a:noFill/>
                    <a:ln>
                      <a:noFill/>
                    </a:ln>
                  </pic:spPr>
                </pic:pic>
              </a:graphicData>
            </a:graphic>
          </wp:inline>
        </w:drawing>
      </w:r>
    </w:p>
    <w:p w:rsidR="004F4F18" w:rsidRDefault="004F4F1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4F4F18" w:rsidRDefault="004F4F18" w:rsidP="004F4F18">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Cs/>
          <w:sz w:val="16"/>
          <w:szCs w:val="16"/>
          <w:lang w:eastAsia="sk-SK"/>
        </w:rPr>
      </w:pPr>
      <w:r w:rsidRPr="007C6263">
        <w:rPr>
          <w:rFonts w:ascii="Arial" w:eastAsia="Times New Roman" w:hAnsi="Arial" w:cs="Arial"/>
          <w:bCs/>
          <w:sz w:val="16"/>
          <w:szCs w:val="16"/>
          <w:lang w:eastAsia="sk-SK"/>
        </w:rPr>
        <w:t>CRM + BW</w:t>
      </w:r>
    </w:p>
    <w:p w:rsidR="007C6263" w:rsidRPr="007C6263" w:rsidRDefault="007C6263" w:rsidP="004F4F18">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Cs/>
          <w:sz w:val="16"/>
          <w:szCs w:val="16"/>
          <w:lang w:eastAsia="sk-SK"/>
        </w:rPr>
      </w:pPr>
    </w:p>
    <w:p w:rsidR="004F4F18" w:rsidRDefault="004F4F1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4F4F18">
        <w:rPr>
          <w:noProof/>
          <w:lang w:eastAsia="sk-SK"/>
        </w:rPr>
        <w:drawing>
          <wp:inline distT="0" distB="0" distL="0" distR="0">
            <wp:extent cx="5760720" cy="2126910"/>
            <wp:effectExtent l="0" t="0" r="0" b="698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126910"/>
                    </a:xfrm>
                    <a:prstGeom prst="rect">
                      <a:avLst/>
                    </a:prstGeom>
                    <a:noFill/>
                    <a:ln>
                      <a:noFill/>
                    </a:ln>
                  </pic:spPr>
                </pic:pic>
              </a:graphicData>
            </a:graphic>
          </wp:inline>
        </w:drawing>
      </w:r>
    </w:p>
    <w:p w:rsidR="004F4F18" w:rsidRDefault="004F4F18" w:rsidP="00BB756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D94FFC" w:rsidRDefault="00D94FFC"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EE5AFA">
        <w:rPr>
          <w:rFonts w:ascii="Times New Roman" w:eastAsia="Times New Roman" w:hAnsi="Times New Roman" w:cs="Times New Roman"/>
          <w:bCs/>
          <w:sz w:val="24"/>
          <w:szCs w:val="24"/>
          <w:lang w:eastAsia="sk-SK"/>
        </w:rPr>
        <w:t xml:space="preserve">Uvedené zmeny budú mať finančný dopad v roku 2021 vo výške </w:t>
      </w:r>
      <w:r w:rsidR="004F4F18" w:rsidRPr="00453D6C">
        <w:rPr>
          <w:rFonts w:ascii="Times New Roman" w:eastAsia="Times New Roman" w:hAnsi="Times New Roman" w:cs="Times New Roman"/>
          <w:bCs/>
          <w:sz w:val="24"/>
          <w:szCs w:val="24"/>
          <w:lang w:eastAsia="sk-SK"/>
        </w:rPr>
        <w:t>399 365</w:t>
      </w:r>
      <w:r w:rsidR="00453D6C">
        <w:rPr>
          <w:rFonts w:ascii="Times New Roman" w:eastAsia="Times New Roman" w:hAnsi="Times New Roman" w:cs="Times New Roman"/>
          <w:bCs/>
          <w:sz w:val="24"/>
          <w:szCs w:val="24"/>
          <w:lang w:eastAsia="sk-SK"/>
        </w:rPr>
        <w:t>,</w:t>
      </w:r>
      <w:r w:rsidR="004F4F18" w:rsidRPr="00453D6C">
        <w:rPr>
          <w:rFonts w:ascii="Times New Roman" w:eastAsia="Times New Roman" w:hAnsi="Times New Roman" w:cs="Times New Roman"/>
          <w:bCs/>
          <w:sz w:val="24"/>
          <w:szCs w:val="24"/>
          <w:lang w:eastAsia="sk-SK"/>
        </w:rPr>
        <w:t>57</w:t>
      </w:r>
      <w:r w:rsidRPr="00EE5AFA">
        <w:rPr>
          <w:rFonts w:ascii="Times New Roman" w:eastAsia="Times New Roman" w:hAnsi="Times New Roman" w:cs="Times New Roman"/>
          <w:bCs/>
          <w:sz w:val="24"/>
          <w:szCs w:val="24"/>
          <w:lang w:eastAsia="sk-SK"/>
        </w:rPr>
        <w:t xml:space="preserve"> eur.</w:t>
      </w:r>
    </w:p>
    <w:p w:rsidR="003B46E5" w:rsidRPr="00EE5AFA" w:rsidRDefault="003B46E5"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p>
    <w:p w:rsidR="004800D7"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C6263">
        <w:rPr>
          <w:rFonts w:ascii="Times New Roman" w:eastAsia="Times New Roman" w:hAnsi="Times New Roman" w:cs="Times New Roman"/>
          <w:bCs/>
          <w:sz w:val="24"/>
          <w:szCs w:val="24"/>
          <w:lang w:eastAsia="sk-SK"/>
        </w:rPr>
        <w:lastRenderedPageBreak/>
        <w:t xml:space="preserve">Návrh zákona v časti týkajúcej sa zavedenia osobitnej oznamovacej povinnosť platiteľa dane a osobitného spôsobu úhrady dane si vyžiada zmeny informačných systémov, ktoré boli na základe kvantifikácie Finančného riaditeľstva SR vyčíslené </w:t>
      </w:r>
      <w:r w:rsidRPr="00453D6C">
        <w:rPr>
          <w:rFonts w:ascii="Times New Roman" w:eastAsia="Times New Roman" w:hAnsi="Times New Roman" w:cs="Times New Roman"/>
          <w:bCs/>
          <w:sz w:val="24"/>
          <w:szCs w:val="24"/>
          <w:lang w:eastAsia="sk-SK"/>
        </w:rPr>
        <w:t>na 404 910,47</w:t>
      </w:r>
      <w:r w:rsidRPr="007C6263">
        <w:rPr>
          <w:rFonts w:ascii="Times New Roman" w:eastAsia="Times New Roman" w:hAnsi="Times New Roman" w:cs="Times New Roman"/>
          <w:bCs/>
          <w:sz w:val="24"/>
          <w:szCs w:val="24"/>
          <w:lang w:eastAsia="sk-SK"/>
        </w:rPr>
        <w:t xml:space="preserve"> eur s DPH.</w:t>
      </w: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3B072E">
        <w:rPr>
          <w:noProof/>
          <w:lang w:eastAsia="sk-SK"/>
        </w:rPr>
        <w:drawing>
          <wp:inline distT="0" distB="0" distL="0" distR="0" wp14:anchorId="164DA30B" wp14:editId="3B7490C6">
            <wp:extent cx="5760720" cy="216535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65350"/>
                    </a:xfrm>
                    <a:prstGeom prst="rect">
                      <a:avLst/>
                    </a:prstGeom>
                    <a:noFill/>
                    <a:ln>
                      <a:noFill/>
                    </a:ln>
                  </pic:spPr>
                </pic:pic>
              </a:graphicData>
            </a:graphic>
          </wp:inline>
        </w:drawing>
      </w: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3B072E">
        <w:rPr>
          <w:noProof/>
          <w:lang w:eastAsia="sk-SK"/>
        </w:rPr>
        <w:drawing>
          <wp:inline distT="0" distB="0" distL="0" distR="0" wp14:anchorId="5D3ED6C6" wp14:editId="4EC26509">
            <wp:extent cx="5760720" cy="22682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268220"/>
                    </a:xfrm>
                    <a:prstGeom prst="rect">
                      <a:avLst/>
                    </a:prstGeom>
                    <a:noFill/>
                    <a:ln>
                      <a:noFill/>
                    </a:ln>
                  </pic:spPr>
                </pic:pic>
              </a:graphicData>
            </a:graphic>
          </wp:inline>
        </w:drawing>
      </w: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Arial" w:eastAsia="Times New Roman" w:hAnsi="Arial" w:cs="Arial"/>
          <w:bCs/>
          <w:sz w:val="16"/>
          <w:szCs w:val="16"/>
          <w:lang w:eastAsia="sk-SK"/>
        </w:rPr>
      </w:pPr>
      <w:r w:rsidRPr="007C6263">
        <w:rPr>
          <w:rFonts w:ascii="Arial" w:eastAsia="Times New Roman" w:hAnsi="Arial" w:cs="Arial"/>
          <w:bCs/>
          <w:sz w:val="16"/>
          <w:szCs w:val="16"/>
          <w:lang w:eastAsia="sk-SK"/>
        </w:rPr>
        <w:t>PFS</w:t>
      </w: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04EF6">
        <w:rPr>
          <w:noProof/>
          <w:lang w:eastAsia="sk-SK"/>
        </w:rPr>
        <w:drawing>
          <wp:inline distT="0" distB="0" distL="0" distR="0" wp14:anchorId="74A49079" wp14:editId="68476D5D">
            <wp:extent cx="5760720" cy="24193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19350"/>
                    </a:xfrm>
                    <a:prstGeom prst="rect">
                      <a:avLst/>
                    </a:prstGeom>
                    <a:noFill/>
                    <a:ln>
                      <a:noFill/>
                    </a:ln>
                  </pic:spPr>
                </pic:pic>
              </a:graphicData>
            </a:graphic>
          </wp:inline>
        </w:drawing>
      </w: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7C6263" w:rsidRDefault="007C6263"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664F07" w:rsidRPr="00EE5AFA" w:rsidRDefault="00664F07"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EE5AFA">
        <w:rPr>
          <w:rFonts w:ascii="Times New Roman" w:eastAsia="Times New Roman" w:hAnsi="Times New Roman" w:cs="Times New Roman"/>
          <w:bCs/>
          <w:sz w:val="24"/>
          <w:szCs w:val="24"/>
          <w:lang w:eastAsia="sk-SK"/>
        </w:rPr>
        <w:lastRenderedPageBreak/>
        <w:t>Z toho:</w:t>
      </w:r>
    </w:p>
    <w:p w:rsidR="00664F07" w:rsidRPr="00EE5AFA" w:rsidRDefault="00664F07"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EE5AFA">
        <w:rPr>
          <w:rFonts w:ascii="Times New Roman" w:eastAsia="Times New Roman" w:hAnsi="Times New Roman" w:cs="Times New Roman"/>
          <w:bCs/>
          <w:sz w:val="24"/>
          <w:szCs w:val="24"/>
          <w:lang w:eastAsia="sk-SK"/>
        </w:rPr>
        <w:t xml:space="preserve">- PFS - 263 340 eur s DPH - Ručenie za daň - alternatíva s </w:t>
      </w:r>
      <w:proofErr w:type="spellStart"/>
      <w:r w:rsidRPr="00EE5AFA">
        <w:rPr>
          <w:rFonts w:ascii="Times New Roman" w:eastAsia="Times New Roman" w:hAnsi="Times New Roman" w:cs="Times New Roman"/>
          <w:bCs/>
          <w:sz w:val="24"/>
          <w:szCs w:val="24"/>
          <w:lang w:eastAsia="sk-SK"/>
        </w:rPr>
        <w:t>eForm</w:t>
      </w:r>
      <w:proofErr w:type="spellEnd"/>
      <w:r w:rsidRPr="00EE5AFA">
        <w:rPr>
          <w:rFonts w:ascii="Times New Roman" w:eastAsia="Times New Roman" w:hAnsi="Times New Roman" w:cs="Times New Roman"/>
          <w:bCs/>
          <w:sz w:val="24"/>
          <w:szCs w:val="24"/>
          <w:lang w:eastAsia="sk-SK"/>
        </w:rPr>
        <w:t xml:space="preserve">, rozšírenie UDR a informácii v OIZ, 2x nový </w:t>
      </w:r>
      <w:proofErr w:type="spellStart"/>
      <w:r w:rsidRPr="00EE5AFA">
        <w:rPr>
          <w:rFonts w:ascii="Times New Roman" w:eastAsia="Times New Roman" w:hAnsi="Times New Roman" w:cs="Times New Roman"/>
          <w:bCs/>
          <w:sz w:val="24"/>
          <w:szCs w:val="24"/>
          <w:lang w:eastAsia="sk-SK"/>
        </w:rPr>
        <w:t>iZoznam</w:t>
      </w:r>
      <w:proofErr w:type="spellEnd"/>
      <w:r w:rsidRPr="00EE5AFA">
        <w:rPr>
          <w:rFonts w:ascii="Times New Roman" w:eastAsia="Times New Roman" w:hAnsi="Times New Roman" w:cs="Times New Roman"/>
          <w:bCs/>
          <w:sz w:val="24"/>
          <w:szCs w:val="24"/>
          <w:lang w:eastAsia="sk-SK"/>
        </w:rPr>
        <w:t xml:space="preserve"> (UDR, portál, exporty),</w:t>
      </w:r>
    </w:p>
    <w:p w:rsidR="00664F07" w:rsidRPr="00EE5AFA" w:rsidRDefault="00664F07"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664F07" w:rsidRDefault="00664F07"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EE5AFA">
        <w:rPr>
          <w:rFonts w:ascii="Times New Roman" w:eastAsia="Times New Roman" w:hAnsi="Times New Roman" w:cs="Times New Roman"/>
          <w:bCs/>
          <w:sz w:val="24"/>
          <w:szCs w:val="24"/>
          <w:lang w:eastAsia="sk-SK"/>
        </w:rPr>
        <w:t xml:space="preserve">- ISFS-SD </w:t>
      </w:r>
      <w:r w:rsidR="007C6263">
        <w:rPr>
          <w:rFonts w:ascii="Times New Roman" w:eastAsia="Times New Roman" w:hAnsi="Times New Roman" w:cs="Times New Roman"/>
          <w:bCs/>
          <w:sz w:val="24"/>
          <w:szCs w:val="24"/>
          <w:lang w:eastAsia="sk-SK"/>
        </w:rPr>
        <w:t>–</w:t>
      </w:r>
      <w:r w:rsidRPr="00EE5AFA">
        <w:rPr>
          <w:rFonts w:ascii="Times New Roman" w:eastAsia="Times New Roman" w:hAnsi="Times New Roman" w:cs="Times New Roman"/>
          <w:bCs/>
          <w:sz w:val="24"/>
          <w:szCs w:val="24"/>
          <w:lang w:eastAsia="sk-SK"/>
        </w:rPr>
        <w:t xml:space="preserve"> </w:t>
      </w:r>
      <w:r w:rsidR="007C6263">
        <w:rPr>
          <w:rFonts w:ascii="Times New Roman" w:eastAsia="Times New Roman" w:hAnsi="Times New Roman" w:cs="Times New Roman"/>
          <w:bCs/>
          <w:sz w:val="24"/>
          <w:szCs w:val="24"/>
          <w:lang w:eastAsia="sk-SK"/>
        </w:rPr>
        <w:t>141 570,47</w:t>
      </w:r>
      <w:r w:rsidRPr="00EE5AFA">
        <w:rPr>
          <w:rFonts w:ascii="Times New Roman" w:eastAsia="Times New Roman" w:hAnsi="Times New Roman" w:cs="Times New Roman"/>
          <w:bCs/>
          <w:sz w:val="24"/>
          <w:szCs w:val="24"/>
          <w:lang w:eastAsia="sk-SK"/>
        </w:rPr>
        <w:t xml:space="preserve"> eur s DPH  - Štandardný postup oznámenia účtu/účtov pre DPH prostredníctvom  určeného formulára. Administratívne zníženie náročnosti by sa dosiahlo tým, že platiteľovi dane sa zašle do jeho  OIZ </w:t>
      </w:r>
      <w:proofErr w:type="spellStart"/>
      <w:r w:rsidRPr="00EE5AFA">
        <w:rPr>
          <w:rFonts w:ascii="Times New Roman" w:eastAsia="Times New Roman" w:hAnsi="Times New Roman" w:cs="Times New Roman"/>
          <w:bCs/>
          <w:sz w:val="24"/>
          <w:szCs w:val="24"/>
          <w:lang w:eastAsia="sk-SK"/>
        </w:rPr>
        <w:t>predvyplnený</w:t>
      </w:r>
      <w:proofErr w:type="spellEnd"/>
      <w:r w:rsidRPr="00EE5AFA">
        <w:rPr>
          <w:rFonts w:ascii="Times New Roman" w:eastAsia="Times New Roman" w:hAnsi="Times New Roman" w:cs="Times New Roman"/>
          <w:bCs/>
          <w:sz w:val="24"/>
          <w:szCs w:val="24"/>
          <w:lang w:eastAsia="sk-SK"/>
        </w:rPr>
        <w:t xml:space="preserve"> formulár s  jeho účtami (podľa údajov v ISFS-SD), kde by platiteľ dane vyznačil alebo doplnil účet/účty pre DPH a zaslal by formulár štandardným spôsobom do ISFS-SD. Platiteľ dane by mal možnosť následne aj aktualizovať / vykonávať zmeny v účtoch prostredníctvom tohto formulára.  </w:t>
      </w:r>
    </w:p>
    <w:p w:rsidR="00026641" w:rsidRPr="00EE5AFA" w:rsidRDefault="00026641" w:rsidP="00664F0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026641" w:rsidRDefault="00026641" w:rsidP="0002664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CA4C2B">
        <w:rPr>
          <w:rFonts w:ascii="Times New Roman" w:hAnsi="Times New Roman" w:cs="Times New Roman"/>
          <w:sz w:val="24"/>
          <w:szCs w:val="24"/>
        </w:rPr>
        <w:t>Na rok 2021 budú finančné prostriedky zabezpečené v rozpočte kapitoly MF SR (organizácia FR SR a MF SR – úrad) rozpočtovým opatrením v zmysle zákona č. 523/2004 Z. z. o rozpočtových pravidlách verejnej správy.</w:t>
      </w:r>
    </w:p>
    <w:p w:rsidR="00EE5AFA" w:rsidRPr="00FD7F22" w:rsidRDefault="00EE5AFA" w:rsidP="00FD7F2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664F07" w:rsidRPr="00CB6109" w:rsidRDefault="00010BEF" w:rsidP="00664F07">
      <w:pPr>
        <w:spacing w:after="0" w:line="240" w:lineRule="auto"/>
        <w:ind w:firstLine="708"/>
        <w:jc w:val="both"/>
        <w:rPr>
          <w:rStyle w:val="Zstupntext"/>
          <w:color w:val="FF0000"/>
          <w:sz w:val="24"/>
          <w:szCs w:val="24"/>
        </w:rPr>
      </w:pPr>
      <w:r>
        <w:rPr>
          <w:rFonts w:ascii="Times New Roman" w:eastAsia="Times New Roman" w:hAnsi="Times New Roman" w:cs="Times New Roman"/>
          <w:sz w:val="24"/>
          <w:szCs w:val="24"/>
          <w:lang w:eastAsia="sk-SK"/>
        </w:rPr>
        <w:t>Upravujú sa</w:t>
      </w:r>
      <w:r w:rsidRPr="00010BEF">
        <w:rPr>
          <w:rFonts w:ascii="Times New Roman" w:eastAsia="Times New Roman" w:hAnsi="Times New Roman" w:cs="Times New Roman"/>
          <w:sz w:val="24"/>
          <w:szCs w:val="24"/>
          <w:lang w:eastAsia="sk-SK"/>
        </w:rPr>
        <w:t xml:space="preserve"> ustanovenia daňového poriadku, ktorým sa riadia správcovia dane, FR SR ministerstvo aj daňové subjekty.</w:t>
      </w:r>
      <w:r>
        <w:rPr>
          <w:rFonts w:ascii="Times New Roman" w:eastAsia="Times New Roman" w:hAnsi="Times New Roman" w:cs="Times New Roman"/>
          <w:sz w:val="24"/>
          <w:szCs w:val="24"/>
          <w:lang w:eastAsia="sk-SK"/>
        </w:rPr>
        <w:t xml:space="preserve"> </w:t>
      </w:r>
    </w:p>
    <w:p w:rsidR="00664F07" w:rsidRPr="001134DC" w:rsidRDefault="00664F07" w:rsidP="00664F07">
      <w:pPr>
        <w:spacing w:after="0" w:line="240" w:lineRule="auto"/>
        <w:ind w:firstLine="708"/>
        <w:jc w:val="both"/>
        <w:rPr>
          <w:rFonts w:ascii="Times New Roman" w:eastAsia="Times New Roman" w:hAnsi="Times New Roman" w:cs="Times New Roman"/>
          <w:sz w:val="24"/>
          <w:szCs w:val="24"/>
          <w:lang w:eastAsia="sk-SK"/>
        </w:rPr>
      </w:pPr>
      <w:r w:rsidRPr="001134DC">
        <w:rPr>
          <w:rStyle w:val="Zstupntext"/>
          <w:color w:val="auto"/>
          <w:sz w:val="24"/>
          <w:szCs w:val="24"/>
        </w:rPr>
        <w:t xml:space="preserve">Návrh zákona, v časti ktorej sa mení a dopĺňa zákon č. 222/2004 Z. z. o dani z pridanej hodnoty v znení neskorších predpisov, upravuje povinnosť platiteľov dane </w:t>
      </w:r>
      <w:r w:rsidRPr="001134DC">
        <w:rPr>
          <w:rFonts w:ascii="Times New Roman" w:hAnsi="Times New Roman"/>
          <w:sz w:val="24"/>
          <w:szCs w:val="24"/>
        </w:rPr>
        <w:t xml:space="preserve">oznamovať Finančnému riaditeľstvu SR čísla vlastných bankových účtov, ktoré používajú na podnikanie podliehajúce DPH, ako aj každú zmenu týkajúcu sa týchto účtov. Zároveň Finančné riaditeľstvo SR zverejnení zoznam oznámených bankových účtov. S touto oznamovacou povinnosťou úzko súvisí rozšírenie pôsobnosti inštitútu ručenia za daň. Ručenie za nezaplatenú daň sa uplatní aj v prípade, ak nastane skutočnosť, že protihodnota za plnenie alebo jej časť bola zaplatená na bankový účet iný ako bankový účet dodávateľa, ktorý v deň uskutočnenia platby bol zverejnený na webovom sídle FR SR. </w:t>
      </w:r>
      <w:r w:rsidRPr="001134DC">
        <w:rPr>
          <w:rFonts w:ascii="Times New Roman" w:eastAsia="Times New Roman" w:hAnsi="Times New Roman" w:cs="Times New Roman"/>
          <w:sz w:val="24"/>
          <w:szCs w:val="24"/>
          <w:lang w:eastAsia="sk-SK"/>
        </w:rPr>
        <w:t xml:space="preserve"> </w:t>
      </w:r>
    </w:p>
    <w:p w:rsidR="00664F07" w:rsidRPr="001134DC" w:rsidRDefault="00664F07" w:rsidP="00664F07">
      <w:pPr>
        <w:spacing w:after="0" w:line="240" w:lineRule="auto"/>
        <w:ind w:firstLine="708"/>
        <w:jc w:val="both"/>
        <w:rPr>
          <w:rFonts w:ascii="Times New Roman" w:eastAsia="Times New Roman" w:hAnsi="Times New Roman" w:cs="Times New Roman"/>
          <w:sz w:val="24"/>
          <w:szCs w:val="24"/>
          <w:lang w:eastAsia="sk-SK"/>
        </w:rPr>
      </w:pPr>
      <w:r w:rsidRPr="001134DC">
        <w:rPr>
          <w:rFonts w:ascii="Times New Roman" w:eastAsia="Times New Roman" w:hAnsi="Times New Roman" w:cs="Times New Roman"/>
          <w:sz w:val="24"/>
          <w:szCs w:val="24"/>
          <w:lang w:eastAsia="sk-SK"/>
        </w:rPr>
        <w:t>Návrhom zákona sa zavádzajú nové a posilňujú pôvodné inštitúty, cieľom ktorých je vytvorenie efektívnych nástrojov v boji proti daňovým podvodom.</w:t>
      </w:r>
    </w:p>
    <w:p w:rsidR="00FF5D33" w:rsidRDefault="00FF5D33" w:rsidP="007D5748">
      <w:pPr>
        <w:spacing w:after="0" w:line="240" w:lineRule="auto"/>
        <w:ind w:firstLine="708"/>
        <w:jc w:val="both"/>
        <w:rPr>
          <w:rFonts w:ascii="Times New Roman" w:eastAsia="Times New Roman" w:hAnsi="Times New Roman" w:cs="Times New Roman"/>
          <w:sz w:val="24"/>
          <w:szCs w:val="24"/>
          <w:lang w:eastAsia="sk-SK"/>
        </w:rPr>
      </w:pPr>
    </w:p>
    <w:p w:rsidR="00FF5D33" w:rsidRDefault="00FF5D3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4844C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r>
      <w:r w:rsidR="00664F07" w:rsidRPr="001134DC">
        <w:rPr>
          <w:rFonts w:ascii="Times New Roman" w:eastAsia="Times New Roman" w:hAnsi="Times New Roman" w:cs="Times New Roman"/>
          <w:sz w:val="24"/>
          <w:szCs w:val="24"/>
          <w:lang w:eastAsia="sk-SK"/>
        </w:rPr>
        <w:t>Návrh zákona prioritne rieši zefektívnenie procesov pri správe daní a nástrojov využívaných v boji proti daňovým podvodom.</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165FDE">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rPr>
          <w:rFonts w:ascii="Times New Roman" w:eastAsia="Times New Roman" w:hAnsi="Times New Roman" w:cs="Times New Roman"/>
          <w:sz w:val="24"/>
          <w:szCs w:val="24"/>
          <w:lang w:eastAsia="sk-SK"/>
        </w:rPr>
      </w:pPr>
    </w:p>
    <w:p w:rsidR="00A9676B" w:rsidRPr="007D5748" w:rsidRDefault="00A9676B"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6D3A5F" w:rsidRDefault="006D3A5F"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165FDE">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165FDE">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165FDE">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165FDE">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165FDE">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FA339F" w:rsidRDefault="00FA339F"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FA339F" w:rsidRDefault="00FA339F" w:rsidP="007D5748">
      <w:pPr>
        <w:tabs>
          <w:tab w:val="num" w:pos="1080"/>
        </w:tabs>
        <w:spacing w:after="0" w:line="240" w:lineRule="auto"/>
        <w:jc w:val="both"/>
        <w:rPr>
          <w:rFonts w:ascii="Times New Roman" w:eastAsia="Times New Roman" w:hAnsi="Times New Roman" w:cs="Times New Roman"/>
          <w:b/>
          <w:bCs/>
          <w:sz w:val="28"/>
          <w:szCs w:val="28"/>
          <w:lang w:eastAsia="sk-SK"/>
        </w:rPr>
      </w:pPr>
      <w:r w:rsidRPr="00FA339F">
        <w:rPr>
          <w:rFonts w:ascii="Times New Roman" w:eastAsia="Times New Roman" w:hAnsi="Times New Roman" w:cs="Times New Roman"/>
          <w:b/>
          <w:bCs/>
          <w:sz w:val="28"/>
          <w:szCs w:val="28"/>
          <w:lang w:eastAsia="sk-SK"/>
        </w:rPr>
        <w:t>Negatívny vplyv na rozpočet:</w:t>
      </w:r>
    </w:p>
    <w:p w:rsidR="00FA339F" w:rsidRDefault="00FA339F" w:rsidP="001170F8">
      <w:pPr>
        <w:tabs>
          <w:tab w:val="num" w:pos="1080"/>
        </w:tabs>
        <w:spacing w:after="0" w:line="240" w:lineRule="auto"/>
        <w:jc w:val="both"/>
        <w:rPr>
          <w:rFonts w:ascii="Times New Roman" w:eastAsia="Times New Roman" w:hAnsi="Times New Roman" w:cs="Times New Roman"/>
          <w:bCs/>
          <w:sz w:val="24"/>
          <w:szCs w:val="20"/>
          <w:lang w:eastAsia="sk-SK"/>
        </w:rPr>
      </w:pPr>
    </w:p>
    <w:p w:rsidR="00D94FFC" w:rsidRPr="00140B82" w:rsidRDefault="00D94FFC" w:rsidP="00D94FFC">
      <w:pPr>
        <w:tabs>
          <w:tab w:val="num" w:pos="1080"/>
        </w:tabs>
        <w:spacing w:after="0" w:line="240" w:lineRule="auto"/>
        <w:jc w:val="both"/>
        <w:rPr>
          <w:rFonts w:ascii="Times New Roman" w:eastAsia="Times New Roman" w:hAnsi="Times New Roman" w:cs="Times New Roman"/>
          <w:bCs/>
          <w:sz w:val="24"/>
          <w:szCs w:val="20"/>
          <w:lang w:eastAsia="sk-SK"/>
        </w:rPr>
      </w:pPr>
      <w:r w:rsidRPr="00D94FFC">
        <w:rPr>
          <w:rFonts w:ascii="Times New Roman" w:eastAsia="Times New Roman" w:hAnsi="Times New Roman" w:cs="Times New Roman"/>
          <w:bCs/>
          <w:sz w:val="24"/>
          <w:szCs w:val="20"/>
          <w:lang w:eastAsia="sk-SK"/>
        </w:rPr>
        <w:t>Navrhované zmeny</w:t>
      </w:r>
      <w:r w:rsidR="00885F2C">
        <w:rPr>
          <w:rFonts w:ascii="Times New Roman" w:eastAsia="Times New Roman" w:hAnsi="Times New Roman" w:cs="Times New Roman"/>
          <w:bCs/>
          <w:sz w:val="24"/>
          <w:szCs w:val="20"/>
          <w:lang w:eastAsia="sk-SK"/>
        </w:rPr>
        <w:t xml:space="preserve"> a doplnenia zákona a zavedenie nových inštitútov - </w:t>
      </w:r>
      <w:r w:rsidR="00885F2C" w:rsidRPr="00885F2C">
        <w:rPr>
          <w:rFonts w:ascii="Times New Roman" w:eastAsia="Times New Roman" w:hAnsi="Times New Roman" w:cs="Times New Roman"/>
          <w:bCs/>
          <w:sz w:val="24"/>
          <w:szCs w:val="20"/>
          <w:lang w:eastAsia="sk-SK"/>
        </w:rPr>
        <w:t xml:space="preserve">zoznam </w:t>
      </w:r>
      <w:r w:rsidR="004B18C4">
        <w:rPr>
          <w:rFonts w:ascii="Times New Roman" w:eastAsia="Times New Roman" w:hAnsi="Times New Roman" w:cs="Times New Roman"/>
          <w:bCs/>
          <w:sz w:val="24"/>
          <w:szCs w:val="20"/>
          <w:lang w:eastAsia="sk-SK"/>
        </w:rPr>
        <w:t>daňových subjektov</w:t>
      </w:r>
      <w:r w:rsidR="00885F2C" w:rsidRPr="00885F2C">
        <w:rPr>
          <w:rFonts w:ascii="Times New Roman" w:eastAsia="Times New Roman" w:hAnsi="Times New Roman" w:cs="Times New Roman"/>
          <w:bCs/>
          <w:sz w:val="24"/>
          <w:szCs w:val="20"/>
          <w:lang w:eastAsia="sk-SK"/>
        </w:rPr>
        <w:t xml:space="preserve"> registrovaných na daň z príjmov s indexom spoľahlivosti,  index daňovej spoľahlivosti, zánik daňového nedoplatku a nový inštitút - rozhodnutie o vylúčení fyzickej osoby </w:t>
      </w:r>
      <w:r w:rsidRPr="00885F2C">
        <w:rPr>
          <w:rFonts w:ascii="Times New Roman" w:eastAsia="Times New Roman" w:hAnsi="Times New Roman" w:cs="Times New Roman"/>
          <w:bCs/>
          <w:sz w:val="24"/>
          <w:szCs w:val="20"/>
          <w:lang w:eastAsia="sk-SK"/>
        </w:rPr>
        <w:t xml:space="preserve">budú mať </w:t>
      </w:r>
      <w:r w:rsidRPr="00D205B7">
        <w:rPr>
          <w:rFonts w:ascii="Times New Roman" w:eastAsia="Times New Roman" w:hAnsi="Times New Roman" w:cs="Times New Roman"/>
          <w:bCs/>
          <w:sz w:val="24"/>
          <w:szCs w:val="20"/>
          <w:lang w:eastAsia="sk-SK"/>
        </w:rPr>
        <w:t xml:space="preserve">finančný dopad v roku </w:t>
      </w:r>
      <w:r w:rsidRPr="00140B82">
        <w:rPr>
          <w:rFonts w:ascii="Times New Roman" w:eastAsia="Times New Roman" w:hAnsi="Times New Roman" w:cs="Times New Roman"/>
          <w:bCs/>
          <w:sz w:val="24"/>
          <w:szCs w:val="20"/>
          <w:lang w:eastAsia="sk-SK"/>
        </w:rPr>
        <w:t xml:space="preserve">2021 vo výške </w:t>
      </w:r>
      <w:r w:rsidR="00453D6C" w:rsidRPr="00140B82">
        <w:rPr>
          <w:rFonts w:ascii="Times New Roman" w:eastAsia="Times New Roman" w:hAnsi="Times New Roman" w:cs="Times New Roman"/>
          <w:bCs/>
          <w:sz w:val="24"/>
          <w:szCs w:val="24"/>
          <w:lang w:eastAsia="sk-SK"/>
        </w:rPr>
        <w:t xml:space="preserve">399 365,57 </w:t>
      </w:r>
      <w:r w:rsidRPr="00140B82">
        <w:rPr>
          <w:rFonts w:ascii="Times New Roman" w:eastAsia="Times New Roman" w:hAnsi="Times New Roman" w:cs="Times New Roman"/>
          <w:bCs/>
          <w:sz w:val="24"/>
          <w:szCs w:val="20"/>
          <w:lang w:eastAsia="sk-SK"/>
        </w:rPr>
        <w:t xml:space="preserve">eur, a to </w:t>
      </w:r>
      <w:r w:rsidR="00134FCE" w:rsidRPr="00140B82">
        <w:rPr>
          <w:rFonts w:ascii="Times New Roman" w:eastAsia="Times New Roman" w:hAnsi="Times New Roman" w:cs="Times New Roman"/>
          <w:bCs/>
          <w:sz w:val="24"/>
          <w:szCs w:val="20"/>
          <w:lang w:eastAsia="sk-SK"/>
        </w:rPr>
        <w:t>v súvislosti so zmenou</w:t>
      </w:r>
      <w:r w:rsidRPr="00140B82">
        <w:rPr>
          <w:rFonts w:ascii="Times New Roman" w:eastAsia="Times New Roman" w:hAnsi="Times New Roman" w:cs="Times New Roman"/>
          <w:bCs/>
          <w:sz w:val="24"/>
          <w:szCs w:val="20"/>
          <w:lang w:eastAsia="sk-SK"/>
        </w:rPr>
        <w:t xml:space="preserve"> informačného systému </w:t>
      </w:r>
      <w:r w:rsidR="004B18C4" w:rsidRPr="00140B82">
        <w:rPr>
          <w:rFonts w:ascii="Times New Roman" w:eastAsia="Times New Roman" w:hAnsi="Times New Roman" w:cs="Times New Roman"/>
          <w:bCs/>
          <w:sz w:val="24"/>
          <w:szCs w:val="20"/>
          <w:lang w:eastAsia="sk-SK"/>
        </w:rPr>
        <w:t>finančnej správy</w:t>
      </w:r>
      <w:r w:rsidRPr="00140B82">
        <w:rPr>
          <w:rFonts w:ascii="Times New Roman" w:eastAsia="Times New Roman" w:hAnsi="Times New Roman" w:cs="Times New Roman"/>
          <w:bCs/>
          <w:sz w:val="24"/>
          <w:szCs w:val="20"/>
          <w:lang w:eastAsia="sk-SK"/>
        </w:rPr>
        <w:t>.</w:t>
      </w:r>
      <w:bookmarkStart w:id="1" w:name="_GoBack"/>
      <w:bookmarkEnd w:id="1"/>
    </w:p>
    <w:p w:rsidR="00052893" w:rsidRPr="00140B82" w:rsidRDefault="00052893" w:rsidP="00D94FFC">
      <w:pPr>
        <w:tabs>
          <w:tab w:val="num" w:pos="1080"/>
        </w:tabs>
        <w:spacing w:after="0" w:line="240" w:lineRule="auto"/>
        <w:jc w:val="both"/>
        <w:rPr>
          <w:rFonts w:ascii="Times New Roman" w:eastAsia="Times New Roman" w:hAnsi="Times New Roman" w:cs="Times New Roman"/>
          <w:bCs/>
          <w:sz w:val="24"/>
          <w:szCs w:val="20"/>
          <w:lang w:eastAsia="sk-SK"/>
        </w:rPr>
      </w:pPr>
    </w:p>
    <w:p w:rsidR="00052893" w:rsidRPr="00885F2C" w:rsidRDefault="00052893" w:rsidP="00052893">
      <w:pPr>
        <w:tabs>
          <w:tab w:val="num" w:pos="1080"/>
        </w:tabs>
        <w:spacing w:after="0" w:line="240" w:lineRule="auto"/>
        <w:jc w:val="both"/>
        <w:rPr>
          <w:rFonts w:ascii="Times New Roman" w:eastAsia="Times New Roman" w:hAnsi="Times New Roman" w:cs="Times New Roman"/>
          <w:bCs/>
          <w:sz w:val="24"/>
          <w:szCs w:val="20"/>
          <w:lang w:eastAsia="sk-SK"/>
        </w:rPr>
      </w:pPr>
      <w:r w:rsidRPr="00140B82">
        <w:rPr>
          <w:rFonts w:ascii="Times New Roman" w:eastAsia="Times New Roman" w:hAnsi="Times New Roman" w:cs="Times New Roman"/>
          <w:bCs/>
          <w:sz w:val="24"/>
          <w:szCs w:val="20"/>
          <w:lang w:eastAsia="sk-SK"/>
        </w:rPr>
        <w:t xml:space="preserve">Navrhované opatrenia týkajúce sa </w:t>
      </w:r>
      <w:r w:rsidRPr="00140B82">
        <w:rPr>
          <w:rFonts w:ascii="Times New Roman" w:eastAsia="Times New Roman" w:hAnsi="Times New Roman" w:cs="Times New Roman"/>
          <w:bCs/>
          <w:sz w:val="24"/>
          <w:szCs w:val="24"/>
          <w:lang w:eastAsia="sk-SK"/>
        </w:rPr>
        <w:t xml:space="preserve">zavedenia osobitnej oznamovacej povinnosť platiteľa dane a osobitného spôsobu úhrady dane si vyžiadajú zmeny informačných systémov PFS a ISFS-SD s finančným dopadom v roku 2021 vo výške </w:t>
      </w:r>
      <w:r w:rsidR="00453D6C" w:rsidRPr="00140B82">
        <w:rPr>
          <w:rFonts w:ascii="Times New Roman" w:eastAsia="Times New Roman" w:hAnsi="Times New Roman" w:cs="Times New Roman"/>
          <w:bCs/>
          <w:sz w:val="24"/>
          <w:szCs w:val="24"/>
          <w:lang w:eastAsia="sk-SK"/>
        </w:rPr>
        <w:t xml:space="preserve">404 910,47 </w:t>
      </w:r>
      <w:r w:rsidRPr="00140B82">
        <w:rPr>
          <w:rFonts w:ascii="Times New Roman" w:eastAsia="Times New Roman" w:hAnsi="Times New Roman" w:cs="Times New Roman"/>
          <w:bCs/>
          <w:sz w:val="24"/>
          <w:szCs w:val="24"/>
          <w:lang w:eastAsia="sk-SK"/>
        </w:rPr>
        <w:t>eur.</w:t>
      </w:r>
      <w:r>
        <w:rPr>
          <w:rFonts w:ascii="Times New Roman" w:eastAsia="Times New Roman" w:hAnsi="Times New Roman" w:cs="Times New Roman"/>
          <w:bCs/>
          <w:sz w:val="24"/>
          <w:szCs w:val="24"/>
          <w:lang w:eastAsia="sk-SK"/>
        </w:rPr>
        <w:t xml:space="preserve"> </w:t>
      </w:r>
    </w:p>
    <w:p w:rsidR="00664F07" w:rsidRDefault="00664F07"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664F07" w:rsidRPr="00467FC5" w:rsidRDefault="00664F07" w:rsidP="00664F07">
      <w:pPr>
        <w:tabs>
          <w:tab w:val="num" w:pos="1080"/>
        </w:tabs>
        <w:spacing w:after="0" w:line="240" w:lineRule="auto"/>
        <w:jc w:val="both"/>
        <w:rPr>
          <w:rFonts w:ascii="Times New Roman" w:eastAsia="Times New Roman" w:hAnsi="Times New Roman" w:cs="Times New Roman"/>
          <w:b/>
          <w:bCs/>
          <w:sz w:val="28"/>
          <w:szCs w:val="28"/>
          <w:lang w:eastAsia="sk-SK"/>
        </w:rPr>
      </w:pPr>
      <w:r w:rsidRPr="00467FC5">
        <w:rPr>
          <w:rFonts w:ascii="Times New Roman" w:eastAsia="Times New Roman" w:hAnsi="Times New Roman" w:cs="Times New Roman"/>
          <w:b/>
          <w:bCs/>
          <w:sz w:val="28"/>
          <w:szCs w:val="28"/>
          <w:lang w:eastAsia="sk-SK"/>
        </w:rPr>
        <w:t>Pozitívny vplyv na rozpočet:</w:t>
      </w:r>
    </w:p>
    <w:p w:rsidR="00664F07" w:rsidRPr="00467FC5" w:rsidRDefault="00664F07" w:rsidP="00664F07">
      <w:pPr>
        <w:tabs>
          <w:tab w:val="num" w:pos="1080"/>
        </w:tabs>
        <w:spacing w:after="0" w:line="240" w:lineRule="auto"/>
        <w:jc w:val="both"/>
        <w:rPr>
          <w:rFonts w:ascii="Times New Roman" w:eastAsia="Times New Roman" w:hAnsi="Times New Roman" w:cs="Times New Roman"/>
          <w:bCs/>
          <w:sz w:val="24"/>
          <w:szCs w:val="20"/>
          <w:lang w:eastAsia="sk-SK"/>
        </w:rPr>
      </w:pPr>
    </w:p>
    <w:p w:rsidR="00664F07" w:rsidRPr="00467FC5" w:rsidRDefault="00664F07" w:rsidP="00664F07">
      <w:pPr>
        <w:tabs>
          <w:tab w:val="num" w:pos="1080"/>
        </w:tabs>
        <w:spacing w:after="0" w:line="240" w:lineRule="auto"/>
        <w:jc w:val="both"/>
        <w:rPr>
          <w:rFonts w:ascii="Times New Roman" w:eastAsia="Times New Roman" w:hAnsi="Times New Roman" w:cs="Times New Roman"/>
          <w:bCs/>
          <w:sz w:val="24"/>
          <w:szCs w:val="20"/>
          <w:lang w:eastAsia="sk-SK"/>
        </w:rPr>
      </w:pPr>
      <w:r w:rsidRPr="00467FC5">
        <w:rPr>
          <w:rFonts w:ascii="Times New Roman" w:eastAsia="Times New Roman" w:hAnsi="Times New Roman" w:cs="Times New Roman"/>
          <w:bCs/>
          <w:sz w:val="24"/>
          <w:szCs w:val="20"/>
          <w:lang w:eastAsia="sk-SK"/>
        </w:rPr>
        <w:t>Rozšírenie inštitútu ručenia za nezaplatenú DPH a zavedenie povinnosti oznamovať čísla vlastných bankových účtov, ktoré sú využívané na výkon podnikateľskej činnosti podliehajúcej DPH, bude mať prínos z pohľadu boja proti daňovým únikom (zvyšovanie efektivity výberu daní) a zároveň zníži finančné aj administratívne náklady správcu dane.</w:t>
      </w:r>
    </w:p>
    <w:p w:rsidR="00664F07" w:rsidRPr="00467FC5" w:rsidRDefault="00664F07" w:rsidP="00664F07">
      <w:pPr>
        <w:tabs>
          <w:tab w:val="num" w:pos="1080"/>
        </w:tabs>
        <w:spacing w:after="0" w:line="240" w:lineRule="auto"/>
        <w:jc w:val="both"/>
        <w:rPr>
          <w:rFonts w:ascii="Times New Roman" w:eastAsia="Times New Roman" w:hAnsi="Times New Roman" w:cs="Times New Roman"/>
          <w:bCs/>
          <w:sz w:val="24"/>
          <w:szCs w:val="20"/>
          <w:lang w:eastAsia="sk-SK"/>
        </w:rPr>
      </w:pPr>
    </w:p>
    <w:p w:rsidR="00664F07" w:rsidRPr="00467FC5" w:rsidRDefault="00664F07" w:rsidP="00664F07">
      <w:pPr>
        <w:tabs>
          <w:tab w:val="num" w:pos="1080"/>
        </w:tabs>
        <w:spacing w:after="0" w:line="240" w:lineRule="auto"/>
        <w:jc w:val="both"/>
        <w:rPr>
          <w:rFonts w:ascii="Times New Roman" w:eastAsia="Times New Roman" w:hAnsi="Times New Roman" w:cs="Times New Roman"/>
          <w:bCs/>
          <w:sz w:val="24"/>
          <w:szCs w:val="20"/>
          <w:lang w:eastAsia="sk-SK"/>
        </w:rPr>
      </w:pPr>
      <w:r w:rsidRPr="00467FC5">
        <w:rPr>
          <w:rFonts w:ascii="Times New Roman" w:eastAsia="Times New Roman" w:hAnsi="Times New Roman" w:cs="Times New Roman"/>
          <w:bCs/>
          <w:sz w:val="24"/>
          <w:szCs w:val="20"/>
          <w:lang w:eastAsia="sk-SK"/>
        </w:rPr>
        <w:t>Aktuálne finančná správa eviduje približne 6 000 aktívnych daňových subjektov, pri ktorých správca dane nemá informácie o ich bankových účtoch. Z toho je 1 270 subjektov, ktoré majú daňový nedoplatok v celkovej hodnote 32,2 mil. eur a nález na daňovej kontrole DPH 24,8 mil. eur. Údaj predstavuje skôr konzervatívny odhad celkového problému, pretože tieto informácie nezahŕňajú údaje o podvodných spoločnostiach, pri ktorých  správca dane síce  má k dispozícii údaje o ich bankových účtoch, no tie sú dlhodobo neaktívne alebo s vysokým mínusovým zostatkom. Tieto spoločnosti  môžu obchodovať cez iné, nie vlastné bankové účty, na ktoré správca dane v rámci výkonu daňovej exekúcie nemá dosah. Preto predpokladáme, že pozitívny vplyv tohto opatrenia bude rádovo vyšší, avšak z dôvodu nemožnosti prognózovať podnikateľské správanie ho nie je možné presne vyčísliť.</w:t>
      </w:r>
    </w:p>
    <w:p w:rsidR="00664F07" w:rsidRPr="00467FC5" w:rsidRDefault="00664F07" w:rsidP="00664F07">
      <w:pPr>
        <w:tabs>
          <w:tab w:val="num" w:pos="1080"/>
        </w:tabs>
        <w:spacing w:after="0" w:line="240" w:lineRule="auto"/>
        <w:jc w:val="both"/>
        <w:rPr>
          <w:rFonts w:ascii="Times New Roman" w:eastAsia="Times New Roman" w:hAnsi="Times New Roman" w:cs="Times New Roman"/>
          <w:bCs/>
          <w:sz w:val="24"/>
          <w:szCs w:val="20"/>
          <w:lang w:eastAsia="sk-SK"/>
        </w:rPr>
      </w:pPr>
    </w:p>
    <w:p w:rsidR="00664F07" w:rsidRPr="00467FC5" w:rsidRDefault="00664F07" w:rsidP="00664F07">
      <w:pPr>
        <w:tabs>
          <w:tab w:val="num" w:pos="1080"/>
        </w:tabs>
        <w:spacing w:after="0" w:line="240" w:lineRule="auto"/>
        <w:jc w:val="both"/>
        <w:rPr>
          <w:rFonts w:ascii="Times New Roman" w:eastAsia="Times New Roman" w:hAnsi="Times New Roman" w:cs="Times New Roman"/>
          <w:bCs/>
          <w:sz w:val="24"/>
          <w:szCs w:val="20"/>
          <w:lang w:eastAsia="sk-SK"/>
        </w:rPr>
      </w:pPr>
      <w:r w:rsidRPr="00467FC5">
        <w:rPr>
          <w:rFonts w:ascii="Times New Roman" w:eastAsia="Times New Roman" w:hAnsi="Times New Roman" w:cs="Times New Roman"/>
          <w:bCs/>
          <w:sz w:val="24"/>
          <w:szCs w:val="20"/>
          <w:lang w:eastAsia="sk-SK"/>
        </w:rPr>
        <w:t xml:space="preserve">Z pohľadu daňovej exekúcie je možné postihovať len majetok vo vlastníctve daňového dlžníka, vrátane bankového účtu vedeného u poskytovateľa platobných služieb, ktorého vlastníkom je </w:t>
      </w:r>
      <w:r w:rsidRPr="00467FC5">
        <w:rPr>
          <w:rFonts w:ascii="Times New Roman" w:eastAsia="Times New Roman" w:hAnsi="Times New Roman" w:cs="Times New Roman"/>
          <w:bCs/>
          <w:sz w:val="24"/>
          <w:szCs w:val="20"/>
          <w:lang w:eastAsia="sk-SK"/>
        </w:rPr>
        <w:lastRenderedPageBreak/>
        <w:t xml:space="preserve">samotný dlžník. V prípade, ak dlžník používa v rámci podnikateľských aktivít bankový účet, ku ktorému nemá vlastnícke právo, ale tento je vo vlastníctve 3. osoby, postihnutie peňažných prostriedkov nie je zo zákona možné. Návrh zákona zavedením povinnosti oznamovať čísla vlastných bankových účtov, ktoré sú využívané na výkon podnikateľskej činnosti podliehajúcej DPH, uvedený problém do značnej miery odstráni, a to najmä tým, že ak budú platby zo strany odberateľov dlžníka smerované na iný bankový účet, ako na zverejnený bankový účet vo vlastníctve dlžníka (dodávateľa), takéto správanie bude sankcionované vznikom ručenia. Rozšírenie možností ručenia umožní v zákonom stanovených prípadoch vymáhať splnenie daňovej povinnosti namiesto dodávateľa od ručiteľa.  </w:t>
      </w:r>
    </w:p>
    <w:p w:rsidR="00664F07" w:rsidRPr="00467FC5" w:rsidRDefault="00664F07" w:rsidP="00664F07">
      <w:pPr>
        <w:tabs>
          <w:tab w:val="num" w:pos="1080"/>
        </w:tabs>
        <w:spacing w:after="0" w:line="240" w:lineRule="auto"/>
        <w:jc w:val="both"/>
        <w:rPr>
          <w:rFonts w:ascii="Times New Roman" w:eastAsia="Times New Roman" w:hAnsi="Times New Roman" w:cs="Times New Roman"/>
          <w:bCs/>
          <w:sz w:val="24"/>
          <w:szCs w:val="20"/>
          <w:lang w:eastAsia="sk-SK"/>
        </w:rPr>
      </w:pPr>
    </w:p>
    <w:p w:rsidR="00664F07" w:rsidRPr="00467FC5" w:rsidRDefault="00664F07" w:rsidP="007D5748">
      <w:pPr>
        <w:tabs>
          <w:tab w:val="num" w:pos="1080"/>
        </w:tabs>
        <w:spacing w:after="0" w:line="240" w:lineRule="auto"/>
        <w:jc w:val="both"/>
        <w:rPr>
          <w:rFonts w:ascii="Times New Roman" w:eastAsia="Times New Roman" w:hAnsi="Times New Roman" w:cs="Times New Roman"/>
          <w:bCs/>
          <w:sz w:val="24"/>
          <w:szCs w:val="20"/>
          <w:lang w:eastAsia="sk-SK"/>
        </w:rPr>
        <w:sectPr w:rsidR="00664F07" w:rsidRPr="00467FC5" w:rsidSect="00D55CB9">
          <w:headerReference w:type="even" r:id="rId15"/>
          <w:footerReference w:type="even" r:id="rId16"/>
          <w:footerReference w:type="default" r:id="rId17"/>
          <w:headerReference w:type="first" r:id="rId18"/>
          <w:pgSz w:w="11906" w:h="16838"/>
          <w:pgMar w:top="1417" w:right="1417" w:bottom="1276" w:left="1417" w:header="708" w:footer="708" w:gutter="0"/>
          <w:pgNumType w:start="1"/>
          <w:cols w:space="708"/>
          <w:titlePg/>
          <w:docGrid w:linePitch="360"/>
        </w:sectPr>
      </w:pPr>
      <w:r w:rsidRPr="00467FC5">
        <w:rPr>
          <w:rFonts w:ascii="Times New Roman" w:eastAsia="Times New Roman" w:hAnsi="Times New Roman" w:cs="Times New Roman"/>
          <w:bCs/>
          <w:sz w:val="24"/>
          <w:szCs w:val="20"/>
          <w:lang w:eastAsia="sk-SK"/>
        </w:rPr>
        <w:t xml:space="preserve">Z pohľadu správy daní, najmä DPH, predstavujú neaktuálne informácie o bankových účtoch podnikateľských subjektov zvýšenú administratívnu záťaž. V roku 2020 správca dane vyplatil poštovým poukazom nadmerné odpočty v sume 2,5 mil. eur z dôvodu, že nemal informáciu o bankovom účte platiteľa dane alebo mal neaktuálnu informáciu. Celkovo bolo takto vyplatených 5 700 platieb. Neaktuálna informácia o bankových účtoch spôsobuje viacnásobné zaťaženie pre správcu dane. Objavili sa prípady, kedy napriek tomu že daňový subjekt mal niekoľko evidovaných aktívnych účtov v registri finančnej správy, ale po postupnom poukazovaní platby bezhotovostne na tieto účty sa platba z banky opakovane vrátila a nadmerný odpočet bol poukázaný v hotovosti. Zvýšenie prácnosti v týchto prípadoch, nie je len o opakovanom poukazovaní platby na ďalšie platné bankové účty, ale v prípade poukázania platieb v hotovosti, je správca dane  povinný  vytvoriť vždy aj úradný záznam o vrátení platby. Daňový poriadok stanovuje pre správcu dane limit pre vyplatenie nadmerného odpočtu DPH poštovým poukazom na adresu do výšky 15.000 eur vrátane (§ 79 ods. 6). Pokiaľ suma prevyšuje zákonom stanovenú  hranicu, je potrebné rozdeliť platbu na viac platieb, čo predstavuje zvýšenie administratívnu záťaže.  </w:t>
      </w:r>
    </w:p>
    <w:p w:rsidR="007D5748" w:rsidRPr="007D5748" w:rsidRDefault="007D5748" w:rsidP="00F069C9">
      <w:pPr>
        <w:tabs>
          <w:tab w:val="num" w:pos="1080"/>
        </w:tabs>
        <w:spacing w:after="0" w:line="240" w:lineRule="auto"/>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165FD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165FD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664F0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5F7DFF" w:rsidP="00664F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64F07">
              <w:rPr>
                <w:rFonts w:ascii="Times New Roman" w:eastAsia="Times New Roman" w:hAnsi="Times New Roman" w:cs="Times New Roman"/>
                <w:b/>
                <w:bCs/>
                <w:sz w:val="24"/>
                <w:szCs w:val="24"/>
                <w:lang w:eastAsia="sk-SK"/>
              </w:rPr>
              <w:t>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5F7DFF" w:rsidP="00664F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64F07">
              <w:rPr>
                <w:rFonts w:ascii="Times New Roman" w:eastAsia="Times New Roman" w:hAnsi="Times New Roman" w:cs="Times New Roman"/>
                <w:b/>
                <w:bCs/>
                <w:sz w:val="24"/>
                <w:szCs w:val="24"/>
                <w:lang w:eastAsia="sk-SK"/>
              </w:rPr>
              <w:t>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5F7DFF" w:rsidP="00664F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64F07">
              <w:rPr>
                <w:rFonts w:ascii="Times New Roman" w:eastAsia="Times New Roman" w:hAnsi="Times New Roman" w:cs="Times New Roman"/>
                <w:b/>
                <w:bCs/>
                <w:sz w:val="24"/>
                <w:szCs w:val="24"/>
                <w:lang w:eastAsia="sk-SK"/>
              </w:rPr>
              <w:t>4</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D54CB4" w:rsidRPr="007D5748" w:rsidTr="00D0744B">
        <w:trPr>
          <w:trHeight w:val="255"/>
        </w:trPr>
        <w:tc>
          <w:tcPr>
            <w:tcW w:w="4950" w:type="dxa"/>
            <w:tcBorders>
              <w:top w:val="nil"/>
              <w:left w:val="single" w:sz="4" w:space="0" w:color="auto"/>
              <w:bottom w:val="single" w:sz="4" w:space="0" w:color="auto"/>
              <w:right w:val="single" w:sz="4" w:space="0" w:color="auto"/>
            </w:tcBorders>
          </w:tcPr>
          <w:p w:rsidR="00D54CB4" w:rsidRPr="007D5748" w:rsidRDefault="00D54CB4"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D54CB4" w:rsidRPr="00BB6F5A" w:rsidRDefault="001134DC" w:rsidP="001134DC">
            <w:pPr>
              <w:spacing w:after="0" w:line="240" w:lineRule="auto"/>
              <w:jc w:val="center"/>
              <w:rPr>
                <w:rFonts w:ascii="Times New Roman" w:eastAsia="Times New Roman" w:hAnsi="Times New Roman" w:cs="Times New Roman"/>
                <w:b/>
                <w:bCs/>
                <w:sz w:val="24"/>
                <w:szCs w:val="24"/>
                <w:lang w:eastAsia="sk-SK"/>
              </w:rPr>
            </w:pPr>
            <w:r w:rsidRPr="001134D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D54CB4" w:rsidRPr="007D5748" w:rsidRDefault="001134D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vMerge w:val="restart"/>
            <w:tcBorders>
              <w:top w:val="nil"/>
              <w:left w:val="nil"/>
              <w:right w:val="single" w:sz="4" w:space="0" w:color="auto"/>
            </w:tcBorders>
            <w:noWrap/>
            <w:vAlign w:val="bottom"/>
          </w:tcPr>
          <w:p w:rsidR="00664F07" w:rsidRPr="001134DC" w:rsidRDefault="00664F07" w:rsidP="00664F07">
            <w:pPr>
              <w:spacing w:after="0" w:line="240" w:lineRule="auto"/>
              <w:rPr>
                <w:rFonts w:ascii="Times New Roman" w:eastAsia="Times New Roman" w:hAnsi="Times New Roman" w:cs="Times New Roman"/>
                <w:sz w:val="24"/>
                <w:szCs w:val="24"/>
                <w:lang w:eastAsia="sk-SK"/>
              </w:rPr>
            </w:pPr>
            <w:r w:rsidRPr="001134DC">
              <w:rPr>
                <w:rFonts w:ascii="Times New Roman" w:eastAsia="Times New Roman" w:hAnsi="Times New Roman" w:cs="Times New Roman"/>
                <w:sz w:val="24"/>
                <w:szCs w:val="24"/>
                <w:lang w:eastAsia="sk-SK"/>
              </w:rPr>
              <w:t>Pozitívny vplyv navrhovaných opatrení nie je možné kvantifikovať, pozri dôvody vyššie.</w:t>
            </w:r>
          </w:p>
          <w:p w:rsidR="00D54CB4" w:rsidRPr="007D5748" w:rsidRDefault="00D54CB4" w:rsidP="00D074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54CB4" w:rsidRPr="007D5748" w:rsidTr="00D0744B">
        <w:trPr>
          <w:trHeight w:val="255"/>
        </w:trPr>
        <w:tc>
          <w:tcPr>
            <w:tcW w:w="4950" w:type="dxa"/>
            <w:tcBorders>
              <w:top w:val="nil"/>
              <w:left w:val="single" w:sz="4" w:space="0" w:color="auto"/>
              <w:bottom w:val="single" w:sz="4" w:space="0" w:color="auto"/>
              <w:right w:val="single" w:sz="4" w:space="0" w:color="auto"/>
            </w:tcBorders>
          </w:tcPr>
          <w:p w:rsidR="00D54CB4" w:rsidRPr="007D5748" w:rsidRDefault="00D54CB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p>
        </w:tc>
        <w:tc>
          <w:tcPr>
            <w:tcW w:w="3000" w:type="dxa"/>
            <w:vMerge/>
            <w:tcBorders>
              <w:left w:val="nil"/>
              <w:right w:val="single" w:sz="4" w:space="0" w:color="auto"/>
            </w:tcBorders>
            <w:noWrap/>
            <w:vAlign w:val="bottom"/>
          </w:tcPr>
          <w:p w:rsidR="00D54CB4" w:rsidRPr="007D5748" w:rsidRDefault="00D54CB4" w:rsidP="00D0744B">
            <w:pPr>
              <w:spacing w:after="0" w:line="240" w:lineRule="auto"/>
              <w:rPr>
                <w:rFonts w:ascii="Times New Roman" w:eastAsia="Times New Roman" w:hAnsi="Times New Roman" w:cs="Times New Roman"/>
                <w:sz w:val="24"/>
                <w:szCs w:val="24"/>
                <w:lang w:eastAsia="sk-SK"/>
              </w:rPr>
            </w:pPr>
          </w:p>
        </w:tc>
      </w:tr>
      <w:tr w:rsidR="00D54CB4" w:rsidRPr="007D5748" w:rsidTr="00D0744B">
        <w:trPr>
          <w:trHeight w:val="255"/>
        </w:trPr>
        <w:tc>
          <w:tcPr>
            <w:tcW w:w="4950" w:type="dxa"/>
            <w:tcBorders>
              <w:top w:val="nil"/>
              <w:left w:val="single" w:sz="4" w:space="0" w:color="auto"/>
              <w:bottom w:val="single" w:sz="4" w:space="0" w:color="auto"/>
              <w:right w:val="single" w:sz="4" w:space="0" w:color="auto"/>
            </w:tcBorders>
          </w:tcPr>
          <w:p w:rsidR="00D54CB4" w:rsidRPr="007D5748" w:rsidRDefault="00D54CB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p>
        </w:tc>
        <w:tc>
          <w:tcPr>
            <w:tcW w:w="3000" w:type="dxa"/>
            <w:vMerge/>
            <w:tcBorders>
              <w:left w:val="nil"/>
              <w:right w:val="single" w:sz="4" w:space="0" w:color="auto"/>
            </w:tcBorders>
            <w:noWrap/>
            <w:vAlign w:val="bottom"/>
          </w:tcPr>
          <w:p w:rsidR="00D54CB4" w:rsidRPr="007D5748" w:rsidRDefault="00D54CB4" w:rsidP="00D0744B">
            <w:pPr>
              <w:spacing w:after="0" w:line="240" w:lineRule="auto"/>
              <w:rPr>
                <w:rFonts w:ascii="Times New Roman" w:eastAsia="Times New Roman" w:hAnsi="Times New Roman" w:cs="Times New Roman"/>
                <w:sz w:val="24"/>
                <w:szCs w:val="24"/>
                <w:lang w:eastAsia="sk-SK"/>
              </w:rPr>
            </w:pPr>
          </w:p>
        </w:tc>
      </w:tr>
      <w:tr w:rsidR="00D54CB4" w:rsidRPr="007D5748" w:rsidTr="00D0744B">
        <w:trPr>
          <w:trHeight w:val="255"/>
        </w:trPr>
        <w:tc>
          <w:tcPr>
            <w:tcW w:w="4950" w:type="dxa"/>
            <w:tcBorders>
              <w:top w:val="nil"/>
              <w:left w:val="single" w:sz="4" w:space="0" w:color="auto"/>
              <w:bottom w:val="single" w:sz="4" w:space="0" w:color="auto"/>
              <w:right w:val="single" w:sz="4" w:space="0" w:color="auto"/>
            </w:tcBorders>
          </w:tcPr>
          <w:p w:rsidR="00D54CB4" w:rsidRPr="007D5748" w:rsidRDefault="00D54CB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vMerge/>
            <w:tcBorders>
              <w:left w:val="nil"/>
              <w:right w:val="single" w:sz="4" w:space="0" w:color="auto"/>
            </w:tcBorders>
            <w:noWrap/>
            <w:vAlign w:val="bottom"/>
          </w:tcPr>
          <w:p w:rsidR="00D54CB4" w:rsidRPr="007D5748" w:rsidRDefault="00D54CB4" w:rsidP="00D0744B">
            <w:pPr>
              <w:spacing w:after="0" w:line="240" w:lineRule="auto"/>
              <w:rPr>
                <w:rFonts w:ascii="Times New Roman" w:eastAsia="Times New Roman" w:hAnsi="Times New Roman" w:cs="Times New Roman"/>
                <w:sz w:val="24"/>
                <w:szCs w:val="24"/>
                <w:lang w:eastAsia="sk-SK"/>
              </w:rPr>
            </w:pPr>
          </w:p>
        </w:tc>
      </w:tr>
      <w:tr w:rsidR="00D54CB4" w:rsidRPr="007D5748" w:rsidTr="00D0744B">
        <w:trPr>
          <w:trHeight w:val="255"/>
        </w:trPr>
        <w:tc>
          <w:tcPr>
            <w:tcW w:w="4950" w:type="dxa"/>
            <w:tcBorders>
              <w:top w:val="nil"/>
              <w:left w:val="single" w:sz="4" w:space="0" w:color="auto"/>
              <w:bottom w:val="single" w:sz="4" w:space="0" w:color="auto"/>
              <w:right w:val="single" w:sz="4" w:space="0" w:color="auto"/>
            </w:tcBorders>
          </w:tcPr>
          <w:p w:rsidR="00D54CB4" w:rsidRPr="007D5748" w:rsidRDefault="00D54CB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54CB4" w:rsidRPr="007D5748" w:rsidRDefault="00D54CB4"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vMerge/>
            <w:tcBorders>
              <w:left w:val="nil"/>
              <w:bottom w:val="single" w:sz="4" w:space="0" w:color="auto"/>
              <w:right w:val="single" w:sz="4" w:space="0" w:color="auto"/>
            </w:tcBorders>
            <w:noWrap/>
            <w:vAlign w:val="bottom"/>
          </w:tcPr>
          <w:p w:rsidR="00D54CB4" w:rsidRPr="007D5748" w:rsidRDefault="00D54CB4" w:rsidP="007D5748">
            <w:pPr>
              <w:spacing w:after="0" w:line="240" w:lineRule="auto"/>
              <w:rPr>
                <w:rFonts w:ascii="Times New Roman" w:eastAsia="Times New Roman" w:hAnsi="Times New Roman" w:cs="Times New Roman"/>
                <w:sz w:val="24"/>
                <w:szCs w:val="24"/>
                <w:lang w:eastAsia="sk-SK"/>
              </w:rPr>
            </w:pPr>
          </w:p>
        </w:tc>
      </w:tr>
      <w:tr w:rsidR="007D5748" w:rsidRPr="007D5748" w:rsidTr="00165FD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134D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134D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165FD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165FD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134D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1ED8" w:rsidP="001134D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1134DC">
              <w:rPr>
                <w:rFonts w:ascii="Times New Roman" w:eastAsia="Times New Roman" w:hAnsi="Times New Roman" w:cs="Times New Roman"/>
                <w:b/>
                <w:bCs/>
                <w:sz w:val="20"/>
                <w:szCs w:val="20"/>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1ED8" w:rsidP="001134D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1134DC">
              <w:rPr>
                <w:rFonts w:ascii="Times New Roman" w:eastAsia="Times New Roman" w:hAnsi="Times New Roman" w:cs="Times New Roman"/>
                <w:b/>
                <w:bCs/>
                <w:sz w:val="20"/>
                <w:szCs w:val="20"/>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1134DC" w:rsidRDefault="00CF1ED8" w:rsidP="001134DC">
            <w:pPr>
              <w:spacing w:after="0" w:line="240" w:lineRule="auto"/>
              <w:jc w:val="center"/>
              <w:rPr>
                <w:rFonts w:ascii="Times New Roman" w:eastAsia="Times New Roman" w:hAnsi="Times New Roman" w:cs="Times New Roman"/>
                <w:b/>
                <w:bCs/>
                <w:sz w:val="24"/>
                <w:szCs w:val="24"/>
                <w:lang w:eastAsia="sk-SK"/>
              </w:rPr>
            </w:pPr>
            <w:r w:rsidRPr="001134DC">
              <w:rPr>
                <w:rFonts w:ascii="Times New Roman" w:eastAsia="Times New Roman" w:hAnsi="Times New Roman" w:cs="Times New Roman"/>
                <w:b/>
                <w:bCs/>
                <w:sz w:val="20"/>
                <w:szCs w:val="20"/>
                <w:lang w:eastAsia="sk-SK"/>
              </w:rPr>
              <w:t>202</w:t>
            </w:r>
            <w:r w:rsidR="001134DC" w:rsidRPr="001134DC">
              <w:rPr>
                <w:rFonts w:ascii="Times New Roman" w:eastAsia="Times New Roman" w:hAnsi="Times New Roman" w:cs="Times New Roman"/>
                <w:b/>
                <w:bCs/>
                <w:sz w:val="20"/>
                <w:szCs w:val="20"/>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165FDE">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1134DC" w:rsidRPr="007D5748" w:rsidTr="00165FDE">
        <w:trPr>
          <w:trHeight w:val="255"/>
        </w:trPr>
        <w:tc>
          <w:tcPr>
            <w:tcW w:w="7070" w:type="dxa"/>
            <w:tcBorders>
              <w:top w:val="nil"/>
              <w:left w:val="single" w:sz="4" w:space="0" w:color="auto"/>
              <w:bottom w:val="single" w:sz="4" w:space="0" w:color="auto"/>
              <w:right w:val="single" w:sz="4" w:space="0" w:color="auto"/>
            </w:tcBorders>
          </w:tcPr>
          <w:p w:rsidR="001134DC" w:rsidRPr="007D5748" w:rsidRDefault="001134DC" w:rsidP="001134D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1134DC" w:rsidRPr="001134DC" w:rsidRDefault="00453D6C" w:rsidP="001134D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Cs/>
                <w:sz w:val="24"/>
                <w:szCs w:val="20"/>
                <w:lang w:eastAsia="sk-SK"/>
              </w:rPr>
              <w:t>804 276</w:t>
            </w:r>
          </w:p>
        </w:tc>
        <w:tc>
          <w:tcPr>
            <w:tcW w:w="1540" w:type="dxa"/>
            <w:tcBorders>
              <w:top w:val="nil"/>
              <w:left w:val="nil"/>
              <w:bottom w:val="single" w:sz="4" w:space="0" w:color="auto"/>
              <w:right w:val="single" w:sz="4" w:space="0" w:color="auto"/>
            </w:tcBorders>
          </w:tcPr>
          <w:p w:rsidR="001134DC" w:rsidRPr="007D5748" w:rsidRDefault="001134DC" w:rsidP="001134D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1134DC" w:rsidRPr="007D5748" w:rsidRDefault="001134DC" w:rsidP="001134D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1134DC" w:rsidRPr="007D5748" w:rsidRDefault="001134DC" w:rsidP="001134DC">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1134DC" w:rsidRPr="007D5748" w:rsidRDefault="001134DC" w:rsidP="001134D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134DC" w:rsidRPr="007D5748" w:rsidTr="00165FDE">
        <w:trPr>
          <w:trHeight w:val="255"/>
        </w:trPr>
        <w:tc>
          <w:tcPr>
            <w:tcW w:w="7070" w:type="dxa"/>
            <w:tcBorders>
              <w:top w:val="nil"/>
              <w:left w:val="single" w:sz="4" w:space="0" w:color="auto"/>
              <w:bottom w:val="single" w:sz="4" w:space="0" w:color="auto"/>
              <w:right w:val="single" w:sz="4" w:space="0" w:color="auto"/>
            </w:tcBorders>
          </w:tcPr>
          <w:p w:rsidR="001134DC" w:rsidRPr="007D5748" w:rsidRDefault="001134DC" w:rsidP="001134D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34DC" w:rsidRPr="001134DC" w:rsidRDefault="00453D6C" w:rsidP="001134D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0"/>
                <w:lang w:eastAsia="sk-SK"/>
              </w:rPr>
              <w:t>804 276</w:t>
            </w:r>
          </w:p>
        </w:tc>
        <w:tc>
          <w:tcPr>
            <w:tcW w:w="1540" w:type="dxa"/>
            <w:tcBorders>
              <w:top w:val="nil"/>
              <w:left w:val="nil"/>
              <w:bottom w:val="single" w:sz="4" w:space="0" w:color="auto"/>
              <w:right w:val="single" w:sz="4" w:space="0" w:color="auto"/>
            </w:tcBorders>
          </w:tcPr>
          <w:p w:rsidR="001134DC" w:rsidRPr="008D050A" w:rsidRDefault="001134DC" w:rsidP="001134DC">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1134DC" w:rsidRPr="007D5748" w:rsidRDefault="001134DC" w:rsidP="001134D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1134DC" w:rsidRPr="007D5748" w:rsidRDefault="001134DC" w:rsidP="001134DC">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1134DC" w:rsidRPr="007D5748" w:rsidRDefault="001134DC" w:rsidP="001134D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134DC" w:rsidRPr="007D5748" w:rsidTr="00165FDE">
        <w:trPr>
          <w:trHeight w:val="255"/>
        </w:trPr>
        <w:tc>
          <w:tcPr>
            <w:tcW w:w="7070" w:type="dxa"/>
            <w:tcBorders>
              <w:top w:val="nil"/>
              <w:left w:val="single" w:sz="4" w:space="0" w:color="auto"/>
              <w:bottom w:val="single" w:sz="4" w:space="0" w:color="auto"/>
              <w:right w:val="single" w:sz="4" w:space="0" w:color="auto"/>
            </w:tcBorders>
          </w:tcPr>
          <w:p w:rsidR="001134DC" w:rsidRPr="007D5748" w:rsidRDefault="001134DC" w:rsidP="001134D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34DC" w:rsidRPr="001134DC" w:rsidRDefault="001134DC" w:rsidP="001134D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1134DC" w:rsidRPr="007D5748" w:rsidRDefault="001134DC" w:rsidP="001134D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1134DC" w:rsidRPr="007D5748" w:rsidRDefault="001134DC" w:rsidP="001134D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1134DC" w:rsidRPr="007D5748" w:rsidRDefault="001134DC" w:rsidP="001134DC">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1134DC" w:rsidRPr="007D5748" w:rsidRDefault="001134DC" w:rsidP="001134D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134DC" w:rsidRPr="007D5748" w:rsidTr="00165FDE">
        <w:trPr>
          <w:trHeight w:val="255"/>
        </w:trPr>
        <w:tc>
          <w:tcPr>
            <w:tcW w:w="7070" w:type="dxa"/>
            <w:tcBorders>
              <w:top w:val="nil"/>
              <w:left w:val="single" w:sz="4" w:space="0" w:color="auto"/>
              <w:bottom w:val="single" w:sz="4" w:space="0" w:color="auto"/>
              <w:right w:val="single" w:sz="4" w:space="0" w:color="auto"/>
            </w:tcBorders>
          </w:tcPr>
          <w:p w:rsidR="001134DC" w:rsidRPr="007D5748" w:rsidRDefault="001134DC" w:rsidP="001134D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1134DC" w:rsidRPr="001134DC" w:rsidRDefault="001134DC" w:rsidP="001134D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1134DC" w:rsidRPr="007D5748" w:rsidRDefault="001134DC" w:rsidP="001134D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1134DC" w:rsidRPr="007D5748" w:rsidRDefault="001134DC" w:rsidP="001134D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1134DC" w:rsidRPr="007D5748" w:rsidRDefault="001134DC" w:rsidP="001134DC">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1134DC" w:rsidRPr="007D5748" w:rsidRDefault="001134DC" w:rsidP="001134D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134DC" w:rsidRPr="007D5748" w:rsidTr="00165FD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34DC" w:rsidRPr="007D5748" w:rsidRDefault="001134DC" w:rsidP="001134D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34DC" w:rsidRPr="001134DC" w:rsidRDefault="00453D6C" w:rsidP="001134D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Cs/>
                <w:sz w:val="24"/>
                <w:szCs w:val="20"/>
                <w:lang w:eastAsia="sk-SK"/>
              </w:rPr>
              <w:t>804 276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34DC" w:rsidRPr="007D5748" w:rsidRDefault="001134DC" w:rsidP="001134D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34DC" w:rsidRPr="007D5748" w:rsidRDefault="001134DC" w:rsidP="001134D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34DC" w:rsidRPr="007D5748" w:rsidRDefault="001134DC" w:rsidP="001134DC">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134DC" w:rsidRPr="007D5748" w:rsidRDefault="001134DC" w:rsidP="001134D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165FD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165FD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1ED8" w:rsidP="003B2AD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3B2AD3">
              <w:rPr>
                <w:rFonts w:ascii="Times New Roman" w:eastAsia="Times New Roman" w:hAnsi="Times New Roman" w:cs="Times New Roman"/>
                <w:b/>
                <w:bCs/>
                <w:sz w:val="24"/>
                <w:szCs w:val="24"/>
                <w:lang w:eastAsia="sk-SK"/>
              </w:rPr>
              <w:t>1</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1ED8" w:rsidP="003B2AD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3B2AD3">
              <w:rPr>
                <w:rFonts w:ascii="Times New Roman" w:eastAsia="Times New Roman" w:hAnsi="Times New Roman" w:cs="Times New Roman"/>
                <w:b/>
                <w:bCs/>
                <w:sz w:val="24"/>
                <w:szCs w:val="24"/>
                <w:lang w:eastAsia="sk-SK"/>
              </w:rPr>
              <w:t>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CF1ED8" w:rsidP="003B2AD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3B2AD3">
              <w:rPr>
                <w:rFonts w:ascii="Times New Roman" w:eastAsia="Times New Roman" w:hAnsi="Times New Roman" w:cs="Times New Roman"/>
                <w:b/>
                <w:bCs/>
                <w:sz w:val="24"/>
                <w:szCs w:val="24"/>
                <w:lang w:eastAsia="sk-SK"/>
              </w:rPr>
              <w:t>3</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1ED8" w:rsidP="003B2AD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3B2AD3">
              <w:rPr>
                <w:rFonts w:ascii="Times New Roman" w:eastAsia="Times New Roman" w:hAnsi="Times New Roman" w:cs="Times New Roman"/>
                <w:b/>
                <w:bCs/>
                <w:sz w:val="24"/>
                <w:szCs w:val="24"/>
                <w:lang w:eastAsia="sk-SK"/>
              </w:rPr>
              <w:t>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165FDE">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165FDE">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165FDE">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165FDE">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3B2AD3">
        <w:trPr>
          <w:trHeight w:val="68"/>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3B2AD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BD" w:rsidRDefault="001B3CBD">
      <w:pPr>
        <w:spacing w:after="0" w:line="240" w:lineRule="auto"/>
      </w:pPr>
      <w:r>
        <w:separator/>
      </w:r>
    </w:p>
  </w:endnote>
  <w:endnote w:type="continuationSeparator" w:id="0">
    <w:p w:rsidR="001B3CBD" w:rsidRDefault="001B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DE" w:rsidRDefault="00165FD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65FDE" w:rsidRDefault="00165FD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01323"/>
      <w:docPartObj>
        <w:docPartGallery w:val="Page Numbers (Bottom of Page)"/>
        <w:docPartUnique/>
      </w:docPartObj>
    </w:sdtPr>
    <w:sdtEndPr/>
    <w:sdtContent>
      <w:p w:rsidR="00D55CB9" w:rsidRDefault="00D55CB9">
        <w:pPr>
          <w:pStyle w:val="Pta"/>
          <w:jc w:val="center"/>
        </w:pPr>
        <w:r>
          <w:fldChar w:fldCharType="begin"/>
        </w:r>
        <w:r>
          <w:instrText>PAGE   \* MERGEFORMAT</w:instrText>
        </w:r>
        <w:r>
          <w:fldChar w:fldCharType="separate"/>
        </w:r>
        <w:r w:rsidR="00140B82">
          <w:rPr>
            <w:noProof/>
          </w:rPr>
          <w:t>10</w:t>
        </w:r>
        <w:r>
          <w:fldChar w:fldCharType="end"/>
        </w:r>
      </w:p>
    </w:sdtContent>
  </w:sdt>
  <w:p w:rsidR="00165FDE" w:rsidRDefault="00165FD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BD" w:rsidRDefault="001B3CBD">
      <w:pPr>
        <w:spacing w:after="0" w:line="240" w:lineRule="auto"/>
      </w:pPr>
      <w:r>
        <w:separator/>
      </w:r>
    </w:p>
  </w:footnote>
  <w:footnote w:type="continuationSeparator" w:id="0">
    <w:p w:rsidR="001B3CBD" w:rsidRDefault="001B3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DE" w:rsidRDefault="00165FDE" w:rsidP="00165FDE">
    <w:pPr>
      <w:pStyle w:val="Hlavika"/>
      <w:jc w:val="right"/>
      <w:rPr>
        <w:sz w:val="24"/>
        <w:szCs w:val="24"/>
      </w:rPr>
    </w:pPr>
    <w:r>
      <w:rPr>
        <w:sz w:val="24"/>
        <w:szCs w:val="24"/>
      </w:rPr>
      <w:t>Príloha č. 2</w:t>
    </w:r>
  </w:p>
  <w:p w:rsidR="00165FDE" w:rsidRPr="00EB59C8" w:rsidRDefault="00165FDE" w:rsidP="00165FDE">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DE" w:rsidRPr="000A15AE" w:rsidRDefault="00165FDE" w:rsidP="00165FD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345CA"/>
    <w:multiLevelType w:val="hybridMultilevel"/>
    <w:tmpl w:val="7B749C70"/>
    <w:lvl w:ilvl="0" w:tplc="AD4CE6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C1E6E"/>
    <w:multiLevelType w:val="hybridMultilevel"/>
    <w:tmpl w:val="84BEF294"/>
    <w:lvl w:ilvl="0" w:tplc="FAC290C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0BEF"/>
    <w:rsid w:val="00011442"/>
    <w:rsid w:val="00026641"/>
    <w:rsid w:val="00035EB6"/>
    <w:rsid w:val="000523DC"/>
    <w:rsid w:val="00052893"/>
    <w:rsid w:val="00057135"/>
    <w:rsid w:val="001127A8"/>
    <w:rsid w:val="001134DC"/>
    <w:rsid w:val="001170F8"/>
    <w:rsid w:val="00127EAB"/>
    <w:rsid w:val="00134FCE"/>
    <w:rsid w:val="00140B82"/>
    <w:rsid w:val="00165FDE"/>
    <w:rsid w:val="00170D2B"/>
    <w:rsid w:val="001740A3"/>
    <w:rsid w:val="001A7F8A"/>
    <w:rsid w:val="001B3CBD"/>
    <w:rsid w:val="001F10D6"/>
    <w:rsid w:val="00200898"/>
    <w:rsid w:val="00212894"/>
    <w:rsid w:val="00213E8E"/>
    <w:rsid w:val="00225004"/>
    <w:rsid w:val="00236EB0"/>
    <w:rsid w:val="002B0864"/>
    <w:rsid w:val="002F7487"/>
    <w:rsid w:val="002F7D2F"/>
    <w:rsid w:val="00317B90"/>
    <w:rsid w:val="0034468F"/>
    <w:rsid w:val="00351D80"/>
    <w:rsid w:val="003B2AD3"/>
    <w:rsid w:val="003B46E5"/>
    <w:rsid w:val="003D7260"/>
    <w:rsid w:val="003E58E0"/>
    <w:rsid w:val="00420ECF"/>
    <w:rsid w:val="00453D6C"/>
    <w:rsid w:val="00467FC5"/>
    <w:rsid w:val="004800D7"/>
    <w:rsid w:val="004844C6"/>
    <w:rsid w:val="00487203"/>
    <w:rsid w:val="004A3E4D"/>
    <w:rsid w:val="004B18C4"/>
    <w:rsid w:val="004D7EB6"/>
    <w:rsid w:val="004E0D93"/>
    <w:rsid w:val="004F4F18"/>
    <w:rsid w:val="005005EC"/>
    <w:rsid w:val="005007B3"/>
    <w:rsid w:val="00540255"/>
    <w:rsid w:val="005811B5"/>
    <w:rsid w:val="005F7DFF"/>
    <w:rsid w:val="006024BC"/>
    <w:rsid w:val="00603CB9"/>
    <w:rsid w:val="00664F07"/>
    <w:rsid w:val="006A0576"/>
    <w:rsid w:val="006D3A5F"/>
    <w:rsid w:val="007246BD"/>
    <w:rsid w:val="007A1FF2"/>
    <w:rsid w:val="007C6263"/>
    <w:rsid w:val="007D5748"/>
    <w:rsid w:val="008646CE"/>
    <w:rsid w:val="00885F2C"/>
    <w:rsid w:val="008D050A"/>
    <w:rsid w:val="008D339D"/>
    <w:rsid w:val="008E2736"/>
    <w:rsid w:val="00947B95"/>
    <w:rsid w:val="009660AE"/>
    <w:rsid w:val="009706B7"/>
    <w:rsid w:val="009B68C8"/>
    <w:rsid w:val="00A828A2"/>
    <w:rsid w:val="00A9676B"/>
    <w:rsid w:val="00B5535C"/>
    <w:rsid w:val="00B63488"/>
    <w:rsid w:val="00BB6F5A"/>
    <w:rsid w:val="00BB7568"/>
    <w:rsid w:val="00C15212"/>
    <w:rsid w:val="00C35725"/>
    <w:rsid w:val="00C51FD4"/>
    <w:rsid w:val="00C53A31"/>
    <w:rsid w:val="00CA4C2B"/>
    <w:rsid w:val="00CB3623"/>
    <w:rsid w:val="00CE299A"/>
    <w:rsid w:val="00CF1ED8"/>
    <w:rsid w:val="00D13AE8"/>
    <w:rsid w:val="00D205B7"/>
    <w:rsid w:val="00D54CB4"/>
    <w:rsid w:val="00D55CB9"/>
    <w:rsid w:val="00D92297"/>
    <w:rsid w:val="00D94FFC"/>
    <w:rsid w:val="00DE5BF1"/>
    <w:rsid w:val="00E07CE9"/>
    <w:rsid w:val="00E722E0"/>
    <w:rsid w:val="00E7320B"/>
    <w:rsid w:val="00E963A3"/>
    <w:rsid w:val="00EA1E90"/>
    <w:rsid w:val="00EE5AFA"/>
    <w:rsid w:val="00F069C9"/>
    <w:rsid w:val="00F40136"/>
    <w:rsid w:val="00F41884"/>
    <w:rsid w:val="00F53CAB"/>
    <w:rsid w:val="00F75600"/>
    <w:rsid w:val="00F8307B"/>
    <w:rsid w:val="00FA339F"/>
    <w:rsid w:val="00FC2A6C"/>
    <w:rsid w:val="00FD59F6"/>
    <w:rsid w:val="00FD7F22"/>
    <w:rsid w:val="00FE666E"/>
    <w:rsid w:val="00FF5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59077-BA5A-4318-9CC6-5063C726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D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1A7F8A"/>
    <w:pPr>
      <w:ind w:left="720"/>
      <w:contextualSpacing/>
    </w:pPr>
  </w:style>
  <w:style w:type="character" w:styleId="Zstupntext">
    <w:name w:val="Placeholder Text"/>
    <w:basedOn w:val="Predvolenpsmoodseku"/>
    <w:uiPriority w:val="99"/>
    <w:semiHidden/>
    <w:rsid w:val="00664F07"/>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2937">
      <w:bodyDiv w:val="1"/>
      <w:marLeft w:val="0"/>
      <w:marRight w:val="0"/>
      <w:marTop w:val="0"/>
      <w:marBottom w:val="0"/>
      <w:divBdr>
        <w:top w:val="none" w:sz="0" w:space="0" w:color="auto"/>
        <w:left w:val="none" w:sz="0" w:space="0" w:color="auto"/>
        <w:bottom w:val="none" w:sz="0" w:space="0" w:color="auto"/>
        <w:right w:val="none" w:sz="0" w:space="0" w:color="auto"/>
      </w:divBdr>
    </w:div>
    <w:div w:id="594478773">
      <w:bodyDiv w:val="1"/>
      <w:marLeft w:val="0"/>
      <w:marRight w:val="0"/>
      <w:marTop w:val="0"/>
      <w:marBottom w:val="0"/>
      <w:divBdr>
        <w:top w:val="none" w:sz="0" w:space="0" w:color="auto"/>
        <w:left w:val="none" w:sz="0" w:space="0" w:color="auto"/>
        <w:bottom w:val="none" w:sz="0" w:space="0" w:color="auto"/>
        <w:right w:val="none" w:sz="0" w:space="0" w:color="auto"/>
      </w:divBdr>
    </w:div>
    <w:div w:id="757405538">
      <w:bodyDiv w:val="1"/>
      <w:marLeft w:val="0"/>
      <w:marRight w:val="0"/>
      <w:marTop w:val="0"/>
      <w:marBottom w:val="0"/>
      <w:divBdr>
        <w:top w:val="none" w:sz="0" w:space="0" w:color="auto"/>
        <w:left w:val="none" w:sz="0" w:space="0" w:color="auto"/>
        <w:bottom w:val="none" w:sz="0" w:space="0" w:color="auto"/>
        <w:right w:val="none" w:sz="0" w:space="0" w:color="auto"/>
      </w:divBdr>
    </w:div>
    <w:div w:id="828129483">
      <w:bodyDiv w:val="1"/>
      <w:marLeft w:val="0"/>
      <w:marRight w:val="0"/>
      <w:marTop w:val="0"/>
      <w:marBottom w:val="0"/>
      <w:divBdr>
        <w:top w:val="none" w:sz="0" w:space="0" w:color="auto"/>
        <w:left w:val="none" w:sz="0" w:space="0" w:color="auto"/>
        <w:bottom w:val="none" w:sz="0" w:space="0" w:color="auto"/>
        <w:right w:val="none" w:sz="0" w:space="0" w:color="auto"/>
      </w:divBdr>
    </w:div>
    <w:div w:id="997460379">
      <w:bodyDiv w:val="1"/>
      <w:marLeft w:val="0"/>
      <w:marRight w:val="0"/>
      <w:marTop w:val="0"/>
      <w:marBottom w:val="0"/>
      <w:divBdr>
        <w:top w:val="none" w:sz="0" w:space="0" w:color="auto"/>
        <w:left w:val="none" w:sz="0" w:space="0" w:color="auto"/>
        <w:bottom w:val="none" w:sz="0" w:space="0" w:color="auto"/>
        <w:right w:val="none" w:sz="0" w:space="0" w:color="auto"/>
      </w:divBdr>
    </w:div>
    <w:div w:id="1114130656">
      <w:bodyDiv w:val="1"/>
      <w:marLeft w:val="0"/>
      <w:marRight w:val="0"/>
      <w:marTop w:val="0"/>
      <w:marBottom w:val="0"/>
      <w:divBdr>
        <w:top w:val="none" w:sz="0" w:space="0" w:color="auto"/>
        <w:left w:val="none" w:sz="0" w:space="0" w:color="auto"/>
        <w:bottom w:val="none" w:sz="0" w:space="0" w:color="auto"/>
        <w:right w:val="none" w:sz="0" w:space="0" w:color="auto"/>
      </w:divBdr>
    </w:div>
    <w:div w:id="1441560316">
      <w:bodyDiv w:val="1"/>
      <w:marLeft w:val="0"/>
      <w:marRight w:val="0"/>
      <w:marTop w:val="0"/>
      <w:marBottom w:val="0"/>
      <w:divBdr>
        <w:top w:val="none" w:sz="0" w:space="0" w:color="auto"/>
        <w:left w:val="none" w:sz="0" w:space="0" w:color="auto"/>
        <w:bottom w:val="none" w:sz="0" w:space="0" w:color="auto"/>
        <w:right w:val="none" w:sz="0" w:space="0" w:color="auto"/>
      </w:divBdr>
    </w:div>
    <w:div w:id="1499619438">
      <w:bodyDiv w:val="1"/>
      <w:marLeft w:val="0"/>
      <w:marRight w:val="0"/>
      <w:marTop w:val="0"/>
      <w:marBottom w:val="0"/>
      <w:divBdr>
        <w:top w:val="none" w:sz="0" w:space="0" w:color="auto"/>
        <w:left w:val="none" w:sz="0" w:space="0" w:color="auto"/>
        <w:bottom w:val="none" w:sz="0" w:space="0" w:color="auto"/>
        <w:right w:val="none" w:sz="0" w:space="0" w:color="auto"/>
      </w:divBdr>
    </w:div>
    <w:div w:id="1576432541">
      <w:bodyDiv w:val="1"/>
      <w:marLeft w:val="0"/>
      <w:marRight w:val="0"/>
      <w:marTop w:val="0"/>
      <w:marBottom w:val="0"/>
      <w:divBdr>
        <w:top w:val="none" w:sz="0" w:space="0" w:color="auto"/>
        <w:left w:val="none" w:sz="0" w:space="0" w:color="auto"/>
        <w:bottom w:val="none" w:sz="0" w:space="0" w:color="auto"/>
        <w:right w:val="none" w:sz="0" w:space="0" w:color="auto"/>
      </w:divBdr>
    </w:div>
    <w:div w:id="16382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footnotes" Target="footnotes.xml"></Relationship><Relationship Id="rId13" Type="http://schemas.openxmlformats.org/officeDocument/2006/relationships/image" Target="media/image4.emf"></Relationship><Relationship Id="rId18" Type="http://schemas.openxmlformats.org/officeDocument/2006/relationships/header" Target="header2.xml"></Relationship><Relationship Id="rId3" Type="http://schemas.openxmlformats.org/officeDocument/2006/relationships/customXml" Target="../customXml/item3.xml"></Relationship><Relationship Id="rId7" Type="http://schemas.openxmlformats.org/officeDocument/2006/relationships/webSettings" Target="webSettings.xml"></Relationship><Relationship Id="rId12" Type="http://schemas.openxmlformats.org/officeDocument/2006/relationships/image" Target="media/image3.emf"></Relationship><Relationship Id="rId17" Type="http://schemas.openxmlformats.org/officeDocument/2006/relationships/footer" Target="footer2.xml"></Relationship><Relationship Id="rId2" Type="http://schemas.openxmlformats.org/officeDocument/2006/relationships/customXml" Target="../customXml/item2.xml"></Relationship><Relationship Id="rId16" Type="http://schemas.openxmlformats.org/officeDocument/2006/relationships/footer" Target="footer1.xml"></Relationship><Relationship Id="rId20"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settings" Target="settings.xml"></Relationship><Relationship Id="rId11" Type="http://schemas.openxmlformats.org/officeDocument/2006/relationships/image" Target="media/image2.emf"></Relationship><Relationship Id="rId5" Type="http://schemas.openxmlformats.org/officeDocument/2006/relationships/styles" Target="styles.xml"></Relationship><Relationship Id="rId15" Type="http://schemas.openxmlformats.org/officeDocument/2006/relationships/header" Target="header1.xml"></Relationship><Relationship Id="rId10" Type="http://schemas.openxmlformats.org/officeDocument/2006/relationships/image" Target="media/image1.emf"></Relationship><Relationship Id="rId19" Type="http://schemas.openxmlformats.org/officeDocument/2006/relationships/fontTable" Target="fontTable.xml"></Relationship><Relationship Id="rId4" Type="http://schemas.openxmlformats.org/officeDocument/2006/relationships/numbering" Target="numbering.xml"></Relationship><Relationship Id="rId9" Type="http://schemas.openxmlformats.org/officeDocument/2006/relationships/endnotes" Target="endnotes.xml"></Relationship><Relationship Id="rId14" Type="http://schemas.openxmlformats.org/officeDocument/2006/relationships/image" Target="media/image5.emf"></Relationship><Relationship Id="rId21" Type="http://schemas.openxmlformats.org/officeDocument/2006/relationships/customXml" Target="../customXml/item4.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no'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04_Analýza_vplyvov_na_rozpočet"/>
    <f:field ref="objsubject" par="" edit="true" text=""/>
    <f:field ref="objcreatedby" par="" text="Turenič, Peter, JUDr."/>
    <f:field ref="objcreatedat" par="" text="26.4.2021 15:19:08"/>
    <f:field ref="objchangedby" par="" text="Administrator, System"/>
    <f:field ref="objmodifiedat" par="" text="26.4.2021 15:19: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1891</Words>
  <Characters>10783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Turenic Peter</cp:lastModifiedBy>
  <cp:revision>30</cp:revision>
  <cp:lastPrinted>2019-04-29T11:36:00Z</cp:lastPrinted>
  <dcterms:created xsi:type="dcterms:W3CDTF">2020-10-08T06:18:00Z</dcterms:created>
  <dcterms:modified xsi:type="dcterms:W3CDTF">2021-04-20T11:04:00Z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ktorým&amp;nbsp; sa mení a&amp;nbsp; dopĺňa zákon č. 563/2009 Z. z. o správe daní (daňový poriadok) a o zmene a doplnení niektorých zákonov v znení neskorších predpisov a ktorým sa menia a dopĺňajú niektoré zákony &amp;nbsp;informovaná prostredníctvom predbežnej informácie č.&amp;nbsp;PI/2020/99 zverejnenej v informačnom systéme verejnej správy Slov-Lex od 12.06.2020, verejnosť sa mohla vyjadriť do 22.06.2020.&lt;/p&gt;&lt;p&gt;&amp;nbsp;&lt;/p&gt;&lt;p&gt;K&amp;nbsp;predbežnej informácií boli uskutočnené verejné konzultácie dňa 16.07.2020 a&amp;nbsp;dňa 29.07.2020 za účasti Slovenskej komory daňových poradcov, Slovenskej komory audítorov, Centrom lepšej regulácie, Americkej obchodnej komora v&amp;nbsp;SR, Asociácie zamestnávateľských zväzov a združení SR, Združenia miest a obcí Slovenska, Asociácie priemyselných zväzov, Republikovej únie zamestnávateľov a Klubu 500. &amp;nbsp;&lt;/p&gt;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Peter Turenič</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563/2009 Z. z. o správe daní (daňový poriadok) a o zmene a doplnení niektorých zákonov v znení neskorších predpisov a ktorým sa menia a dopĺňajú niektoré zákony </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1" fmtid="{D5CDD505-2E9C-101B-9397-08002B2CF9AE}">
    <vt:lpwstr/>
  </property>
  <property name="FSC#SKEDITIONSLOVLEX@103.510:podnetpredpis" pid="22" fmtid="{D5CDD505-2E9C-101B-9397-08002B2CF9AE}">
    <vt:lpwstr>Z plánu legislatívnych úloh vlády 2020</vt:lpwstr>
  </property>
  <property name="FSC#SKEDITIONSLOVLEX@103.510:plnynazovpredpis" pid="23" fmtid="{D5CDD505-2E9C-101B-9397-08002B2CF9AE}">
    <vt:lpwstr> Zákon, ktorým sa mení a dopĺňa zákon č. 563/2009 Z. z. o správe daní (daňový poriadok) a o zmene a doplnení niektorých zákonov v znení neskorších predpisov a ktorým sa menia a dopĺňajú niektoré zákony </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MF/003453/2021-77</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LP/2021/158</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110 až 113, 349 a 355 ods.1 Zmluvy o fungovaní Európskej únie (Ú. v. EÚ C 202, 7.6.2016) v platnom znení,_x000d__x000a_čl. 52 Zmluvy o Európskej únii (Ú. v. EÚ C 202, 7.6. 2016) v platnom znení</vt:lpwstr>
  </property>
  <property name="FSC#SKEDITIONSLOVLEX@103.510:AttrStrListDocPropSekundarneLegPravoPO" pid="47" fmtid="{D5CDD505-2E9C-101B-9397-08002B2CF9AE}">
    <vt:lpwstr>-_x0009_smernica Rady 2006/112/ES z  28. novembra 2006 o spoločnom systéme dane z pridanej hodnoty (Ú. v. EÚ L 347, 11.12.2006)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Rozsudok Súdneho dvora C 384/Rozsudok Súdneho dvora C 384/04 Commissioners of Customs &amp; Excise a Attorney General proti Federation of Technological Industries a i.</vt:lpwstr>
  </property>
  <property name="FSC#SKEDITIONSLOVLEX@103.510:AttrStrListDocPropLehotaPrebratieSmernice" pid="52" fmtid="{D5CDD505-2E9C-101B-9397-08002B2CF9AE}">
    <vt:lpwstr>Lehota na prebratie smernice 2006/112/ES bola stanovená do 1.1. 2008 a lehota na prebratie článku 2 smernice Rady (EÚ)  2017/2455 bola stanovená pôvodne do 31.12.2020 a rozhodnutím Rady (EÚ) 2020/1109 zmenená na 1.7.2021</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Rady 2006/112/ES a smernica Rady (EÚ) 2017/2455 sú prebraté do zákona č. 222/2004 Z. z. o dani z pridanej hodnoty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referent</vt:lpwstr>
  </property>
  <property name="FSC#SKEDITIONSLOVLEX@103.510:funkciaPredAkuzativ" pid="139" fmtid="{D5CDD505-2E9C-101B-9397-08002B2CF9AE}">
    <vt:lpwstr>referent</vt:lpwstr>
  </property>
  <property name="FSC#SKEDITIONSLOVLEX@103.510:funkciaPredDativ" pid="140" fmtid="{D5CDD505-2E9C-101B-9397-08002B2CF9AE}">
    <vt:lpwstr>referentovi</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financií Slovenskej republiky predkladá návrh zákona, ktorým sa mení&lt;br /&gt;a dopĺňa zákon č. 563/2009 Z. z. o správe daní (daňový poriadok) a o zmene a doplnení niektorých zákonov v znení neskorších predpisov a ktorým sa menia a dopĺňajú niektoré zákony na základe Plánu legislatívnych úloh vlády SR na rok 2021.&lt;/p&gt;&lt;p&gt;&amp;nbsp;&lt;/p&gt;&lt;p&gt;&amp;nbsp;&amp;nbsp;&amp;nbsp;&amp;nbsp;&amp;nbsp;&amp;nbsp;&amp;nbsp;&amp;nbsp;&amp;nbsp;&amp;nbsp;&amp;nbsp; Primárnym cieľom predkladaného návrhu je vytvorenie nových efektívnych nástrojov v boji proti daňovým podvodom a motivácia daňových subjektov k dobrovoľnému plneniu svojich daňových povinností.&lt;/p&gt;&lt;p&gt;&amp;nbsp;&lt;/p&gt;&lt;p&gt;&amp;nbsp;&amp;nbsp;&amp;nbsp;&amp;nbsp;&amp;nbsp;&amp;nbsp;&amp;nbsp;&amp;nbsp;&amp;nbsp;&amp;nbsp;&amp;nbsp; Zmena sa navrhuje v hodnotení daňových subjektov, tzv. indexe daňovej spoľahlivosti. Z neverejnej formy hodnotenia sa navrhuje prejsť na transparentnú formu hodnotenia. Daňové subjekty, ktoré si budú zodpovedne plniť svoje daňové povinnosti (napr. včasné podávanie daňových priznaní a platenie dane), budú odmeňované benefitmi. Naopak tí podnikatelia, ktorí nebudú hodnotení ako spoľahliví, budú motivovaní k zodpovednejšiemu prístupu.&lt;/p&gt;&lt;p&gt;&amp;nbsp;&lt;/p&gt;&lt;p&gt;Na skvalitnenie výberu daní a očistenie podnikateľského prostredia prispeje aj&lt;br /&gt;vylúčenie – diskvalifikácia fyzických osôb, ktoré sú štatutármi daňových subjektov, ktoré si neplnia zákonné povinnosti. Zámerom tohto opatrenia je, aby mal správca dane možnosť rozhodnúť o vylúčení fyzickej osoby, ak sa na to naplnia zákonom ustanovené dôvody. Týmto rozhodnutím bude fyzická osoba vylúčená z možnosti byť najmä štatutárnym orgánom alebo jeho členom, členom dozorného orgánu alebo prokuristom vo všetkých obchodných spoločnostiach a družstvách, a to na tri roky.&lt;/p&gt;&lt;p&gt;&amp;nbsp;&lt;/p&gt;&lt;p&gt;Úpravou zákona o&amp;nbsp;dani z&amp;nbsp;príjmov sa za účelom podpory podnikateľského prostredia zamestnávateľom, ktorí sú povinní podávať prehľad o zrazených a odvedených preddavkoch na daň z príjmov zo závislej činnosti, ktoré zamestnancom vyplatili, o zamestnaneckej prémii, o daňovom bonuse a o daňovom bonuse na zaplatené úroky, umožní dodatočne splniť tieto povinnosti najneskôr do 5 dní po uplynutí zákonnej lehoty bez uloženia sankcie.&lt;/p&gt;&lt;p&gt;&amp;nbsp;&lt;/p&gt;&lt;p&gt;Pre daňovníkov, ktorí budú na základe vyhodnotenia indexu daňovej spoľahlivosti považovaní za vysoko spoľahlivých sa zavádza bonus - znižuje sa úhrada za žiadosť o vydanie rozhodnutia o odsúhlasení použitia metódy ocenenia pri transferovom oceňovaní na polovičnú výšku.&lt;/p&gt;&lt;p&gt;&amp;nbsp;&lt;/p&gt;&lt;p&gt;Úpravou zákona o dani z pridanej hodnoty sa ustanoví povinnosť platiteľov dane oznamovať Finančnému riaditeľstvu SR čísla vlastných bankových účtov, ktoré používajú&lt;br /&gt;na podnikanie podliehajúce DPH, ako aj každú zmenu týkajúcu sa týchto účtov.&lt;/p&gt;&lt;p&gt;&amp;nbsp;&lt;/p&gt;&lt;p&gt;S uvedenou oznamovacou povinnosťou úzko súvisí rozšírenie pôsobnosti inštitútu ručenia za daň. To sa za nezaplatenú daň uplatní aj v prípade, ak nastane skutočnosť,&lt;br /&gt;že protihodnota za plnenie alebo jej časť bola zaplatená na bankový účet iný ako bankový účet dodávateľa, ktorý bol v deň uskutočnenia platby zverejnený na webovom sídle Finančného riaditeľstva SR.&lt;/p&gt;&lt;p&gt;&amp;nbsp;&amp;nbsp;&amp;nbsp;&amp;nbsp;&amp;nbsp;&amp;nbsp;&amp;nbsp;&amp;nbsp;&amp;nbsp;&amp;nbsp;&amp;nbsp;&lt;/p&gt;&lt;p&gt;&amp;nbsp;&amp;nbsp;&amp;nbsp;&amp;nbsp;&amp;nbsp;&amp;nbsp;&amp;nbsp;&amp;nbsp;&amp;nbsp;&amp;nbsp;&amp;nbsp; Návrh zákona nie je predmetom vnútrokomunitárneho pripomienkového konania.&lt;/p&gt;&lt;p&gt;&amp;nbsp;&lt;/p&gt;&amp;nbsp;&amp;nbsp;&amp;nbsp;&amp;nbsp;&amp;nbsp;&amp;nbsp;&amp;nbsp;&amp;nbsp;&amp;nbsp;&amp;nbsp;&amp;nbsp; Účinnosť návrhu zákona sa navrhuje od 15. novembra 2021, okrem čl. I, čl. II, čl. III bodov 1 až 7, § 6 ods. 5 v bode 8 a bodov 9 a 10, 13 až 34 a § 85kl v bode 35, čl. IV a čl. V, ktoré nadobúdajú účinnosť 1. januára 2022.</vt:lpwstr>
  </property>
  <property name="FSC#SKEDITIONSLOVLEX@103.510:vytvorenedna" pid="150" fmtid="{D5CDD505-2E9C-101B-9397-08002B2CF9AE}">
    <vt:lpwstr>26. 4. 2021</vt:lpwstr>
  </property>
  <property name="FSC#COOSYSTEM@1.1:Container" pid="151" fmtid="{D5CDD505-2E9C-101B-9397-08002B2CF9AE}">
    <vt:lpwstr>COO.2145.1000.3.4336759</vt:lpwstr>
  </property>
  <property name="FSC#FSCFOLIO@1.1001:docpropproject" pid="152" fmtid="{D5CDD505-2E9C-101B-9397-08002B2CF9AE}">
    <vt:lpwstr/>
  </property>
</Properties>
</file>