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8DA" w:rsidRPr="00661635" w:rsidRDefault="002278DA" w:rsidP="002278DA">
      <w:pPr>
        <w:spacing w:after="0" w:line="240" w:lineRule="auto"/>
        <w:jc w:val="center"/>
        <w:rPr>
          <w:rFonts w:ascii="Times New Roman" w:hAnsi="Times New Roman" w:cs="Calibri"/>
          <w:b/>
          <w:caps/>
          <w:sz w:val="28"/>
          <w:szCs w:val="28"/>
        </w:rPr>
      </w:pPr>
      <w:r w:rsidRPr="00661635">
        <w:rPr>
          <w:rFonts w:ascii="Times New Roman" w:hAnsi="Times New Roman" w:cs="Calibri"/>
          <w:b/>
          <w:caps/>
          <w:sz w:val="28"/>
          <w:szCs w:val="28"/>
        </w:rPr>
        <w:t>vznesené Pripomienky v rámci medzirezortného pripomienkového konania</w:t>
      </w:r>
    </w:p>
    <w:p w:rsidR="002278DA" w:rsidRPr="005A1161" w:rsidRDefault="002278DA" w:rsidP="002278DA">
      <w:pPr>
        <w:spacing w:after="0" w:line="240" w:lineRule="auto"/>
        <w:jc w:val="center"/>
        <w:rPr>
          <w:rFonts w:ascii="Times New Roman" w:hAnsi="Times New Roman" w:cs="Calibri"/>
          <w:b/>
          <w:caps/>
          <w:sz w:val="20"/>
          <w:szCs w:val="20"/>
        </w:rPr>
      </w:pPr>
    </w:p>
    <w:p w:rsidR="00AD7BBC" w:rsidRPr="00AD7BBC" w:rsidRDefault="00AD7BBC" w:rsidP="00AD7BBC">
      <w:pPr>
        <w:pStyle w:val="Default"/>
        <w:jc w:val="center"/>
        <w:rPr>
          <w:rFonts w:asciiTheme="minorHAnsi" w:hAnsiTheme="minorHAnsi" w:cstheme="minorBidi"/>
          <w:color w:val="auto"/>
          <w:sz w:val="22"/>
          <w:szCs w:val="22"/>
        </w:rPr>
      </w:pPr>
      <w:r w:rsidRPr="00AD7BBC">
        <w:rPr>
          <w:rFonts w:asciiTheme="minorHAnsi" w:hAnsiTheme="minorHAnsi" w:cstheme="minorBidi"/>
          <w:color w:val="auto"/>
          <w:sz w:val="22"/>
          <w:szCs w:val="22"/>
        </w:rPr>
        <w:t>k návrhu  nariadenia vlády Slovenskej republiky, ktorým sa ustanovuje výška finančného príspevku na poskytovanie sociálnej služby v zariadeniach sociálnych služieb pre fyzické osoby, ktoré sú odkázané na pomoc inej fyzickej osoby, a pre fyzické osoby, ktoré dovŕšili vek potrebný na nárok na starobný dôchodok na rok 2022</w:t>
      </w:r>
    </w:p>
    <w:p w:rsidR="002278DA" w:rsidRPr="005A1161" w:rsidRDefault="002278DA" w:rsidP="002278DA">
      <w:pPr>
        <w:spacing w:after="0" w:line="240" w:lineRule="auto"/>
        <w:rPr>
          <w:rFonts w:ascii="Times New Roman" w:hAnsi="Times New Roman" w:cs="Calibri"/>
          <w:sz w:val="20"/>
          <w:szCs w:val="20"/>
        </w:rPr>
      </w:pPr>
    </w:p>
    <w:p w:rsidR="002278DA" w:rsidRPr="005A1161" w:rsidRDefault="002278DA" w:rsidP="002278DA">
      <w:pPr>
        <w:spacing w:after="0" w:line="240" w:lineRule="auto"/>
        <w:rPr>
          <w:rFonts w:ascii="Times New Roman" w:hAnsi="Times New Roman" w:cs="Calibri"/>
          <w:sz w:val="20"/>
          <w:szCs w:val="20"/>
        </w:rPr>
      </w:pPr>
    </w:p>
    <w:tbl>
      <w:tblPr>
        <w:tblW w:w="1432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1"/>
        <w:gridCol w:w="7801"/>
      </w:tblGrid>
      <w:tr w:rsidR="002278DA" w:rsidRPr="005A1161" w:rsidTr="006219A0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2278DA" w:rsidRPr="00772C99" w:rsidRDefault="002278DA" w:rsidP="0011306E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772C99">
              <w:rPr>
                <w:rFonts w:ascii="Times New Roman" w:hAnsi="Times New Roman" w:cs="Calibri"/>
                <w:sz w:val="25"/>
                <w:szCs w:val="25"/>
              </w:rPr>
              <w:t>Počet vznesených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2278DA" w:rsidRPr="005A1161" w:rsidRDefault="008E7F10" w:rsidP="008E7F10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6</w:t>
            </w:r>
            <w:r w:rsidR="002278DA">
              <w:rPr>
                <w:rFonts w:ascii="Times" w:hAnsi="Times" w:cs="Times"/>
                <w:sz w:val="25"/>
                <w:szCs w:val="25"/>
              </w:rPr>
              <w:t xml:space="preserve"> / </w:t>
            </w:r>
            <w:r>
              <w:rPr>
                <w:rFonts w:ascii="Times" w:hAnsi="Times" w:cs="Times"/>
                <w:sz w:val="25"/>
                <w:szCs w:val="25"/>
              </w:rPr>
              <w:t>2</w:t>
            </w:r>
          </w:p>
        </w:tc>
      </w:tr>
    </w:tbl>
    <w:p w:rsidR="002278DA" w:rsidRDefault="002278DA" w:rsidP="002278DA">
      <w:pPr>
        <w:pStyle w:val="Hlavika"/>
      </w:pPr>
    </w:p>
    <w:tbl>
      <w:tblPr>
        <w:tblW w:w="15026" w:type="dxa"/>
        <w:tblCellSpacing w:w="15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"/>
        <w:gridCol w:w="2217"/>
        <w:gridCol w:w="1419"/>
        <w:gridCol w:w="1286"/>
        <w:gridCol w:w="3778"/>
        <w:gridCol w:w="30"/>
        <w:gridCol w:w="851"/>
        <w:gridCol w:w="824"/>
        <w:gridCol w:w="35"/>
        <w:gridCol w:w="4536"/>
      </w:tblGrid>
      <w:tr w:rsidR="0011306E" w:rsidRPr="00665835" w:rsidTr="00302381">
        <w:trPr>
          <w:tblCellSpacing w:w="15" w:type="dxa"/>
        </w:trPr>
        <w:tc>
          <w:tcPr>
            <w:tcW w:w="2223" w:type="dxa"/>
            <w:gridSpan w:val="2"/>
          </w:tcPr>
          <w:p w:rsidR="002278DA" w:rsidRPr="00C80B5C" w:rsidRDefault="002278DA" w:rsidP="001130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B5C">
              <w:rPr>
                <w:rFonts w:ascii="Times New Roman" w:hAnsi="Times New Roman" w:cs="Times New Roman"/>
                <w:b/>
                <w:sz w:val="24"/>
                <w:szCs w:val="24"/>
              </w:rPr>
              <w:t>Pripomienkujúci subjekt</w:t>
            </w:r>
          </w:p>
        </w:tc>
        <w:tc>
          <w:tcPr>
            <w:tcW w:w="1389" w:type="dxa"/>
          </w:tcPr>
          <w:p w:rsidR="002278DA" w:rsidRPr="00C80B5C" w:rsidRDefault="002278DA" w:rsidP="001130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B5C">
              <w:rPr>
                <w:rFonts w:ascii="Times New Roman" w:hAnsi="Times New Roman" w:cs="Times New Roman"/>
                <w:b/>
                <w:sz w:val="24"/>
                <w:szCs w:val="24"/>
              </w:rPr>
              <w:t>Pripomienka k</w:t>
            </w:r>
          </w:p>
        </w:tc>
        <w:tc>
          <w:tcPr>
            <w:tcW w:w="5034" w:type="dxa"/>
            <w:gridSpan w:val="2"/>
          </w:tcPr>
          <w:p w:rsidR="002278DA" w:rsidRPr="00C80B5C" w:rsidRDefault="002278DA" w:rsidP="001130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B5C">
              <w:rPr>
                <w:rFonts w:ascii="Times New Roman" w:hAnsi="Times New Roman" w:cs="Times New Roman"/>
                <w:b/>
                <w:sz w:val="24"/>
                <w:szCs w:val="24"/>
              </w:rPr>
              <w:t>Text pripomienky</w:t>
            </w:r>
          </w:p>
        </w:tc>
        <w:tc>
          <w:tcPr>
            <w:tcW w:w="851" w:type="dxa"/>
            <w:gridSpan w:val="2"/>
          </w:tcPr>
          <w:p w:rsidR="002278DA" w:rsidRPr="00C80B5C" w:rsidRDefault="002278DA" w:rsidP="001130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B5C">
              <w:rPr>
                <w:rFonts w:ascii="Times New Roman" w:hAnsi="Times New Roman" w:cs="Times New Roman"/>
                <w:b/>
                <w:sz w:val="24"/>
                <w:szCs w:val="24"/>
              </w:rPr>
              <w:t>Typ pripomienky</w:t>
            </w:r>
          </w:p>
        </w:tc>
        <w:tc>
          <w:tcPr>
            <w:tcW w:w="794" w:type="dxa"/>
          </w:tcPr>
          <w:p w:rsidR="002278DA" w:rsidRPr="00C80B5C" w:rsidRDefault="002278DA" w:rsidP="00113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B5C">
              <w:rPr>
                <w:rFonts w:ascii="Times New Roman" w:hAnsi="Times New Roman" w:cs="Times New Roman"/>
                <w:b/>
                <w:sz w:val="24"/>
                <w:szCs w:val="24"/>
              </w:rPr>
              <w:t>Vyhodnotenie</w:t>
            </w:r>
          </w:p>
        </w:tc>
        <w:tc>
          <w:tcPr>
            <w:tcW w:w="4525" w:type="dxa"/>
            <w:gridSpan w:val="2"/>
          </w:tcPr>
          <w:p w:rsidR="002278DA" w:rsidRPr="00C80B5C" w:rsidRDefault="002278DA" w:rsidP="001130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B5C">
              <w:rPr>
                <w:rFonts w:ascii="Times New Roman" w:hAnsi="Times New Roman" w:cs="Times New Roman"/>
                <w:b/>
                <w:sz w:val="24"/>
                <w:szCs w:val="24"/>
              </w:rPr>
              <w:t>Odôvodnenie</w:t>
            </w:r>
          </w:p>
        </w:tc>
      </w:tr>
      <w:tr w:rsidR="002278DA" w:rsidRPr="001551D2" w:rsidTr="003023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</w:trPr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8DA" w:rsidRPr="001551D2" w:rsidRDefault="002278DA" w:rsidP="00113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551D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MFSR (Ministerstvo financií Slovenskej republiky)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8DA" w:rsidRPr="001551D2" w:rsidRDefault="002278DA" w:rsidP="00113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551D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Všeobecne </w:t>
            </w:r>
          </w:p>
        </w:tc>
        <w:tc>
          <w:tcPr>
            <w:tcW w:w="5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8DA" w:rsidRPr="00C80B5C" w:rsidRDefault="008E7F10" w:rsidP="00113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80B5C">
              <w:rPr>
                <w:rFonts w:ascii="Times New Roman" w:hAnsi="Times New Roman" w:cs="Times New Roman"/>
                <w:sz w:val="24"/>
                <w:szCs w:val="24"/>
              </w:rPr>
              <w:t>Do predloženého materiálu odporúčame doplniť odôvodnenie predpokladaného nárastu počtu prijímateľov pobytových sociálnych služieb o 400 v VI. stupni odkázanosti, ktorý vytvára vplyv vo výške 3,1 mil. eur. V analýze vplyvov sa predpokladá nárast počtu prijímateľov sociálnych služieb v VI. stupni odkázanosti o 400. Nie je jasné, na základe čoho bol tento odhad realizovaný, keďže v predchádzajúcich rokoch bol nárast počtu týchto poberateľov sociálnych služieb vyšší. V rámci každoročného zvyšovania finančných príspevkov sa tiež pravidelne nadhodnocuje počet poberateľov sociálnych služieb v ďalších stupňoch odkázanosti, na čo predložený materiál nijako nereflektuje.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8DA" w:rsidRPr="001551D2" w:rsidRDefault="006219A0" w:rsidP="0022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8DA" w:rsidRPr="001551D2" w:rsidRDefault="00302381" w:rsidP="0022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9E" w:rsidRDefault="00F2010C" w:rsidP="00893E57">
            <w:pPr>
              <w:pStyle w:val="Default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 xml:space="preserve">Predpokladaný medziročný nárast počtu miest so štruktúrou týchto miest podľa stupňa odkázanosti so VI. stupňom, znížený oproti tejto kvantifikácii  uvádzanej v predchádzajúcich </w:t>
            </w:r>
            <w:r w:rsidR="00A764DF">
              <w:rPr>
                <w:rFonts w:ascii="Times New Roman" w:eastAsia="Times New Roman" w:hAnsi="Times New Roman" w:cs="Times New Roman"/>
                <w:lang w:eastAsia="sk-SK"/>
              </w:rPr>
              <w:t xml:space="preserve">rokoch je dôsledkom vplyvu </w:t>
            </w:r>
            <w:r w:rsidR="00211E87">
              <w:rPr>
                <w:rFonts w:ascii="Times New Roman" w:eastAsia="Times New Roman" w:hAnsi="Times New Roman" w:cs="Times New Roman"/>
                <w:lang w:eastAsia="sk-SK"/>
              </w:rPr>
              <w:t xml:space="preserve"> pandémie ochoren</w:t>
            </w:r>
            <w:r w:rsidR="00A764DF">
              <w:rPr>
                <w:rFonts w:ascii="Times New Roman" w:eastAsia="Times New Roman" w:hAnsi="Times New Roman" w:cs="Times New Roman"/>
                <w:lang w:eastAsia="sk-SK"/>
              </w:rPr>
              <w:t>ia</w:t>
            </w:r>
            <w:r w:rsidR="00211E87">
              <w:rPr>
                <w:rFonts w:ascii="Times New Roman" w:eastAsia="Times New Roman" w:hAnsi="Times New Roman" w:cs="Times New Roman"/>
                <w:lang w:eastAsia="sk-SK"/>
              </w:rPr>
              <w:t xml:space="preserve"> COVID-19</w:t>
            </w:r>
            <w:r w:rsidR="00A764DF">
              <w:rPr>
                <w:rFonts w:ascii="Times New Roman" w:eastAsia="Times New Roman" w:hAnsi="Times New Roman" w:cs="Times New Roman"/>
                <w:lang w:eastAsia="sk-SK"/>
              </w:rPr>
              <w:t xml:space="preserve"> na vývoj dopytu na poskytovanie sociálnych služieb v kolektívnych pobytových  zariadeniach so zvýšeným nebezpečenstvom šírenia tohto nákazlivého ochorenia, </w:t>
            </w:r>
            <w:r w:rsidR="00211E87">
              <w:rPr>
                <w:rFonts w:ascii="Times New Roman" w:eastAsia="Times New Roman" w:hAnsi="Times New Roman" w:cs="Times New Roman"/>
                <w:lang w:eastAsia="sk-SK"/>
              </w:rPr>
              <w:t>v</w:t>
            </w:r>
            <w:r w:rsidR="00A764DF">
              <w:rPr>
                <w:rFonts w:ascii="Times New Roman" w:eastAsia="Times New Roman" w:hAnsi="Times New Roman" w:cs="Times New Roman"/>
                <w:lang w:eastAsia="sk-SK"/>
              </w:rPr>
              <w:t xml:space="preserve"> ktorých sa poskytuje sociálna služba cieľovej skupine prijímateľov najviac ohrozených  fatálnymi dôsledkami tohto ochorenia (staršie fyzické osoby, fyzické osoby s chronickým ochorením a s ťažkým zdravotným postihnutím). V </w:t>
            </w:r>
            <w:r w:rsidR="00211E87">
              <w:rPr>
                <w:rFonts w:ascii="Times New Roman" w:eastAsia="Times New Roman" w:hAnsi="Times New Roman" w:cs="Times New Roman"/>
                <w:lang w:eastAsia="sk-SK"/>
              </w:rPr>
              <w:t xml:space="preserve"> ambulantnej forme SS </w:t>
            </w:r>
            <w:r w:rsidR="00A764DF">
              <w:rPr>
                <w:rFonts w:ascii="Times New Roman" w:eastAsia="Times New Roman" w:hAnsi="Times New Roman" w:cs="Times New Roman"/>
                <w:lang w:eastAsia="sk-SK"/>
              </w:rPr>
              <w:t>, kde sa dôsledky pandémie ochorenia COVID- 19</w:t>
            </w:r>
            <w:r w:rsidR="003D5842">
              <w:rPr>
                <w:rFonts w:ascii="Times New Roman" w:eastAsia="Times New Roman" w:hAnsi="Times New Roman" w:cs="Times New Roman"/>
                <w:lang w:eastAsia="sk-SK"/>
              </w:rPr>
              <w:t xml:space="preserve"> prejavili</w:t>
            </w:r>
            <w:r w:rsidR="00A764DF">
              <w:rPr>
                <w:rFonts w:ascii="Times New Roman" w:eastAsia="Times New Roman" w:hAnsi="Times New Roman" w:cs="Times New Roman"/>
                <w:lang w:eastAsia="sk-SK"/>
              </w:rPr>
              <w:t xml:space="preserve"> </w:t>
            </w:r>
            <w:r w:rsidR="003D5842">
              <w:rPr>
                <w:rFonts w:ascii="Times New Roman" w:eastAsia="Times New Roman" w:hAnsi="Times New Roman" w:cs="Times New Roman"/>
                <w:lang w:eastAsia="sk-SK"/>
              </w:rPr>
              <w:t>v reálnom poklese dopytu po tejto forme sociálnej služby ešte výraznejšie</w:t>
            </w:r>
            <w:r w:rsidR="00A764DF">
              <w:rPr>
                <w:rFonts w:ascii="Times New Roman" w:eastAsia="Times New Roman" w:hAnsi="Times New Roman" w:cs="Times New Roman"/>
                <w:lang w:eastAsia="sk-SK"/>
              </w:rPr>
              <w:t xml:space="preserve"> </w:t>
            </w:r>
            <w:r w:rsidR="00211E87">
              <w:rPr>
                <w:rFonts w:ascii="Times New Roman" w:eastAsia="Times New Roman" w:hAnsi="Times New Roman" w:cs="Times New Roman"/>
                <w:lang w:eastAsia="sk-SK"/>
              </w:rPr>
              <w:lastRenderedPageBreak/>
              <w:t>a z toho dôvodu nepredpokladáme v roku 2022</w:t>
            </w:r>
            <w:r w:rsidR="003D5842">
              <w:rPr>
                <w:rFonts w:ascii="Times New Roman" w:eastAsia="Times New Roman" w:hAnsi="Times New Roman" w:cs="Times New Roman"/>
                <w:lang w:eastAsia="sk-SK"/>
              </w:rPr>
              <w:t xml:space="preserve"> medziročné</w:t>
            </w:r>
            <w:r w:rsidR="00211E87">
              <w:rPr>
                <w:rFonts w:ascii="Times New Roman" w:eastAsia="Times New Roman" w:hAnsi="Times New Roman" w:cs="Times New Roman"/>
                <w:lang w:eastAsia="sk-SK"/>
              </w:rPr>
              <w:t xml:space="preserve"> zvýšenie počtu miest</w:t>
            </w:r>
            <w:r w:rsidR="003D5842">
              <w:rPr>
                <w:rFonts w:ascii="Times New Roman" w:eastAsia="Times New Roman" w:hAnsi="Times New Roman" w:cs="Times New Roman"/>
                <w:lang w:eastAsia="sk-SK"/>
              </w:rPr>
              <w:t>.</w:t>
            </w:r>
            <w:r w:rsidR="00211E87">
              <w:rPr>
                <w:rFonts w:ascii="Times New Roman" w:eastAsia="Times New Roman" w:hAnsi="Times New Roman" w:cs="Times New Roman"/>
                <w:lang w:eastAsia="sk-SK"/>
              </w:rPr>
              <w:t>.</w:t>
            </w:r>
          </w:p>
          <w:p w:rsidR="003D5842" w:rsidRDefault="00211E87" w:rsidP="003D5842">
            <w:pPr>
              <w:pStyle w:val="Default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Kvalifikovaný odhad nárastu počtu miest v pobytovej forme SS</w:t>
            </w:r>
            <w:r w:rsidR="00893E57">
              <w:rPr>
                <w:rFonts w:ascii="Times New Roman" w:eastAsia="Times New Roman" w:hAnsi="Times New Roman" w:cs="Times New Roman"/>
                <w:lang w:eastAsia="sk-SK"/>
              </w:rPr>
              <w:t xml:space="preserve"> </w:t>
            </w:r>
            <w:r w:rsidR="003D5842">
              <w:rPr>
                <w:rFonts w:ascii="Times New Roman" w:eastAsia="Times New Roman" w:hAnsi="Times New Roman" w:cs="Times New Roman"/>
                <w:lang w:eastAsia="sk-SK"/>
              </w:rPr>
              <w:t>vychádza  z </w:t>
            </w:r>
            <w:r w:rsidR="00893E57">
              <w:rPr>
                <w:rFonts w:ascii="Times New Roman" w:eastAsia="Times New Roman" w:hAnsi="Times New Roman" w:cs="Times New Roman"/>
                <w:lang w:eastAsia="sk-SK"/>
              </w:rPr>
              <w:t>prieskumu</w:t>
            </w:r>
            <w:r w:rsidR="003D5842">
              <w:rPr>
                <w:rFonts w:ascii="Times New Roman" w:eastAsia="Times New Roman" w:hAnsi="Times New Roman" w:cs="Times New Roman"/>
                <w:lang w:eastAsia="sk-SK"/>
              </w:rPr>
              <w:t xml:space="preserve"> </w:t>
            </w:r>
            <w:proofErr w:type="spellStart"/>
            <w:r w:rsidR="003D5842">
              <w:rPr>
                <w:rFonts w:ascii="Times New Roman" w:eastAsia="Times New Roman" w:hAnsi="Times New Roman" w:cs="Times New Roman"/>
                <w:lang w:eastAsia="sk-SK"/>
              </w:rPr>
              <w:t>reaizovaného</w:t>
            </w:r>
            <w:proofErr w:type="spellEnd"/>
            <w:r w:rsidR="003D5842">
              <w:rPr>
                <w:rFonts w:ascii="Times New Roman" w:eastAsia="Times New Roman" w:hAnsi="Times New Roman" w:cs="Times New Roman"/>
                <w:lang w:eastAsia="sk-SK"/>
              </w:rPr>
              <w:t xml:space="preserve"> v súčinnosti s </w:t>
            </w:r>
            <w:r w:rsidR="00893E57">
              <w:rPr>
                <w:rFonts w:ascii="Times New Roman" w:eastAsia="Times New Roman" w:hAnsi="Times New Roman" w:cs="Times New Roman"/>
                <w:lang w:eastAsia="sk-SK"/>
              </w:rPr>
              <w:t xml:space="preserve"> VÚC</w:t>
            </w:r>
            <w:r w:rsidR="003D5842">
              <w:rPr>
                <w:rFonts w:ascii="Times New Roman" w:eastAsia="Times New Roman" w:hAnsi="Times New Roman" w:cs="Times New Roman"/>
                <w:lang w:eastAsia="sk-SK"/>
              </w:rPr>
              <w:t>, ktoré sú príslušnými</w:t>
            </w:r>
            <w:r w:rsidR="00893E57">
              <w:rPr>
                <w:rFonts w:ascii="Times New Roman" w:eastAsia="Times New Roman" w:hAnsi="Times New Roman" w:cs="Times New Roman"/>
                <w:lang w:eastAsia="sk-SK"/>
              </w:rPr>
              <w:t xml:space="preserve"> </w:t>
            </w:r>
            <w:proofErr w:type="spellStart"/>
            <w:r w:rsidR="00893E57">
              <w:rPr>
                <w:rFonts w:ascii="Times New Roman" w:eastAsia="Times New Roman" w:hAnsi="Times New Roman" w:cs="Times New Roman"/>
                <w:lang w:eastAsia="sk-SK"/>
              </w:rPr>
              <w:t>registračný</w:t>
            </w:r>
            <w:r w:rsidR="003D5842">
              <w:rPr>
                <w:rFonts w:ascii="Times New Roman" w:eastAsia="Times New Roman" w:hAnsi="Times New Roman" w:cs="Times New Roman"/>
                <w:lang w:eastAsia="sk-SK"/>
              </w:rPr>
              <w:t>mi</w:t>
            </w:r>
            <w:r w:rsidR="00893E57">
              <w:rPr>
                <w:rFonts w:ascii="Times New Roman" w:eastAsia="Times New Roman" w:hAnsi="Times New Roman" w:cs="Times New Roman"/>
                <w:lang w:eastAsia="sk-SK"/>
              </w:rPr>
              <w:t>miest</w:t>
            </w:r>
            <w:r w:rsidR="003D5842">
              <w:rPr>
                <w:rFonts w:ascii="Times New Roman" w:eastAsia="Times New Roman" w:hAnsi="Times New Roman" w:cs="Times New Roman"/>
                <w:lang w:eastAsia="sk-SK"/>
              </w:rPr>
              <w:t>ami</w:t>
            </w:r>
            <w:proofErr w:type="spellEnd"/>
            <w:r w:rsidR="003D5842">
              <w:rPr>
                <w:rFonts w:ascii="Times New Roman" w:eastAsia="Times New Roman" w:hAnsi="Times New Roman" w:cs="Times New Roman"/>
                <w:lang w:eastAsia="sk-SK"/>
              </w:rPr>
              <w:t>,</w:t>
            </w:r>
            <w:r w:rsidR="00893E57">
              <w:rPr>
                <w:rFonts w:ascii="Times New Roman" w:eastAsia="Times New Roman" w:hAnsi="Times New Roman" w:cs="Times New Roman"/>
                <w:lang w:eastAsia="sk-SK"/>
              </w:rPr>
              <w:t xml:space="preserve"> a</w:t>
            </w:r>
            <w:r w:rsidR="003D5842">
              <w:rPr>
                <w:rFonts w:ascii="Times New Roman" w:eastAsia="Times New Roman" w:hAnsi="Times New Roman" w:cs="Times New Roman"/>
                <w:lang w:eastAsia="sk-SK"/>
              </w:rPr>
              <w:t> disponujú údajmi o vývoji počtu miest v zariadeniach uvádzaných v súvisiacich registračných konaniach .</w:t>
            </w:r>
          </w:p>
          <w:p w:rsidR="003D5842" w:rsidRDefault="003D5842" w:rsidP="003D5842">
            <w:pPr>
              <w:pStyle w:val="Default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Finančný príspevok na spolufinancovanie sociálnych služieb v zariadeniach podmienených odkázanosťou</w:t>
            </w:r>
            <w:r w:rsidR="00396E30">
              <w:rPr>
                <w:rFonts w:ascii="Times New Roman" w:eastAsia="Times New Roman" w:hAnsi="Times New Roman" w:cs="Times New Roman"/>
                <w:lang w:eastAsia="sk-SK"/>
              </w:rPr>
              <w:t xml:space="preserve"> nie je poskytovaný na reálny počet prijímateľov sociálnej služby, ale </w:t>
            </w:r>
            <w:r>
              <w:rPr>
                <w:rFonts w:ascii="Times New Roman" w:eastAsia="Times New Roman" w:hAnsi="Times New Roman" w:cs="Times New Roman"/>
                <w:lang w:eastAsia="sk-SK"/>
              </w:rPr>
              <w:t xml:space="preserve"> je poskytovaný v zásade na počet miest v zariadení podľa stavu registra poskytovateľov sociálnych služieb. </w:t>
            </w:r>
            <w:r w:rsidR="00396E30">
              <w:rPr>
                <w:rFonts w:ascii="Times New Roman" w:eastAsia="Times New Roman" w:hAnsi="Times New Roman" w:cs="Times New Roman"/>
                <w:lang w:eastAsia="sk-SK"/>
              </w:rPr>
              <w:t>Až na</w:t>
            </w:r>
            <w:r>
              <w:rPr>
                <w:rFonts w:ascii="Times New Roman" w:eastAsia="Times New Roman" w:hAnsi="Times New Roman" w:cs="Times New Roman"/>
                <w:lang w:eastAsia="sk-SK"/>
              </w:rPr>
              <w:t xml:space="preserve"> základe štvrťročného zúčtovania poskytnutého finančného príspevku prijímateľ tohto finančného príspevku za ustanovených podmienok vracia poskytnutý finančný </w:t>
            </w:r>
            <w:r w:rsidR="00396E30">
              <w:rPr>
                <w:rFonts w:ascii="Times New Roman" w:eastAsia="Times New Roman" w:hAnsi="Times New Roman" w:cs="Times New Roman"/>
                <w:lang w:eastAsia="sk-SK"/>
              </w:rPr>
              <w:t xml:space="preserve">príspevok za neobsadené miesta. Medziročný vývoj reálnej „obsadenosti miest v zariadení, resp. počtu prijímateľov v zariadení nemá vplyv na sumu poskytnutého finančného príspevku na rozpočtový rok, ale až na sumu reálne vyplateného finančného príspevku po realizácií štvrťročných zúčtovaní za 1. až 3. štvrťrok a koncoročného zúčtovania poskytnutého finančného príspevku z dôvodu </w:t>
            </w:r>
            <w:proofErr w:type="spellStart"/>
            <w:r w:rsidR="00396E30">
              <w:rPr>
                <w:rFonts w:ascii="Times New Roman" w:eastAsia="Times New Roman" w:hAnsi="Times New Roman" w:cs="Times New Roman"/>
                <w:lang w:eastAsia="sk-SK"/>
              </w:rPr>
              <w:t>neobsadenosti</w:t>
            </w:r>
            <w:proofErr w:type="spellEnd"/>
            <w:r w:rsidR="00396E30">
              <w:rPr>
                <w:rFonts w:ascii="Times New Roman" w:eastAsia="Times New Roman" w:hAnsi="Times New Roman" w:cs="Times New Roman"/>
                <w:lang w:eastAsia="sk-SK"/>
              </w:rPr>
              <w:t xml:space="preserve"> miest v zariadení.</w:t>
            </w:r>
          </w:p>
          <w:p w:rsidR="00211E87" w:rsidRPr="001551D2" w:rsidRDefault="00893E57" w:rsidP="003D5842">
            <w:pPr>
              <w:pStyle w:val="Default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.</w:t>
            </w:r>
          </w:p>
        </w:tc>
      </w:tr>
      <w:tr w:rsidR="002278DA" w:rsidRPr="00C80B5C" w:rsidTr="003023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</w:trPr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8DA" w:rsidRPr="001551D2" w:rsidRDefault="002278DA" w:rsidP="00113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551D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 xml:space="preserve">MFSR (Ministerstvo financií Slovenskej republiky)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8DA" w:rsidRPr="001551D2" w:rsidRDefault="002278DA" w:rsidP="00113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551D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Všeobecne </w:t>
            </w:r>
          </w:p>
        </w:tc>
        <w:tc>
          <w:tcPr>
            <w:tcW w:w="5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8DA" w:rsidRPr="00C80B5C" w:rsidRDefault="008E7F10" w:rsidP="00113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80B5C">
              <w:rPr>
                <w:rFonts w:ascii="Times New Roman" w:hAnsi="Times New Roman" w:cs="Times New Roman"/>
                <w:sz w:val="24"/>
                <w:szCs w:val="24"/>
              </w:rPr>
              <w:t>Do predloženého materiálu odporúčame doplniť aj kvantifikáciu vplyvu samotného návrhu bez efektu nárastu počtu prijímateľov sociálnych služieb. V analýze vplyvov sa kvantifikuje vplyv návrhu súbežne z hľadiska dvoch efektov – zvyšovanie výšky finančných príspevkov a nárast počtu prijímateľov sociálnych služieb. Zmeny v počte prijímateľov sociálnych služieb sú však exogénne danou premennou, na ktorú samotný návrh nemá vplyv, a preto by mal byť v kvantifikácii samostatne uvedený aj vplyv predloženého návrhu.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8DA" w:rsidRPr="00C80B5C" w:rsidRDefault="006219A0" w:rsidP="0022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80B5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8DA" w:rsidRPr="00C80B5C" w:rsidRDefault="00211E87" w:rsidP="00621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</w:t>
            </w:r>
            <w:r w:rsidR="0042440C" w:rsidRPr="00C80B5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8DA" w:rsidRDefault="00C80B5C" w:rsidP="00C80B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80B5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 Analýze vplyvov na rozpočet verejnej správy, na zamestnanosť vo verejnej správe a financovanie návrhu </w:t>
            </w:r>
            <w:r w:rsidR="00211E8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je v časti 2.2.4. Výpočty vplyvov na verejné financie uvedený vplyv na rozpočet</w:t>
            </w:r>
            <w:r w:rsidR="00396E3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v</w:t>
            </w:r>
            <w:r w:rsidR="00001F9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r w:rsidR="00396E3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dôsledku</w:t>
            </w:r>
            <w:r w:rsidR="00001F9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medziročného </w:t>
            </w:r>
            <w:r w:rsidR="00396E3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zvýšenia výšky</w:t>
            </w:r>
            <w:r w:rsidR="00001F9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finančného príspevku</w:t>
            </w:r>
            <w:r w:rsidR="00211E8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bez </w:t>
            </w:r>
            <w:r w:rsidR="00001F9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vplyvu spôsobeného medziročným </w:t>
            </w:r>
            <w:r w:rsidR="00211E8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zvýšen</w:t>
            </w:r>
            <w:r w:rsidR="00001F9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ím</w:t>
            </w:r>
            <w:r w:rsidR="00211E8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počtu </w:t>
            </w:r>
            <w:r w:rsidR="00001F9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miest v zariadeniach</w:t>
            </w:r>
            <w:r w:rsidR="00211E8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(</w:t>
            </w:r>
            <w:r w:rsidR="00001F9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teda </w:t>
            </w:r>
            <w:r w:rsidR="00211E8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bez </w:t>
            </w:r>
            <w:r w:rsidR="00001F9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súvisiaceho medziročného </w:t>
            </w:r>
            <w:r w:rsidR="00211E8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nárastu</w:t>
            </w:r>
            <w:r w:rsidR="00001F9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štruktúry a </w:t>
            </w:r>
            <w:r w:rsidR="00211E8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počtu prijímateľov sociálnej služby</w:t>
            </w:r>
            <w:r w:rsidR="00001F9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na týchto nových miestach</w:t>
            </w:r>
            <w:r w:rsidR="00211E8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) : A) 1. 11 603 532 eur</w:t>
            </w:r>
            <w:r w:rsidR="00001F9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/ rok</w:t>
            </w:r>
          </w:p>
          <w:p w:rsidR="008E7F10" w:rsidRPr="00C80B5C" w:rsidRDefault="00211E87" w:rsidP="00001F9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 bode B) 2. je uvedený</w:t>
            </w:r>
            <w:r w:rsidR="00001F9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vplyv na verejné financie- vplyv na rozpočet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len </w:t>
            </w:r>
            <w:r w:rsidR="00001F9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 dôsledku medziročného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nárast</w:t>
            </w:r>
            <w:r w:rsidR="00001F9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u počtu miest v zariadeniach- o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400 miest pri pobytovej SS, čo </w:t>
            </w:r>
            <w:r w:rsidR="00396E3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predstavuje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3 139 200 eur</w:t>
            </w:r>
            <w:r w:rsidR="00001F9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/rok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</w:t>
            </w:r>
          </w:p>
        </w:tc>
      </w:tr>
      <w:tr w:rsidR="008E7F10" w:rsidRPr="00C80B5C" w:rsidTr="003023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64"/>
          <w:tblCellSpacing w:w="15" w:type="dxa"/>
        </w:trPr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10" w:rsidRPr="001551D2" w:rsidRDefault="008E7F10" w:rsidP="00113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551D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MFSR (Ministerstvo financií Slovenskej republiky)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10" w:rsidRPr="001551D2" w:rsidRDefault="008E7F10" w:rsidP="00113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Všeobecne</w:t>
            </w:r>
          </w:p>
        </w:tc>
        <w:tc>
          <w:tcPr>
            <w:tcW w:w="5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10" w:rsidRPr="00C80B5C" w:rsidRDefault="008E7F10" w:rsidP="001130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B5C">
              <w:rPr>
                <w:rFonts w:ascii="Times New Roman" w:hAnsi="Times New Roman" w:cs="Times New Roman"/>
                <w:sz w:val="24"/>
                <w:szCs w:val="24"/>
              </w:rPr>
              <w:t>V doložke vybraných vplyvov je označený negatívny, čiastočne rozpočtovo zabezpečený vplyv na rozpočet verejnej správy. V Analýze vplyvov na rozpočet verejnej správy, na zamestnanosť vo verejnej správe a financovanie návrhu (ďalej len „analýza vplyvov“) sú vyčíslené celkové výdavky v sume 15 885 096 eur ročne od roku 2022, z toho rozpočtovo zabezpečený vplyv je len v sume 1 578 845 eur ročne, t. j. rozpočtovo nekrytý vplyv predstavuje sumu 14 306 251 eur ročne od roku 2022, pričom nie sú uvedené návrhy na úhradu zvýšených výdavkov. Upozorňujeme, že v aktuálnej etape tvorby návrhu rozpočtu verejnej správy na roky 2022 až 2024 sa v limitoch výdavkov pre kapitolu Ministerstva práce, sociálnych vecí a rodiny SR na jednotlivé rozpočtové roky neuvažuje s navrhovaným zvýšením finančných príspevkov na poskytovanie sociálnej služby. Žiadame preto v analýze vplyvov časti 2.1.1. Popis návrhu doplniť relevantný návrh na úhradu zvýšených výdavkov. V opačnom prípade nie je možné súhlasiť s predloženým materiálom, z ktorého vyplýva rozpočtovo nekrytý vplyv na rozpočet verejnej správy.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10" w:rsidRPr="00C80B5C" w:rsidRDefault="008E7F10" w:rsidP="0022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80B5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10" w:rsidRPr="00C80B5C" w:rsidRDefault="00C80B5C" w:rsidP="00621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80B5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557" w:rsidRPr="00C80B5C" w:rsidRDefault="00F03175" w:rsidP="00C80B5C">
            <w:pPr>
              <w:pStyle w:val="Zkladntext"/>
              <w:jc w:val="both"/>
              <w:rPr>
                <w:b w:val="0"/>
                <w:sz w:val="24"/>
                <w:szCs w:val="24"/>
              </w:rPr>
            </w:pPr>
            <w:r w:rsidRPr="00C80B5C">
              <w:rPr>
                <w:b w:val="0"/>
                <w:sz w:val="24"/>
                <w:szCs w:val="24"/>
              </w:rPr>
              <w:t>Predkladaný návrh nariadenia vlády Slovenskej republiky</w:t>
            </w:r>
            <w:r w:rsidR="00893E57">
              <w:rPr>
                <w:b w:val="0"/>
                <w:sz w:val="24"/>
                <w:szCs w:val="24"/>
              </w:rPr>
              <w:t xml:space="preserve"> </w:t>
            </w:r>
            <w:r w:rsidRPr="00C80B5C">
              <w:rPr>
                <w:b w:val="0"/>
                <w:sz w:val="24"/>
                <w:szCs w:val="24"/>
              </w:rPr>
              <w:t>vytvára právne podmienky na zabezpečenie udržateľnosti poskytovania  sociálnych služieb v zariadeniach podmienených odkázanosťou a ich dostupnosti pre fyzické osoby, odkázané na pomoc inej fyzickej osoby pri sebaobsluhe, a to posilnením ich spolufinancovania zo štátneho rozpočtu na rok 2022.  Z  § 78a ods. 11 zákona o</w:t>
            </w:r>
            <w:r w:rsidR="00B57557" w:rsidRPr="00C80B5C">
              <w:rPr>
                <w:b w:val="0"/>
                <w:sz w:val="24"/>
                <w:szCs w:val="24"/>
              </w:rPr>
              <w:t> </w:t>
            </w:r>
            <w:r w:rsidRPr="00C80B5C">
              <w:rPr>
                <w:b w:val="0"/>
                <w:sz w:val="24"/>
                <w:szCs w:val="24"/>
              </w:rPr>
              <w:t>sociálnych</w:t>
            </w:r>
            <w:r w:rsidR="00B57557" w:rsidRPr="00C80B5C">
              <w:rPr>
                <w:b w:val="0"/>
                <w:sz w:val="24"/>
                <w:szCs w:val="24"/>
              </w:rPr>
              <w:t xml:space="preserve"> </w:t>
            </w:r>
            <w:r w:rsidRPr="00C80B5C">
              <w:rPr>
                <w:b w:val="0"/>
                <w:sz w:val="24"/>
                <w:szCs w:val="24"/>
              </w:rPr>
              <w:t xml:space="preserve">službách </w:t>
            </w:r>
            <w:r w:rsidR="00B57557" w:rsidRPr="00C80B5C">
              <w:rPr>
                <w:b w:val="0"/>
                <w:sz w:val="24"/>
                <w:szCs w:val="24"/>
              </w:rPr>
              <w:t>v</w:t>
            </w:r>
            <w:r w:rsidRPr="00C80B5C">
              <w:rPr>
                <w:b w:val="0"/>
                <w:sz w:val="24"/>
                <w:szCs w:val="24"/>
              </w:rPr>
              <w:t xml:space="preserve">ychádza  povinnosť  uverejniť nariadenie vlády, ktorým sa ustanovuje výška finančného príspevku na poskytovanie sociálnej služby v zariadeniach podmienených odkázanosťou na rok 2022, najneskôr do 30. júna 2021 v Zbierke zákonov Slovenskej republiky. Účelom tohto finančného príspevku je spolufinancovanie ekonomicky oprávnených nákladov poskytovateľa sociálnej služby v zariadení podmienenom odkázanosťou  na mzdy a platy zamestnancov a súvisiace odvody z tohto príjmu platené zamestnávateľom. Ide teda o posilnenie pokrytia najnákladovejšej zložky  prevádzkových nákladov poskytovanej sociálnej služby, ktorou je osobná starostlivosť. Bez </w:t>
            </w:r>
            <w:r w:rsidR="00155795">
              <w:rPr>
                <w:b w:val="0"/>
                <w:sz w:val="24"/>
                <w:szCs w:val="24"/>
              </w:rPr>
              <w:t xml:space="preserve">vytvorenia  právnych predpokladov medziročným zvýšením výšky </w:t>
            </w:r>
            <w:r w:rsidRPr="00C80B5C">
              <w:rPr>
                <w:b w:val="0"/>
                <w:sz w:val="24"/>
                <w:szCs w:val="24"/>
              </w:rPr>
              <w:t xml:space="preserve">, </w:t>
            </w:r>
            <w:r w:rsidR="00155795">
              <w:rPr>
                <w:b w:val="0"/>
                <w:sz w:val="24"/>
                <w:szCs w:val="24"/>
              </w:rPr>
              <w:t xml:space="preserve"> tohto </w:t>
            </w:r>
            <w:r w:rsidRPr="00C80B5C">
              <w:rPr>
                <w:b w:val="0"/>
                <w:sz w:val="24"/>
                <w:szCs w:val="24"/>
              </w:rPr>
              <w:t>finančného príspevku</w:t>
            </w:r>
            <w:r w:rsidR="00155795">
              <w:rPr>
                <w:b w:val="0"/>
                <w:sz w:val="24"/>
                <w:szCs w:val="24"/>
              </w:rPr>
              <w:t xml:space="preserve">, nemožno zabezpečiť </w:t>
            </w:r>
            <w:r w:rsidRPr="00C80B5C">
              <w:rPr>
                <w:b w:val="0"/>
                <w:sz w:val="24"/>
                <w:szCs w:val="24"/>
              </w:rPr>
              <w:t xml:space="preserve"> stabilizáci</w:t>
            </w:r>
            <w:r w:rsidR="00155795">
              <w:rPr>
                <w:b w:val="0"/>
                <w:sz w:val="24"/>
                <w:szCs w:val="24"/>
              </w:rPr>
              <w:t>u</w:t>
            </w:r>
            <w:r w:rsidRPr="00C80B5C">
              <w:rPr>
                <w:b w:val="0"/>
                <w:sz w:val="24"/>
                <w:szCs w:val="24"/>
              </w:rPr>
              <w:t xml:space="preserve"> zamestnancov v sociálnych službách,</w:t>
            </w:r>
            <w:r w:rsidR="00155795">
              <w:rPr>
                <w:b w:val="0"/>
                <w:sz w:val="24"/>
                <w:szCs w:val="24"/>
              </w:rPr>
              <w:t xml:space="preserve"> ktorá je </w:t>
            </w:r>
            <w:r w:rsidR="00155795">
              <w:rPr>
                <w:b w:val="0"/>
                <w:sz w:val="24"/>
                <w:szCs w:val="24"/>
              </w:rPr>
              <w:lastRenderedPageBreak/>
              <w:t>nesporne</w:t>
            </w:r>
            <w:r w:rsidRPr="00C80B5C">
              <w:rPr>
                <w:b w:val="0"/>
                <w:sz w:val="24"/>
                <w:szCs w:val="24"/>
              </w:rPr>
              <w:t xml:space="preserve"> spojen</w:t>
            </w:r>
            <w:r w:rsidR="00155795">
              <w:rPr>
                <w:b w:val="0"/>
                <w:sz w:val="24"/>
                <w:szCs w:val="24"/>
              </w:rPr>
              <w:t>á</w:t>
            </w:r>
            <w:r w:rsidRPr="00C80B5C">
              <w:rPr>
                <w:b w:val="0"/>
                <w:sz w:val="24"/>
                <w:szCs w:val="24"/>
              </w:rPr>
              <w:t xml:space="preserve"> so  zvýšením  úrovne ich odmeňovania</w:t>
            </w:r>
            <w:r w:rsidR="00155795">
              <w:rPr>
                <w:b w:val="0"/>
                <w:sz w:val="24"/>
                <w:szCs w:val="24"/>
              </w:rPr>
              <w:t>. Bez stabilizácie týchto zamestnancov v sociálnych službách a tým zabezpečenia personálnych predpokladov na poskytovanie sociálnych služieb v zariadeniach podmienených odkázanosťou</w:t>
            </w:r>
            <w:r w:rsidRPr="00C80B5C">
              <w:rPr>
                <w:b w:val="0"/>
                <w:sz w:val="24"/>
                <w:szCs w:val="24"/>
              </w:rPr>
              <w:t xml:space="preserve">,  môže dôjsť k ohrozeniu základných ľudských práv a slobôd prijímateľov sociálnych služieb v zariadeniach podmienených odkázanosťou, spojenému s ohrozenou bezpečnosťou poskytovanej sociálnej služby, a to </w:t>
            </w:r>
            <w:r w:rsidR="00155795">
              <w:rPr>
                <w:b w:val="0"/>
                <w:sz w:val="24"/>
                <w:szCs w:val="24"/>
              </w:rPr>
              <w:t xml:space="preserve"> reálnym </w:t>
            </w:r>
            <w:r w:rsidRPr="00C80B5C">
              <w:rPr>
                <w:b w:val="0"/>
                <w:sz w:val="24"/>
                <w:szCs w:val="24"/>
              </w:rPr>
              <w:t>nezabezpečením</w:t>
            </w:r>
            <w:r w:rsidR="00155795">
              <w:rPr>
                <w:b w:val="0"/>
                <w:sz w:val="24"/>
                <w:szCs w:val="24"/>
              </w:rPr>
              <w:t xml:space="preserve"> potrebnej</w:t>
            </w:r>
            <w:r w:rsidRPr="00C80B5C">
              <w:rPr>
                <w:b w:val="0"/>
                <w:sz w:val="24"/>
                <w:szCs w:val="24"/>
              </w:rPr>
              <w:t xml:space="preserve"> osobnej starostlivosti o prijímateľov v zariadeniach podmienených odkázanosťou.</w:t>
            </w:r>
            <w:r w:rsidR="00B57557" w:rsidRPr="00C80B5C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B57557" w:rsidRPr="00C80B5C">
              <w:rPr>
                <w:b w:val="0"/>
                <w:sz w:val="24"/>
                <w:szCs w:val="24"/>
              </w:rPr>
              <w:t>Títo zamestnanci poskytujú sociálne služby pre 29</w:t>
            </w:r>
            <w:r w:rsidR="00155795">
              <w:rPr>
                <w:b w:val="0"/>
                <w:sz w:val="24"/>
                <w:szCs w:val="24"/>
              </w:rPr>
              <w:t> </w:t>
            </w:r>
            <w:r w:rsidR="00B57557" w:rsidRPr="00C80B5C">
              <w:rPr>
                <w:b w:val="0"/>
                <w:sz w:val="24"/>
                <w:szCs w:val="24"/>
              </w:rPr>
              <w:t>275</w:t>
            </w:r>
            <w:r w:rsidR="00155795">
              <w:rPr>
                <w:b w:val="0"/>
                <w:sz w:val="24"/>
                <w:szCs w:val="24"/>
              </w:rPr>
              <w:t xml:space="preserve"> fyzických</w:t>
            </w:r>
            <w:r w:rsidR="00B57557" w:rsidRPr="00C80B5C">
              <w:rPr>
                <w:b w:val="0"/>
                <w:sz w:val="24"/>
                <w:szCs w:val="24"/>
              </w:rPr>
              <w:t xml:space="preserve"> osôb v zariadeniach podmienených odkázanosťou, z toho je 24 736 pobytových miest a 4 539 ambulantných miest v zariadení. Poskytovaním finančného príspevku na</w:t>
            </w:r>
            <w:r w:rsidR="00155795">
              <w:rPr>
                <w:b w:val="0"/>
                <w:sz w:val="24"/>
                <w:szCs w:val="24"/>
              </w:rPr>
              <w:t xml:space="preserve"> spolufinancovanie</w:t>
            </w:r>
            <w:r w:rsidR="00B57557" w:rsidRPr="00C80B5C">
              <w:rPr>
                <w:b w:val="0"/>
                <w:sz w:val="24"/>
                <w:szCs w:val="24"/>
              </w:rPr>
              <w:t xml:space="preserve"> m</w:t>
            </w:r>
            <w:r w:rsidR="00155795">
              <w:rPr>
                <w:b w:val="0"/>
                <w:sz w:val="24"/>
                <w:szCs w:val="24"/>
              </w:rPr>
              <w:t>iezd</w:t>
            </w:r>
            <w:r w:rsidR="00B57557" w:rsidRPr="00C80B5C">
              <w:rPr>
                <w:b w:val="0"/>
                <w:sz w:val="24"/>
                <w:szCs w:val="24"/>
              </w:rPr>
              <w:t xml:space="preserve"> a</w:t>
            </w:r>
            <w:r w:rsidR="00155795">
              <w:rPr>
                <w:b w:val="0"/>
                <w:sz w:val="24"/>
                <w:szCs w:val="24"/>
              </w:rPr>
              <w:t> </w:t>
            </w:r>
            <w:r w:rsidR="00B57557" w:rsidRPr="00C80B5C">
              <w:rPr>
                <w:b w:val="0"/>
                <w:sz w:val="24"/>
                <w:szCs w:val="24"/>
              </w:rPr>
              <w:t>odvod</w:t>
            </w:r>
            <w:r w:rsidR="00155795">
              <w:rPr>
                <w:b w:val="0"/>
                <w:sz w:val="24"/>
                <w:szCs w:val="24"/>
              </w:rPr>
              <w:t>ov zo štátneho rozpočtu prostredníctvom kapitoly MPSVR SR</w:t>
            </w:r>
            <w:r w:rsidR="00B57557" w:rsidRPr="00C80B5C">
              <w:rPr>
                <w:b w:val="0"/>
                <w:sz w:val="24"/>
                <w:szCs w:val="24"/>
              </w:rPr>
              <w:t xml:space="preserve"> sa podarilo stabilizovať zamestnancov v sociálnych službách a znížiť ich fluktuáciu.</w:t>
            </w:r>
          </w:p>
          <w:p w:rsidR="00F03175" w:rsidRPr="00C80B5C" w:rsidRDefault="00C80B5C" w:rsidP="00893E57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 w:rsidRPr="00C80B5C">
              <w:rPr>
                <w:rFonts w:ascii="Times New Roman" w:hAnsi="Times New Roman" w:cs="Times New Roman"/>
                <w:bCs/>
              </w:rPr>
              <w:t>V poslednom roku (COVID- 19) zamestnanci sociálnych služieb poskytovali sociálne služby za veľmi zložitých podmienok</w:t>
            </w:r>
            <w:r w:rsidR="00155795">
              <w:rPr>
                <w:rFonts w:ascii="Times New Roman" w:hAnsi="Times New Roman" w:cs="Times New Roman"/>
                <w:bCs/>
              </w:rPr>
              <w:t xml:space="preserve"> nesporne aj so zosilnenou psychickou náročnosťou pri vykonávaní pracovných činností</w:t>
            </w:r>
            <w:r w:rsidRPr="00C80B5C">
              <w:rPr>
                <w:rFonts w:ascii="Times New Roman" w:hAnsi="Times New Roman" w:cs="Times New Roman"/>
                <w:bCs/>
              </w:rPr>
              <w:t xml:space="preserve">, </w:t>
            </w:r>
            <w:r w:rsidR="00155795">
              <w:rPr>
                <w:rFonts w:ascii="Times New Roman" w:hAnsi="Times New Roman" w:cs="Times New Roman"/>
                <w:bCs/>
              </w:rPr>
              <w:t xml:space="preserve">s vysokým pracovným nasadením v mnohých prípadoch aj </w:t>
            </w:r>
            <w:r w:rsidRPr="00C80B5C">
              <w:rPr>
                <w:rFonts w:ascii="Times New Roman" w:hAnsi="Times New Roman" w:cs="Times New Roman"/>
                <w:bCs/>
              </w:rPr>
              <w:t xml:space="preserve">nad rámec svojho </w:t>
            </w:r>
            <w:r w:rsidRPr="00C80B5C">
              <w:rPr>
                <w:rFonts w:ascii="Times New Roman" w:hAnsi="Times New Roman" w:cs="Times New Roman"/>
                <w:bCs/>
              </w:rPr>
              <w:lastRenderedPageBreak/>
              <w:t>pracovného času a na úkor vlastných</w:t>
            </w:r>
            <w:r w:rsidR="00155795">
              <w:rPr>
                <w:rFonts w:ascii="Times New Roman" w:hAnsi="Times New Roman" w:cs="Times New Roman"/>
                <w:bCs/>
              </w:rPr>
              <w:t xml:space="preserve"> osobných potrieb</w:t>
            </w:r>
            <w:r w:rsidRPr="00C80B5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C80B5C">
              <w:rPr>
                <w:rFonts w:ascii="Times New Roman" w:hAnsi="Times New Roman" w:cs="Times New Roman"/>
                <w:bCs/>
              </w:rPr>
              <w:t>a</w:t>
            </w:r>
            <w:r w:rsidR="007C4296">
              <w:rPr>
                <w:rFonts w:ascii="Times New Roman" w:hAnsi="Times New Roman" w:cs="Times New Roman"/>
                <w:bCs/>
              </w:rPr>
              <w:t>ppotrieb</w:t>
            </w:r>
            <w:proofErr w:type="spellEnd"/>
            <w:r w:rsidR="007C4296">
              <w:rPr>
                <w:rFonts w:ascii="Times New Roman" w:hAnsi="Times New Roman" w:cs="Times New Roman"/>
                <w:bCs/>
              </w:rPr>
              <w:t xml:space="preserve"> </w:t>
            </w:r>
            <w:r w:rsidRPr="00C80B5C">
              <w:rPr>
                <w:rFonts w:ascii="Times New Roman" w:hAnsi="Times New Roman" w:cs="Times New Roman"/>
                <w:bCs/>
              </w:rPr>
              <w:t xml:space="preserve">svojich rodín. Poskytovali </w:t>
            </w:r>
            <w:r w:rsidR="007C4296">
              <w:rPr>
                <w:rFonts w:ascii="Times New Roman" w:hAnsi="Times New Roman" w:cs="Times New Roman"/>
                <w:bCs/>
              </w:rPr>
              <w:t xml:space="preserve"> v karanténnych zariadeniach i v karanténnych oddeleniach zariadení osobnú </w:t>
            </w:r>
            <w:r w:rsidRPr="00C80B5C">
              <w:rPr>
                <w:rFonts w:ascii="Times New Roman" w:hAnsi="Times New Roman" w:cs="Times New Roman"/>
                <w:bCs/>
              </w:rPr>
              <w:t>starostlivosť</w:t>
            </w:r>
            <w:r w:rsidR="007C4296">
              <w:rPr>
                <w:rFonts w:ascii="Times New Roman" w:hAnsi="Times New Roman" w:cs="Times New Roman"/>
                <w:bCs/>
              </w:rPr>
              <w:t xml:space="preserve"> zvýšenému počtu </w:t>
            </w:r>
            <w:r w:rsidRPr="00C80B5C">
              <w:rPr>
                <w:rFonts w:ascii="Times New Roman" w:hAnsi="Times New Roman" w:cs="Times New Roman"/>
                <w:bCs/>
              </w:rPr>
              <w:t xml:space="preserve"> ťažko chorý</w:t>
            </w:r>
            <w:r w:rsidR="007C4296">
              <w:rPr>
                <w:rFonts w:ascii="Times New Roman" w:hAnsi="Times New Roman" w:cs="Times New Roman"/>
                <w:bCs/>
              </w:rPr>
              <w:t>ch klientov ako aj klientom v poslednej fáze ich života</w:t>
            </w:r>
            <w:r w:rsidRPr="00C80B5C">
              <w:rPr>
                <w:rFonts w:ascii="Times New Roman" w:hAnsi="Times New Roman" w:cs="Times New Roman"/>
                <w:bCs/>
              </w:rPr>
              <w:t xml:space="preserve">, čo negatívne vplývalo na ich zdravotný stav a psychiku. </w:t>
            </w:r>
            <w:r w:rsidR="00F439EE">
              <w:rPr>
                <w:rFonts w:ascii="Times New Roman" w:hAnsi="Times New Roman" w:cs="Times New Roman"/>
                <w:bCs/>
              </w:rPr>
              <w:t>Pri nezvýšení finančného príspevku</w:t>
            </w:r>
            <w:r w:rsidR="007C4296">
              <w:rPr>
                <w:rFonts w:ascii="Times New Roman" w:hAnsi="Times New Roman" w:cs="Times New Roman"/>
                <w:bCs/>
              </w:rPr>
              <w:t xml:space="preserve"> zo štátneho rozpočtu</w:t>
            </w:r>
            <w:r w:rsidR="00F439EE">
              <w:rPr>
                <w:rFonts w:ascii="Times New Roman" w:hAnsi="Times New Roman" w:cs="Times New Roman"/>
                <w:bCs/>
              </w:rPr>
              <w:t xml:space="preserve"> na</w:t>
            </w:r>
            <w:r w:rsidR="007C4296">
              <w:rPr>
                <w:rFonts w:ascii="Times New Roman" w:hAnsi="Times New Roman" w:cs="Times New Roman"/>
                <w:bCs/>
              </w:rPr>
              <w:t xml:space="preserve"> spolufinancovanie</w:t>
            </w:r>
            <w:r w:rsidR="00F439EE">
              <w:rPr>
                <w:rFonts w:ascii="Times New Roman" w:hAnsi="Times New Roman" w:cs="Times New Roman"/>
                <w:bCs/>
              </w:rPr>
              <w:t xml:space="preserve"> SS v zariadeniach sociálnych služieb podmienených odkázanosťou </w:t>
            </w:r>
            <w:r w:rsidR="007C4296">
              <w:rPr>
                <w:rFonts w:ascii="Times New Roman" w:hAnsi="Times New Roman" w:cs="Times New Roman"/>
                <w:bCs/>
              </w:rPr>
              <w:t>– účelovo určeného na spolufinancovanie miezd a súvisiacich odvodov zamestnancov v sociálnych službách, vzniká reálna</w:t>
            </w:r>
            <w:r w:rsidRPr="00C80B5C">
              <w:rPr>
                <w:rFonts w:ascii="Times New Roman" w:hAnsi="Times New Roman" w:cs="Times New Roman"/>
                <w:bCs/>
              </w:rPr>
              <w:t xml:space="preserve"> obava, že pracovné pozície</w:t>
            </w:r>
            <w:r w:rsidR="007C4296">
              <w:rPr>
                <w:rFonts w:ascii="Times New Roman" w:hAnsi="Times New Roman" w:cs="Times New Roman"/>
                <w:bCs/>
              </w:rPr>
              <w:t xml:space="preserve"> v týchto zariadeniach</w:t>
            </w:r>
            <w:r w:rsidRPr="00C80B5C">
              <w:rPr>
                <w:rFonts w:ascii="Times New Roman" w:hAnsi="Times New Roman" w:cs="Times New Roman"/>
                <w:bCs/>
              </w:rPr>
              <w:t xml:space="preserve"> ako sestra, opatrovateľka ale i iný personál </w:t>
            </w:r>
            <w:r w:rsidR="00893E57">
              <w:rPr>
                <w:rFonts w:ascii="Times New Roman" w:hAnsi="Times New Roman" w:cs="Times New Roman"/>
                <w:bCs/>
              </w:rPr>
              <w:t xml:space="preserve">opustia </w:t>
            </w:r>
            <w:r w:rsidRPr="00C80B5C">
              <w:rPr>
                <w:rFonts w:ascii="Times New Roman" w:hAnsi="Times New Roman" w:cs="Times New Roman"/>
                <w:bCs/>
              </w:rPr>
              <w:t>prácu v zariadení sociálnych služieb,</w:t>
            </w:r>
          </w:p>
          <w:p w:rsidR="008E7F10" w:rsidRPr="00C80B5C" w:rsidRDefault="00C80B5C" w:rsidP="00463D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80B5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čo bude mať za následok výpadok odbornej pracovnej sily a fluktuáciu zamestnancov v sociálnych službách, na čo doplatia najmä prijímatelia sociálnych služieb – prevažne seniori a občania s ťažkým zdravotným postihnutím. </w:t>
            </w:r>
            <w:r w:rsidR="00DC7AA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 súlade so záväzkami z Programového vyhlásenia vlády SR na roky 2020-2024, „a</w:t>
            </w:r>
            <w:r w:rsidR="00DC7AAF" w:rsidRPr="00137AD1">
              <w:rPr>
                <w:i/>
              </w:rPr>
              <w:t xml:space="preserve">ko jeden z predpokladov prevencie kolapsu systému sociálnych služieb zabezpečí vláda Slovenskej republiky lepšie finančné podmienky, celoživotné vzdelávanie a zvýšenie statusu a ochrany pre pracovníkov v </w:t>
            </w:r>
            <w:r w:rsidR="00DC7AAF" w:rsidRPr="00137AD1">
              <w:rPr>
                <w:i/>
              </w:rPr>
              <w:lastRenderedPageBreak/>
              <w:t>pomáhajúcich profesiách vrátane neformálnych opatrovateľov.</w:t>
            </w:r>
            <w:r w:rsidR="00DC7AAF">
              <w:rPr>
                <w:i/>
              </w:rPr>
              <w:t xml:space="preserve">“. </w:t>
            </w:r>
            <w:r w:rsidR="00DC7AAF" w:rsidRPr="00137AD1">
              <w:rPr>
                <w:i/>
              </w:rPr>
              <w:t xml:space="preserve"> </w:t>
            </w:r>
          </w:p>
        </w:tc>
      </w:tr>
      <w:tr w:rsidR="002278DA" w:rsidRPr="00C80B5C" w:rsidTr="003023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</w:trPr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8DA" w:rsidRPr="001551D2" w:rsidRDefault="006219A0" w:rsidP="00113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551D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MFSR (Ministerstvo financií Slovenskej republiky)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8DA" w:rsidRPr="001551D2" w:rsidRDefault="006219A0" w:rsidP="00113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Všeobecne</w:t>
            </w:r>
          </w:p>
        </w:tc>
        <w:tc>
          <w:tcPr>
            <w:tcW w:w="5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8DA" w:rsidRPr="00C80B5C" w:rsidRDefault="008E7F10" w:rsidP="00113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80B5C">
              <w:rPr>
                <w:rFonts w:ascii="Times New Roman" w:hAnsi="Times New Roman" w:cs="Times New Roman"/>
                <w:sz w:val="24"/>
                <w:szCs w:val="24"/>
              </w:rPr>
              <w:t xml:space="preserve">Žiadame nezvyšovať sumu finančných príspevkov na poskytovanie sociálnej služby a ponechať súčasnú výšku týchto príspevkov až do realizácie reformy posudkovej činnosti, ktorej predpokladaný termín je začiatok roka 2023. Zvyšovanie príspevkov na pobytovú sociálnu službu a ambulantnú sociálnu službu predstavuje nekryté rozpočtové vplyvy vo výške 14,3 mil. eur na rok </w:t>
            </w:r>
            <w:r w:rsidRPr="00C80B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2022. Najvyššie výdavky smerujú na poberateľov sociálnej služby v najvyšších stupňoch odkázanosti. Z analýzy štruktúry odkázanosti prijímateľov sociálnych služieb a z medzinárodného porovnania vyplýva, že na Slovensku je výrazne vyšší podiel prijímateľov sociálnych služieb v najvyšších stupňoch odkázanosti než v iných krajinách. V tomto kontexte upozorňujeme na problém posudkového systému, v rámci ktorého je na Slovensku vyše 50 % posudzovaných osôb zaradených do najvyššieho stupňa odkázanosti, zatiaľ čo napríklad v Českej republike je to len vyše 10 %. Viaceré analytické a strategické výstupy Ministerstva práce, sociálnych vecí a rodiny SR pomenúvajú nedostatky posudkového procesu – nízka miera transparentnosti, nejednotné kritériá, konflikt záujmov samospráv. V rámci Plánu obnovy a odolnosti sa Ministerstvo práce, sociálnych vecí a rodiny SR zaviazalo k realizácii reformy posudkovej činnosti najneskôr do prvého štvrťroka 2023. Touto reformou sa majú zaviesť nové jednotné kritériá pre posudkovú činnosť a zjednotiť sa jej výkon, čím sa zároveň stane posudkový proces transparentnejším. Z uvedeného dôvodu požadujeme, aby sa do realizácie tejto reformy nevykonávala žiadna valorizácia finančných príspevkov na poskytovanie sociálnej služby.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8DA" w:rsidRPr="00C80B5C" w:rsidRDefault="002859F1" w:rsidP="0022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80B5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Z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DA" w:rsidRPr="00C80B5C" w:rsidRDefault="00302381" w:rsidP="0022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66" w:rsidRPr="00EB2666" w:rsidRDefault="00DC7AAF" w:rsidP="00EB266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 Medziročné zvýšenie sumy finančného príspevku na poskytovanie sociálnych služieb v zariadeniach podmienených odkázanosťou je zásadnou požiadavkou v záujme zabránenia kolapsu v sociálnych službách, a je v tomto smere v súlade so záväzkami z Programového vyhlásenia vlády SR na obdobie rokov 2020-2024 a je legitímnym </w:t>
            </w: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lastRenderedPageBreak/>
              <w:t>verejným záujmom. Potrebu  zvýšenia výšky finančného príspevku na rozpočtový rok 2022 nemožno posudzovať v kontexte s pripravovanou reformou posudkovej činnosti, ktorá</w:t>
            </w:r>
            <w:r w:rsidR="00EB2666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 má byť prijatá spolu so súvisiacim právnym prostredím až v </w:t>
            </w: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 v následnom období</w:t>
            </w:r>
            <w:r w:rsidR="00EB2666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  <w:r w:rsidR="00EB2666">
              <w:t xml:space="preserve"> </w:t>
            </w:r>
            <w:r w:rsidR="00EB2666" w:rsidRPr="00EB2666">
              <w:rPr>
                <w:rFonts w:ascii="Times New Roman" w:hAnsi="Times New Roman" w:cs="Times New Roman"/>
                <w:sz w:val="24"/>
                <w:szCs w:val="24"/>
              </w:rPr>
              <w:t xml:space="preserve">Predkladaný návrh nariadenia vlády Slovenskej republiky vytvára právne podmienky na zabezpečenie udržateľnosti poskytovania  sociálnych služieb v zariadeniach podmienených odkázanosťou a ich dostupnosti pre fyzické osoby, odkázané na pomoc inej fyzickej osoby pri sebaobsluhe, a to posilnením ich spolufinancovania zo štátneho rozpočtu na rok 2022.  Z  § 78a ods. 11 zákona o sociálnych službách vychádza  povinnosť  uverejniť nariadenie vlády, ktorým sa ustanovuje výška finančného príspevku na poskytovanie sociálnej služby v zariadeniach podmienených odkázanosťou na rok 2022, najneskôr do 30. júna 2021 v Zbierke zákonov Slovenskej republiky. Účelom tohto finančného príspevku je spolufinancovanie ekonomicky oprávnených nákladov poskytovateľa sociálnej služby v zariadení podmienenom odkázanosťou  na mzdy a platy zamestnancov a súvisiace odvody z tohto príjmu platené zamestnávateľom. Ide teda o posilnenie pokrytia najnákladovejšej zložky  prevádzkových nákladov poskytovanej sociálnej služby, ktorou je osobná </w:t>
            </w:r>
            <w:r w:rsidR="00EB2666" w:rsidRPr="00EB26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starostlivosť. Bez vytvorenia realizácie právnych predpokladov medziročným zvýšením výšky tohto finančného príspevku, nemožno zabezpečiť  </w:t>
            </w:r>
            <w:r w:rsidR="00EB2666">
              <w:rPr>
                <w:rFonts w:ascii="Times New Roman" w:hAnsi="Times New Roman" w:cs="Times New Roman"/>
                <w:sz w:val="24"/>
                <w:szCs w:val="24"/>
              </w:rPr>
              <w:t xml:space="preserve">realizáciu </w:t>
            </w:r>
            <w:r w:rsidR="00EB2666" w:rsidRPr="00EB2666">
              <w:rPr>
                <w:rFonts w:ascii="Times New Roman" w:hAnsi="Times New Roman" w:cs="Times New Roman"/>
                <w:sz w:val="24"/>
                <w:szCs w:val="24"/>
              </w:rPr>
              <w:t xml:space="preserve">súvisiacej, požiadavky stabilizácie zamestnancov v sociálnych službách, ktorá je nesporne spojená so  zvýšením  úrovne ich odmeňovania. Bez stabilizácie týchto zamestnancov v sociálnych službách a tým zabezpečenia personálnych predpokladov na poskytovanie sociálnych služieb v zariadeniach podmienených odkázanosťou,  môže dôjsť k ohrozeniu základných ľudských práv a slobôd prijímateľov sociálnych služieb v zariadeniach podmienených odkázanosťou, spojenému s ohrozenou bezpečnosťou poskytovanej sociálnej služby, a to  reálnym nezabezpečením potrebnej osobnej starostlivosti o prijímateľov v zariadeniach podmienených odkázanosťou. Títo zamestnanci poskytujú sociálne služby pre 29  275 fyzických osôb v zariadeniach podmienených odkázanosťou, z toho je 24 736 pobytových miest a 4 539 ambulantných miest v zariadení. Poskytovaním finančného príspevku na spolufinancovanie </w:t>
            </w:r>
            <w:proofErr w:type="spellStart"/>
            <w:r w:rsidR="00EB2666" w:rsidRPr="00EB2666">
              <w:rPr>
                <w:rFonts w:ascii="Times New Roman" w:hAnsi="Times New Roman" w:cs="Times New Roman"/>
                <w:sz w:val="24"/>
                <w:szCs w:val="24"/>
              </w:rPr>
              <w:t>miezdy</w:t>
            </w:r>
            <w:proofErr w:type="spellEnd"/>
            <w:r w:rsidR="00EB2666" w:rsidRPr="00EB2666">
              <w:rPr>
                <w:rFonts w:ascii="Times New Roman" w:hAnsi="Times New Roman" w:cs="Times New Roman"/>
                <w:sz w:val="24"/>
                <w:szCs w:val="24"/>
              </w:rPr>
              <w:t xml:space="preserve"> a  odvodov zo štátneho rozpočtu prostredníctvom kapitoly MPSVR SR sa podarilo stabilizovať zamestnancov v sociálnych službách a znížiť ich fluktuáciu.</w:t>
            </w:r>
          </w:p>
          <w:p w:rsidR="00EB2666" w:rsidRPr="00EB2666" w:rsidRDefault="00EB2666" w:rsidP="00EB266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666">
              <w:rPr>
                <w:rFonts w:ascii="Times New Roman" w:hAnsi="Times New Roman" w:cs="Times New Roman"/>
                <w:sz w:val="24"/>
                <w:szCs w:val="24"/>
              </w:rPr>
              <w:t xml:space="preserve">V poslednom roku (COVID- 19) zamestnanci </w:t>
            </w:r>
            <w:r w:rsidRPr="00EB26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sociálnych služieb poskytovali sociálne služby za veľmi zložitých podmienok nesporne aj so zosilnenou psychickou náročnosťou pri vykonávaní pracovných činností, s vysokým pracovným nasadením v mnohých prípadoch aj nad rámec svojho pracovného času a na úkor vlastných osobných potrieb a potrieb svojich rodín. Poskytovali  v karanténnych zariadeniach i v karanténnych oddeleniach zariadení osobnú starostlivosť zvýšenému počtu  ťažko chorých klientov  ako aj klientom v poslednej fáze ich života, čo negatívne vplývalo na ich zdravotný stav a psychiku. Pri nezvýšení finančného príspevku zo štátneho rozpočtu na spolufinancovanie poskytovanie SS v zariadeniach sociálnych služieb podmienených odkázanosťou – účelovo určeného na spolufinancovanie miezd a súvisiacich odvodov zamestnancov v sociálnych službách, vzniká reálna  vážna obava, že pracovné pozície v týchto zariadeniach ako sestra, opatrovateľka ale i iný personál opustia prácu v zariadení sociálnych služieb,</w:t>
            </w:r>
          </w:p>
          <w:p w:rsidR="00FC009F" w:rsidRPr="00C80B5C" w:rsidRDefault="00EB2666" w:rsidP="00EB266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2666">
              <w:rPr>
                <w:rFonts w:ascii="Times New Roman" w:hAnsi="Times New Roman" w:cs="Times New Roman"/>
                <w:sz w:val="24"/>
                <w:szCs w:val="24"/>
              </w:rPr>
              <w:t xml:space="preserve">čo bude mať za následok výpadok odbornej pracovnej sily a fluktuáciu zamestnancov v sociálnych službách, na čo doplatia najmä prijímatelia sociálnych služieb – prevažne seniori a občania s ťažkým zdravotným postihnutím. V súlade so záväzkami z </w:t>
            </w:r>
            <w:r w:rsidRPr="00EB26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Programového vyhlásenia vlády SR na roky 2020-2024, „</w:t>
            </w:r>
            <w:r w:rsidRPr="00463D98">
              <w:rPr>
                <w:rFonts w:ascii="Times New Roman" w:hAnsi="Times New Roman" w:cs="Times New Roman"/>
                <w:i/>
                <w:sz w:val="24"/>
                <w:szCs w:val="24"/>
              </w:rPr>
              <w:t>ako jeden z predpokladov prevencie kolapsu systému sociálnych služieb zabezpečí vláda Slovenskej republiky lepšie finančné podmienky, celoživotné vzdelávanie a zvýšenie statusu a ochrany pre pracovníkov v pomáhajúcich profesiách vrátane neformálnych opatrovateľov</w:t>
            </w:r>
            <w:r w:rsidRPr="00EB2666">
              <w:rPr>
                <w:rFonts w:ascii="Times New Roman" w:hAnsi="Times New Roman" w:cs="Times New Roman"/>
                <w:sz w:val="24"/>
                <w:szCs w:val="24"/>
              </w:rPr>
              <w:t xml:space="preserve">.“.  </w:t>
            </w:r>
          </w:p>
        </w:tc>
      </w:tr>
      <w:tr w:rsidR="002278DA" w:rsidRPr="00C80B5C" w:rsidTr="003023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</w:trPr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DA" w:rsidRPr="001551D2" w:rsidRDefault="008E7F10" w:rsidP="00113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lastRenderedPageBreak/>
              <w:t>OAPSVLÚVSR (Odbor aproximácie práva sekcie vládnej legislatívy Úradu vlády SR)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DA" w:rsidRPr="001551D2" w:rsidRDefault="008E7F10" w:rsidP="00113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t>K doložke zlučiteľnosti</w:t>
            </w:r>
          </w:p>
        </w:tc>
        <w:tc>
          <w:tcPr>
            <w:tcW w:w="5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DA" w:rsidRPr="00C80B5C" w:rsidRDefault="008E7F10" w:rsidP="00113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80B5C">
              <w:rPr>
                <w:rFonts w:ascii="Times New Roman" w:hAnsi="Times New Roman" w:cs="Times New Roman"/>
                <w:sz w:val="24"/>
                <w:szCs w:val="24"/>
              </w:rPr>
              <w:t>V bode 2 doložky zlučiteľnosti žiadame upraviť názov návrhu nariadenia vlády SR, tak ako je uvedený vo vlastnom materiáli.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DA" w:rsidRPr="00C80B5C" w:rsidRDefault="008E7F10" w:rsidP="0022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80B5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DA" w:rsidRPr="00C80B5C" w:rsidRDefault="00AD7BBC" w:rsidP="0022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80B5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DA" w:rsidRPr="00C80B5C" w:rsidRDefault="00AD7BBC" w:rsidP="00113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80B5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Text upravený </w:t>
            </w:r>
          </w:p>
        </w:tc>
      </w:tr>
      <w:tr w:rsidR="002278DA" w:rsidRPr="00C80B5C" w:rsidTr="003023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</w:trPr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DA" w:rsidRPr="001551D2" w:rsidRDefault="008E7F10" w:rsidP="00113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t>MSSR (Ministerstvo spravodlivosti Slovenskej republiky)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DA" w:rsidRPr="001551D2" w:rsidRDefault="008E7F10" w:rsidP="00113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t>K návrhu uznesenia vlády</w:t>
            </w:r>
          </w:p>
        </w:tc>
        <w:tc>
          <w:tcPr>
            <w:tcW w:w="5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DA" w:rsidRPr="00C80B5C" w:rsidRDefault="008E7F10" w:rsidP="00113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80B5C">
              <w:rPr>
                <w:rFonts w:ascii="Times New Roman" w:hAnsi="Times New Roman" w:cs="Times New Roman"/>
                <w:sz w:val="24"/>
                <w:szCs w:val="24"/>
              </w:rPr>
              <w:t>V názve návrhu uznesenia vlády Slovenskej republiky je potrebné vypustiť slová „Návrh nariadenia vlády Slovenskej republiky“ z dôvodu nadbytočnosti. V bode A.1 je potrebné vypustiť slová „Návrh nariadenia vlády Slovenskej republiky“ z dôvodu nadbytočnosti.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DA" w:rsidRPr="00C80B5C" w:rsidRDefault="008E7F10" w:rsidP="0022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80B5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DA" w:rsidRPr="00C80B5C" w:rsidRDefault="00AB256C" w:rsidP="0022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80B5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5B" w:rsidRPr="00C80B5C" w:rsidRDefault="009A5C5B" w:rsidP="009A5C5B">
            <w:pPr>
              <w:spacing w:after="0" w:line="240" w:lineRule="auto"/>
              <w:ind w:left="-36" w:firstLine="36"/>
              <w:rPr>
                <w:rFonts w:ascii="Times New Roman" w:hAnsi="Times New Roman" w:cs="Times New Roman"/>
                <w:sz w:val="24"/>
                <w:szCs w:val="24"/>
              </w:rPr>
            </w:pPr>
            <w:r w:rsidRPr="00C80B5C">
              <w:rPr>
                <w:rFonts w:ascii="Times New Roman" w:hAnsi="Times New Roman" w:cs="Times New Roman"/>
                <w:sz w:val="24"/>
                <w:szCs w:val="24"/>
              </w:rPr>
              <w:t xml:space="preserve">Pripomienka neakceptovaná. </w:t>
            </w:r>
          </w:p>
          <w:p w:rsidR="009A5C5B" w:rsidRPr="00C80B5C" w:rsidRDefault="009A5C5B" w:rsidP="009A5C5B">
            <w:pPr>
              <w:spacing w:after="0" w:line="240" w:lineRule="auto"/>
              <w:ind w:left="-36" w:firstLine="36"/>
              <w:rPr>
                <w:rFonts w:ascii="Times New Roman" w:hAnsi="Times New Roman" w:cs="Times New Roman"/>
                <w:sz w:val="24"/>
                <w:szCs w:val="24"/>
              </w:rPr>
            </w:pPr>
            <w:r w:rsidRPr="00C80B5C">
              <w:rPr>
                <w:rFonts w:ascii="Times New Roman" w:hAnsi="Times New Roman" w:cs="Times New Roman"/>
                <w:sz w:val="24"/>
                <w:szCs w:val="24"/>
              </w:rPr>
              <w:t xml:space="preserve">Názov návrhu uznesenia vlády </w:t>
            </w:r>
            <w:r w:rsidR="009C41C8" w:rsidRPr="00C80B5C">
              <w:rPr>
                <w:rFonts w:ascii="Times New Roman" w:hAnsi="Times New Roman" w:cs="Times New Roman"/>
                <w:sz w:val="24"/>
                <w:szCs w:val="24"/>
              </w:rPr>
              <w:t xml:space="preserve">a bod A.1 k tomuto uzneseniu </w:t>
            </w:r>
            <w:r w:rsidRPr="00C80B5C">
              <w:rPr>
                <w:rFonts w:ascii="Times New Roman" w:hAnsi="Times New Roman" w:cs="Times New Roman"/>
                <w:sz w:val="24"/>
                <w:szCs w:val="24"/>
              </w:rPr>
              <w:t>je vypracovaný v súlade s metodickým pokynom na prípravu a predkladanie materiálov na rokovanie vlády SR</w:t>
            </w:r>
            <w:r w:rsidRPr="00C80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 </w:t>
            </w:r>
            <w:hyperlink r:id="rId6" w:history="1">
              <w:r w:rsidRPr="00C80B5C">
                <w:rPr>
                  <w:rStyle w:val="Hypertextovprepojenie"/>
                  <w:rFonts w:ascii="Times New Roman" w:hAnsi="Times New Roman" w:cs="Times New Roman"/>
                  <w:sz w:val="24"/>
                  <w:szCs w:val="24"/>
                </w:rPr>
                <w:t>Metodický pokyn na prípravu a predkladanie materiálov na rokovanie vlády SR | Úrad vlády SR (</w:t>
              </w:r>
              <w:proofErr w:type="spellStart"/>
              <w:r w:rsidRPr="00C80B5C">
                <w:rPr>
                  <w:rStyle w:val="Hypertextovprepojenie"/>
                  <w:rFonts w:ascii="Times New Roman" w:hAnsi="Times New Roman" w:cs="Times New Roman"/>
                  <w:sz w:val="24"/>
                  <w:szCs w:val="24"/>
                </w:rPr>
                <w:t>gov.sk</w:t>
              </w:r>
              <w:proofErr w:type="spellEnd"/>
              <w:r w:rsidRPr="00C80B5C">
                <w:rPr>
                  <w:rStyle w:val="Hypertextovprepojenie"/>
                  <w:rFonts w:ascii="Times New Roman" w:hAnsi="Times New Roman" w:cs="Times New Roman"/>
                  <w:sz w:val="24"/>
                  <w:szCs w:val="24"/>
                </w:rPr>
                <w:t>)</w:t>
              </w:r>
            </w:hyperlink>
          </w:p>
          <w:p w:rsidR="002278DA" w:rsidRPr="00C80B5C" w:rsidRDefault="002278DA" w:rsidP="009A5C5B">
            <w:pPr>
              <w:spacing w:after="0" w:line="240" w:lineRule="auto"/>
              <w:ind w:left="-36" w:firstLine="36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0" w:name="_GoBack"/>
            <w:bookmarkEnd w:id="0"/>
          </w:p>
        </w:tc>
      </w:tr>
      <w:tr w:rsidR="002278DA" w:rsidRPr="001551D2" w:rsidTr="003023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</w:trPr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2B" w:rsidRPr="002859F1" w:rsidRDefault="00E4512B" w:rsidP="00113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k-SK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DA" w:rsidRPr="002859F1" w:rsidRDefault="002278DA" w:rsidP="00113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k-SK"/>
              </w:rPr>
            </w:pPr>
          </w:p>
        </w:tc>
        <w:tc>
          <w:tcPr>
            <w:tcW w:w="5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DA" w:rsidRPr="001551D2" w:rsidRDefault="002278DA" w:rsidP="00113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DA" w:rsidRPr="001551D2" w:rsidRDefault="002278DA" w:rsidP="0022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DA" w:rsidRPr="001551D2" w:rsidRDefault="002278DA" w:rsidP="00FC4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DA" w:rsidRPr="001551D2" w:rsidRDefault="002278DA" w:rsidP="00252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2278DA" w:rsidRPr="001551D2" w:rsidTr="003023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</w:trPr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DA" w:rsidRPr="002859F1" w:rsidRDefault="002278DA" w:rsidP="00113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k-SK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DA" w:rsidRPr="002859F1" w:rsidRDefault="002278DA" w:rsidP="00113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k-SK"/>
              </w:rPr>
            </w:pPr>
          </w:p>
        </w:tc>
        <w:tc>
          <w:tcPr>
            <w:tcW w:w="5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DA" w:rsidRPr="001551D2" w:rsidRDefault="002278DA" w:rsidP="00113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DA" w:rsidRPr="001551D2" w:rsidRDefault="002278DA" w:rsidP="0022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DA" w:rsidRPr="001551D2" w:rsidRDefault="002278DA" w:rsidP="00113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DA" w:rsidRPr="001551D2" w:rsidRDefault="002278DA" w:rsidP="00113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2278DA" w:rsidRPr="001551D2" w:rsidTr="003023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</w:trPr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DA" w:rsidRPr="002859F1" w:rsidRDefault="002278DA" w:rsidP="00113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k-SK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DA" w:rsidRPr="002859F1" w:rsidRDefault="002278DA" w:rsidP="00113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k-SK"/>
              </w:rPr>
            </w:pPr>
          </w:p>
        </w:tc>
        <w:tc>
          <w:tcPr>
            <w:tcW w:w="5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DA" w:rsidRPr="001551D2" w:rsidRDefault="002278DA" w:rsidP="00113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DA" w:rsidRPr="001551D2" w:rsidRDefault="002278DA" w:rsidP="0022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DA" w:rsidRPr="001551D2" w:rsidRDefault="002278DA" w:rsidP="00113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DA" w:rsidRPr="001551D2" w:rsidRDefault="002278DA" w:rsidP="00113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2278DA" w:rsidRPr="001551D2" w:rsidTr="003023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</w:trPr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DA" w:rsidRPr="002859F1" w:rsidRDefault="002278DA" w:rsidP="00113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k-SK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DA" w:rsidRPr="002859F1" w:rsidRDefault="002278DA" w:rsidP="00113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k-SK"/>
              </w:rPr>
            </w:pPr>
          </w:p>
        </w:tc>
        <w:tc>
          <w:tcPr>
            <w:tcW w:w="5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DA" w:rsidRPr="001551D2" w:rsidRDefault="002278DA" w:rsidP="00113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DA" w:rsidRPr="001551D2" w:rsidRDefault="002278DA" w:rsidP="0022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DA" w:rsidRPr="001551D2" w:rsidRDefault="002278DA" w:rsidP="00CD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DA" w:rsidRPr="001551D2" w:rsidRDefault="002278DA" w:rsidP="00D7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2278DA" w:rsidRPr="001551D2" w:rsidTr="003023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</w:trPr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DA" w:rsidRPr="002859F1" w:rsidRDefault="002278DA" w:rsidP="00113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k-SK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DA" w:rsidRPr="002859F1" w:rsidRDefault="002278DA" w:rsidP="00113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k-SK"/>
              </w:rPr>
            </w:pPr>
          </w:p>
        </w:tc>
        <w:tc>
          <w:tcPr>
            <w:tcW w:w="5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DA" w:rsidRPr="001551D2" w:rsidRDefault="002278DA" w:rsidP="00113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DA" w:rsidRPr="001551D2" w:rsidRDefault="002278DA" w:rsidP="0022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DA" w:rsidRPr="001551D2" w:rsidRDefault="002278DA" w:rsidP="00DD3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DA" w:rsidRPr="001551D2" w:rsidRDefault="002278DA" w:rsidP="00D4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2278DA" w:rsidRPr="001551D2" w:rsidTr="003023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</w:trPr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DA" w:rsidRPr="002859F1" w:rsidRDefault="002278DA" w:rsidP="00113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k-SK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DA" w:rsidRPr="002859F1" w:rsidRDefault="002278DA" w:rsidP="00113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k-SK"/>
              </w:rPr>
            </w:pPr>
          </w:p>
        </w:tc>
        <w:tc>
          <w:tcPr>
            <w:tcW w:w="5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DA" w:rsidRPr="001551D2" w:rsidRDefault="002278DA" w:rsidP="00113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DA" w:rsidRPr="001551D2" w:rsidRDefault="002278DA" w:rsidP="0022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DA" w:rsidRPr="001551D2" w:rsidRDefault="002278DA" w:rsidP="00113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DA" w:rsidRPr="001551D2" w:rsidRDefault="002278DA" w:rsidP="00113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2278DA" w:rsidRPr="001551D2" w:rsidTr="003023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</w:trPr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DA" w:rsidRPr="002859F1" w:rsidRDefault="002278DA" w:rsidP="00113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k-SK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DA" w:rsidRPr="002859F1" w:rsidRDefault="002278DA" w:rsidP="00113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k-SK"/>
              </w:rPr>
            </w:pPr>
          </w:p>
        </w:tc>
        <w:tc>
          <w:tcPr>
            <w:tcW w:w="5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DA" w:rsidRPr="001551D2" w:rsidRDefault="002278DA" w:rsidP="00113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DA" w:rsidRPr="001551D2" w:rsidRDefault="002278DA" w:rsidP="0022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DA" w:rsidRPr="001551D2" w:rsidRDefault="002278DA" w:rsidP="00D76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DA" w:rsidRPr="001551D2" w:rsidRDefault="002278DA" w:rsidP="00D7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2278DA" w:rsidRPr="001551D2" w:rsidTr="003023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</w:trPr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DA" w:rsidRPr="002859F1" w:rsidRDefault="002278DA" w:rsidP="00113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k-SK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DA" w:rsidRPr="002859F1" w:rsidRDefault="002278DA" w:rsidP="00113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k-SK"/>
              </w:rPr>
            </w:pPr>
          </w:p>
        </w:tc>
        <w:tc>
          <w:tcPr>
            <w:tcW w:w="5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DA" w:rsidRPr="001551D2" w:rsidRDefault="002278DA" w:rsidP="00113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DA" w:rsidRPr="001551D2" w:rsidRDefault="002278DA" w:rsidP="0022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DA" w:rsidRPr="001551D2" w:rsidRDefault="002278DA" w:rsidP="00113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DA" w:rsidRPr="001551D2" w:rsidRDefault="002278DA" w:rsidP="00113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2278DA" w:rsidRPr="001551D2" w:rsidTr="003023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</w:trPr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DA" w:rsidRPr="002859F1" w:rsidRDefault="002278DA" w:rsidP="00113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k-SK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DA" w:rsidRPr="002859F1" w:rsidRDefault="002278DA" w:rsidP="00113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k-SK"/>
              </w:rPr>
            </w:pPr>
          </w:p>
        </w:tc>
        <w:tc>
          <w:tcPr>
            <w:tcW w:w="5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DA" w:rsidRPr="001551D2" w:rsidRDefault="002278DA" w:rsidP="00113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DA" w:rsidRPr="001551D2" w:rsidRDefault="002278DA" w:rsidP="0022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DA" w:rsidRPr="001551D2" w:rsidRDefault="002278DA" w:rsidP="00FC4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DA" w:rsidRPr="001551D2" w:rsidRDefault="002278DA" w:rsidP="007C5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2278DA" w:rsidRPr="001551D2" w:rsidTr="003023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15" w:type="dxa"/>
        </w:trPr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DA" w:rsidRPr="002859F1" w:rsidRDefault="002278DA" w:rsidP="00113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k-SK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DA" w:rsidRPr="002859F1" w:rsidRDefault="002278DA" w:rsidP="00113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k-SK"/>
              </w:rPr>
            </w:pPr>
          </w:p>
        </w:tc>
        <w:tc>
          <w:tcPr>
            <w:tcW w:w="5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DA" w:rsidRPr="001551D2" w:rsidRDefault="002278DA" w:rsidP="00113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DA" w:rsidRPr="001551D2" w:rsidRDefault="002278DA" w:rsidP="00227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DA" w:rsidRPr="001551D2" w:rsidRDefault="002278DA" w:rsidP="00113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DA" w:rsidRPr="001551D2" w:rsidRDefault="002278DA" w:rsidP="00113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55B18" w:rsidRPr="00F44C37" w:rsidTr="00302381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gridAfter w:val="6"/>
          <w:wBefore w:w="5" w:type="dxa"/>
          <w:wAfter w:w="10008" w:type="dxa"/>
        </w:trPr>
        <w:tc>
          <w:tcPr>
            <w:tcW w:w="48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5B18" w:rsidRPr="00772C99" w:rsidRDefault="00755B18" w:rsidP="00D24F71">
            <w:pPr>
              <w:pStyle w:val="Zkladntext"/>
              <w:widowControl/>
              <w:jc w:val="both"/>
              <w:rPr>
                <w:b w:val="0"/>
                <w:color w:val="000000"/>
                <w:sz w:val="22"/>
                <w:szCs w:val="22"/>
              </w:rPr>
            </w:pPr>
          </w:p>
          <w:p w:rsidR="00755B18" w:rsidRPr="00772C99" w:rsidRDefault="00755B18" w:rsidP="00D24F71">
            <w:pPr>
              <w:pStyle w:val="Zkladntext"/>
              <w:widowControl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772C99">
              <w:rPr>
                <w:b w:val="0"/>
                <w:color w:val="000000"/>
                <w:sz w:val="22"/>
                <w:szCs w:val="22"/>
              </w:rPr>
              <w:t>Vysvetlivky  k použitým skratkám v tabuľke:</w:t>
            </w:r>
          </w:p>
        </w:tc>
      </w:tr>
      <w:tr w:rsidR="00755B18" w:rsidRPr="00F44C37" w:rsidTr="00302381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gridAfter w:val="6"/>
          <w:wBefore w:w="5" w:type="dxa"/>
          <w:wAfter w:w="10008" w:type="dxa"/>
        </w:trPr>
        <w:tc>
          <w:tcPr>
            <w:tcW w:w="48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5B18" w:rsidRPr="00772C99" w:rsidRDefault="00755B18" w:rsidP="00D24F71">
            <w:pPr>
              <w:pStyle w:val="Zkladntext"/>
              <w:widowControl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772C99">
              <w:rPr>
                <w:b w:val="0"/>
                <w:color w:val="000000"/>
                <w:sz w:val="22"/>
                <w:szCs w:val="22"/>
              </w:rPr>
              <w:t>O – obyčajná</w:t>
            </w:r>
          </w:p>
        </w:tc>
      </w:tr>
      <w:tr w:rsidR="00755B18" w:rsidRPr="00F44C37" w:rsidTr="00302381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gridAfter w:val="6"/>
          <w:wBefore w:w="5" w:type="dxa"/>
          <w:wAfter w:w="10008" w:type="dxa"/>
        </w:trPr>
        <w:tc>
          <w:tcPr>
            <w:tcW w:w="48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5B18" w:rsidRPr="00772C99" w:rsidRDefault="00755B18" w:rsidP="00D24F71">
            <w:pPr>
              <w:pStyle w:val="Zkladntext"/>
              <w:widowControl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772C99">
              <w:rPr>
                <w:b w:val="0"/>
                <w:color w:val="000000"/>
                <w:sz w:val="22"/>
                <w:szCs w:val="22"/>
              </w:rPr>
              <w:t>Z – zásadná</w:t>
            </w:r>
          </w:p>
        </w:tc>
      </w:tr>
    </w:tbl>
    <w:p w:rsidR="002278DA" w:rsidRDefault="002278DA" w:rsidP="002278DA"/>
    <w:sectPr w:rsidR="002278DA" w:rsidSect="002278D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14390"/>
    <w:multiLevelType w:val="hybridMultilevel"/>
    <w:tmpl w:val="A9722686"/>
    <w:lvl w:ilvl="0" w:tplc="41943DDC">
      <w:start w:val="1"/>
      <w:numFmt w:val="lowerLetter"/>
      <w:lvlText w:val="%1)"/>
      <w:lvlJc w:val="left"/>
      <w:pPr>
        <w:ind w:left="60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28" w:hanging="360"/>
      </w:pPr>
    </w:lvl>
    <w:lvl w:ilvl="2" w:tplc="041B001B" w:tentative="1">
      <w:start w:val="1"/>
      <w:numFmt w:val="lowerRoman"/>
      <w:lvlText w:val="%3."/>
      <w:lvlJc w:val="right"/>
      <w:pPr>
        <w:ind w:left="2048" w:hanging="180"/>
      </w:pPr>
    </w:lvl>
    <w:lvl w:ilvl="3" w:tplc="041B000F" w:tentative="1">
      <w:start w:val="1"/>
      <w:numFmt w:val="decimal"/>
      <w:lvlText w:val="%4."/>
      <w:lvlJc w:val="left"/>
      <w:pPr>
        <w:ind w:left="2768" w:hanging="360"/>
      </w:pPr>
    </w:lvl>
    <w:lvl w:ilvl="4" w:tplc="041B0019" w:tentative="1">
      <w:start w:val="1"/>
      <w:numFmt w:val="lowerLetter"/>
      <w:lvlText w:val="%5."/>
      <w:lvlJc w:val="left"/>
      <w:pPr>
        <w:ind w:left="3488" w:hanging="360"/>
      </w:pPr>
    </w:lvl>
    <w:lvl w:ilvl="5" w:tplc="041B001B" w:tentative="1">
      <w:start w:val="1"/>
      <w:numFmt w:val="lowerRoman"/>
      <w:lvlText w:val="%6."/>
      <w:lvlJc w:val="right"/>
      <w:pPr>
        <w:ind w:left="4208" w:hanging="180"/>
      </w:pPr>
    </w:lvl>
    <w:lvl w:ilvl="6" w:tplc="041B000F" w:tentative="1">
      <w:start w:val="1"/>
      <w:numFmt w:val="decimal"/>
      <w:lvlText w:val="%7."/>
      <w:lvlJc w:val="left"/>
      <w:pPr>
        <w:ind w:left="4928" w:hanging="360"/>
      </w:pPr>
    </w:lvl>
    <w:lvl w:ilvl="7" w:tplc="041B0019" w:tentative="1">
      <w:start w:val="1"/>
      <w:numFmt w:val="lowerLetter"/>
      <w:lvlText w:val="%8."/>
      <w:lvlJc w:val="left"/>
      <w:pPr>
        <w:ind w:left="5648" w:hanging="360"/>
      </w:pPr>
    </w:lvl>
    <w:lvl w:ilvl="8" w:tplc="041B001B" w:tentative="1">
      <w:start w:val="1"/>
      <w:numFmt w:val="lowerRoman"/>
      <w:lvlText w:val="%9."/>
      <w:lvlJc w:val="right"/>
      <w:pPr>
        <w:ind w:left="6368" w:hanging="180"/>
      </w:pPr>
    </w:lvl>
  </w:abstractNum>
  <w:abstractNum w:abstractNumId="1">
    <w:nsid w:val="29322158"/>
    <w:multiLevelType w:val="hybridMultilevel"/>
    <w:tmpl w:val="CE90F5E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58B1542"/>
    <w:multiLevelType w:val="hybridMultilevel"/>
    <w:tmpl w:val="74EAC80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8DA"/>
    <w:rsid w:val="00001F90"/>
    <w:rsid w:val="00005636"/>
    <w:rsid w:val="000100BC"/>
    <w:rsid w:val="000432B5"/>
    <w:rsid w:val="00054B75"/>
    <w:rsid w:val="00084065"/>
    <w:rsid w:val="000F44C2"/>
    <w:rsid w:val="0011306E"/>
    <w:rsid w:val="001226C0"/>
    <w:rsid w:val="00134BA4"/>
    <w:rsid w:val="001502BE"/>
    <w:rsid w:val="00155795"/>
    <w:rsid w:val="001B0CCE"/>
    <w:rsid w:val="001B1FCD"/>
    <w:rsid w:val="001D6C7C"/>
    <w:rsid w:val="00211E87"/>
    <w:rsid w:val="002278DA"/>
    <w:rsid w:val="00252F7F"/>
    <w:rsid w:val="002859F1"/>
    <w:rsid w:val="00302381"/>
    <w:rsid w:val="00336F06"/>
    <w:rsid w:val="0038117D"/>
    <w:rsid w:val="00396E30"/>
    <w:rsid w:val="003D5842"/>
    <w:rsid w:val="0041783B"/>
    <w:rsid w:val="0042374D"/>
    <w:rsid w:val="0042440C"/>
    <w:rsid w:val="004356C1"/>
    <w:rsid w:val="00463D98"/>
    <w:rsid w:val="00471817"/>
    <w:rsid w:val="00491447"/>
    <w:rsid w:val="004A0C3F"/>
    <w:rsid w:val="004E450B"/>
    <w:rsid w:val="00517F90"/>
    <w:rsid w:val="00536ACF"/>
    <w:rsid w:val="00547FD5"/>
    <w:rsid w:val="00562C0B"/>
    <w:rsid w:val="005712BD"/>
    <w:rsid w:val="00581806"/>
    <w:rsid w:val="00581FFA"/>
    <w:rsid w:val="005A0A96"/>
    <w:rsid w:val="005D4740"/>
    <w:rsid w:val="00600F90"/>
    <w:rsid w:val="00617AAD"/>
    <w:rsid w:val="00617CDE"/>
    <w:rsid w:val="006219A0"/>
    <w:rsid w:val="00623938"/>
    <w:rsid w:val="00683257"/>
    <w:rsid w:val="006A60E9"/>
    <w:rsid w:val="006B6968"/>
    <w:rsid w:val="006C0B7C"/>
    <w:rsid w:val="006C2C2A"/>
    <w:rsid w:val="006C4B4B"/>
    <w:rsid w:val="007320F2"/>
    <w:rsid w:val="00732152"/>
    <w:rsid w:val="00747B41"/>
    <w:rsid w:val="00755B18"/>
    <w:rsid w:val="007C4296"/>
    <w:rsid w:val="007C58FC"/>
    <w:rsid w:val="007C7AAE"/>
    <w:rsid w:val="007D70D7"/>
    <w:rsid w:val="007F5453"/>
    <w:rsid w:val="0087698A"/>
    <w:rsid w:val="00880690"/>
    <w:rsid w:val="00893E57"/>
    <w:rsid w:val="008C2458"/>
    <w:rsid w:val="008E7F10"/>
    <w:rsid w:val="00933544"/>
    <w:rsid w:val="00937BF4"/>
    <w:rsid w:val="009A5C5B"/>
    <w:rsid w:val="009C2AFE"/>
    <w:rsid w:val="009C41C8"/>
    <w:rsid w:val="009E57EE"/>
    <w:rsid w:val="00A03650"/>
    <w:rsid w:val="00A32A84"/>
    <w:rsid w:val="00A50869"/>
    <w:rsid w:val="00A710C7"/>
    <w:rsid w:val="00A764DF"/>
    <w:rsid w:val="00AB256C"/>
    <w:rsid w:val="00AB43EA"/>
    <w:rsid w:val="00AB6653"/>
    <w:rsid w:val="00AC23FC"/>
    <w:rsid w:val="00AD739E"/>
    <w:rsid w:val="00AD7BBC"/>
    <w:rsid w:val="00AF7F3E"/>
    <w:rsid w:val="00B560D8"/>
    <w:rsid w:val="00B57557"/>
    <w:rsid w:val="00B86058"/>
    <w:rsid w:val="00BE43B0"/>
    <w:rsid w:val="00C2414B"/>
    <w:rsid w:val="00C370F2"/>
    <w:rsid w:val="00C70644"/>
    <w:rsid w:val="00C80B5C"/>
    <w:rsid w:val="00CD0D92"/>
    <w:rsid w:val="00D00D58"/>
    <w:rsid w:val="00D24F71"/>
    <w:rsid w:val="00D458C2"/>
    <w:rsid w:val="00D61453"/>
    <w:rsid w:val="00D64059"/>
    <w:rsid w:val="00D7658A"/>
    <w:rsid w:val="00D82966"/>
    <w:rsid w:val="00D876BF"/>
    <w:rsid w:val="00DC7AAF"/>
    <w:rsid w:val="00DD1B79"/>
    <w:rsid w:val="00DD3DB3"/>
    <w:rsid w:val="00DF7ECF"/>
    <w:rsid w:val="00E35D75"/>
    <w:rsid w:val="00E4512B"/>
    <w:rsid w:val="00E5480F"/>
    <w:rsid w:val="00EA7C99"/>
    <w:rsid w:val="00EB17DD"/>
    <w:rsid w:val="00EB2666"/>
    <w:rsid w:val="00F03175"/>
    <w:rsid w:val="00F2010C"/>
    <w:rsid w:val="00F320FC"/>
    <w:rsid w:val="00F439EE"/>
    <w:rsid w:val="00FC009F"/>
    <w:rsid w:val="00FC4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278D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27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278DA"/>
  </w:style>
  <w:style w:type="paragraph" w:styleId="Zkladntext">
    <w:name w:val="Body Text"/>
    <w:basedOn w:val="Normlny"/>
    <w:link w:val="ZkladntextChar"/>
    <w:uiPriority w:val="99"/>
    <w:semiHidden/>
    <w:rsid w:val="00755B18"/>
    <w:pPr>
      <w:widowControl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755B18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C5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C58F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00F9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semiHidden/>
    <w:unhideWhenUsed/>
    <w:rsid w:val="009A5C5B"/>
    <w:rPr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EB266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B266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B266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B266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B266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278D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27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278DA"/>
  </w:style>
  <w:style w:type="paragraph" w:styleId="Zkladntext">
    <w:name w:val="Body Text"/>
    <w:basedOn w:val="Normlny"/>
    <w:link w:val="ZkladntextChar"/>
    <w:uiPriority w:val="99"/>
    <w:semiHidden/>
    <w:rsid w:val="00755B18"/>
    <w:pPr>
      <w:widowControl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755B18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C5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C58F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00F9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semiHidden/>
    <w:unhideWhenUsed/>
    <w:rsid w:val="009A5C5B"/>
    <w:rPr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EB266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B266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B266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B266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B266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566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46328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32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62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890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390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466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414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586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846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5344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8485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726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2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vlada.gov.sk/metodicky-pokyn-na-pripravu-a-predkladanie-materialov-na-rokovanie-vlady-s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2467</Words>
  <Characters>14067</Characters>
  <Application>Microsoft Office Word</Application>
  <DocSecurity>0</DocSecurity>
  <Lines>117</Lines>
  <Paragraphs>33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Vrtielová Prečinská Nadežda</dc:creator>
  <cp:lastModifiedBy>Bublišová Alexandra</cp:lastModifiedBy>
  <cp:revision>4</cp:revision>
  <cp:lastPrinted>2020-06-11T08:15:00Z</cp:lastPrinted>
  <dcterms:created xsi:type="dcterms:W3CDTF">2021-05-27T07:29:00Z</dcterms:created>
  <dcterms:modified xsi:type="dcterms:W3CDTF">2021-05-27T09:41:00Z</dcterms:modified>
</cp:coreProperties>
</file>