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D4EBE">
        <w:trPr>
          <w:divId w:val="101715058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A817DB" w:rsidP="008915A2">
            <w:pPr>
              <w:rPr>
                <w:rFonts w:ascii="Times" w:hAnsi="Times" w:cs="Times"/>
                <w:sz w:val="20"/>
                <w:szCs w:val="20"/>
              </w:rPr>
            </w:pPr>
            <w:r>
              <w:t>Nariadenie vlády Slovenskej republiky, ktorým sa ustanovuje výška finančného príspevku na poskytovanie sociálnej služby v</w:t>
            </w:r>
            <w:r w:rsidR="005E4897">
              <w:t> </w:t>
            </w:r>
            <w:r>
              <w:t>zariadeniach</w:t>
            </w:r>
            <w:r w:rsidR="005E4897">
              <w:t xml:space="preserve"> sociálnych služieb </w:t>
            </w:r>
            <w:r w:rsidR="00E55553" w:rsidRPr="00E55553">
              <w:t>pre fyzické osoby, ktoré sú odkázané na pomoc inej fyzickej osoby</w:t>
            </w:r>
            <w:r w:rsidR="00521549">
              <w:t>,</w:t>
            </w:r>
            <w:r w:rsidR="00E55553" w:rsidRPr="00E55553">
              <w:t xml:space="preserve"> a pre fyzické osoby, ktoré dovŕšili vek</w:t>
            </w:r>
            <w:r w:rsidR="005E4897">
              <w:t xml:space="preserve"> potrebný na nárok na starobný dôchodok</w:t>
            </w:r>
            <w:r w:rsidR="00E55553" w:rsidRPr="00E55553">
              <w:t xml:space="preserve"> </w:t>
            </w:r>
            <w:r>
              <w:t xml:space="preserve"> na rok 20</w:t>
            </w:r>
            <w:r w:rsidR="00673302">
              <w:t>2</w:t>
            </w:r>
            <w:r w:rsidR="008915A2">
              <w:t>2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F0AB4">
              <w:t>Ministerstvo práce, sociálnych vecí a rodiny Slovenskej republiky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D4EBE">
        <w:trPr>
          <w:divId w:val="101715058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6F0DF0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4EBE" w:rsidRPr="00EE3686" w:rsidRDefault="00EE3686" w:rsidP="00B72816">
            <w:pPr>
              <w:rPr>
                <w:rFonts w:ascii="Times" w:hAnsi="Times" w:cs="Times"/>
                <w:sz w:val="20"/>
                <w:szCs w:val="20"/>
              </w:rPr>
            </w:pPr>
            <w:r w:rsidRPr="00EE3686">
              <w:rPr>
                <w:rFonts w:ascii="Times" w:hAnsi="Times" w:cs="Times"/>
                <w:sz w:val="20"/>
                <w:szCs w:val="20"/>
              </w:rPr>
              <w:t>12.5.2021</w:t>
            </w:r>
          </w:p>
        </w:tc>
      </w:tr>
      <w:tr w:rsidR="00FD4EBE" w:rsidTr="006F0DF0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4EBE" w:rsidRPr="00EE3686" w:rsidRDefault="00521549" w:rsidP="00837C28">
            <w:pPr>
              <w:rPr>
                <w:rFonts w:ascii="Times" w:hAnsi="Times" w:cs="Times"/>
                <w:sz w:val="20"/>
                <w:szCs w:val="20"/>
              </w:rPr>
            </w:pPr>
            <w:r w:rsidRPr="00EE3686">
              <w:rPr>
                <w:rFonts w:ascii="Times" w:hAnsi="Times" w:cs="Times"/>
                <w:sz w:val="20"/>
                <w:szCs w:val="20"/>
              </w:rPr>
              <w:t>1</w:t>
            </w:r>
            <w:r w:rsidR="00837C28" w:rsidRPr="00EE3686">
              <w:rPr>
                <w:rFonts w:ascii="Times" w:hAnsi="Times" w:cs="Times"/>
                <w:sz w:val="20"/>
                <w:szCs w:val="20"/>
              </w:rPr>
              <w:t>4</w:t>
            </w:r>
            <w:r w:rsidRPr="00EE3686">
              <w:rPr>
                <w:rFonts w:ascii="Times" w:hAnsi="Times" w:cs="Times"/>
                <w:sz w:val="20"/>
                <w:szCs w:val="20"/>
              </w:rPr>
              <w:t>.5.2021</w:t>
            </w:r>
          </w:p>
        </w:tc>
      </w:tr>
      <w:tr w:rsidR="00FD4EBE" w:rsidTr="006F0DF0">
        <w:trPr>
          <w:divId w:val="101715058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4EBE" w:rsidRPr="005F0AB4" w:rsidRDefault="00427100" w:rsidP="00B72816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427100">
              <w:rPr>
                <w:rFonts w:ascii="Times" w:hAnsi="Times" w:cs="Times"/>
                <w:sz w:val="20"/>
                <w:szCs w:val="20"/>
              </w:rPr>
              <w:t>23.6.2021</w:t>
            </w:r>
            <w:bookmarkStart w:id="0" w:name="_GoBack"/>
            <w:bookmarkEnd w:id="0"/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905E5" w:rsidRDefault="00517E50" w:rsidP="00517E50">
            <w:pPr>
              <w:pStyle w:val="Default"/>
              <w:jc w:val="both"/>
            </w:pPr>
            <w:r>
              <w:t xml:space="preserve">Návrh nariadenia vlády Slovenskej republiky, ktorým sa ustanovuje </w:t>
            </w:r>
            <w:r w:rsidRPr="006B6645">
              <w:t>výška finančného príspevku na poskytovanie sociálnej služby v zariadeniach</w:t>
            </w:r>
            <w:r w:rsidR="005E4897">
              <w:t xml:space="preserve"> sociálnych služieb</w:t>
            </w:r>
            <w:r w:rsidRPr="006B6645">
              <w:t xml:space="preserve"> </w:t>
            </w:r>
            <w:r w:rsidR="00673302">
              <w:t>pre fyzické osoby, ktoré sú odkázané na pomoc inej fyzickej osoby</w:t>
            </w:r>
            <w:r w:rsidR="00521549">
              <w:t>,</w:t>
            </w:r>
            <w:r w:rsidR="00673302">
              <w:t xml:space="preserve"> a pre fyzické osoby, ktoré dovŕšili  vek </w:t>
            </w:r>
            <w:r w:rsidR="005E4897">
              <w:t xml:space="preserve">potrebný na nárok na starobný dôchodok </w:t>
            </w:r>
            <w:r w:rsidR="00673302">
              <w:t>na rok 202</w:t>
            </w:r>
            <w:r w:rsidR="005F0AB4">
              <w:t>2</w:t>
            </w:r>
            <w:r w:rsidR="00673302">
              <w:t xml:space="preserve"> </w:t>
            </w:r>
            <w:r>
              <w:t xml:space="preserve"> sa predkladá </w:t>
            </w:r>
            <w:r w:rsidR="00D04D4B">
              <w:t xml:space="preserve">podľa </w:t>
            </w:r>
            <w:r>
              <w:t xml:space="preserve">§ 78a ods. 10 zákona č. </w:t>
            </w:r>
            <w:r w:rsidRPr="00D0563A">
              <w:t>448/2008 Z.</w:t>
            </w:r>
            <w:r>
              <w:t xml:space="preserve"> </w:t>
            </w:r>
            <w:r w:rsidRPr="00D0563A">
              <w:t xml:space="preserve">z. o sociálnych službách a o zmene a doplnení zákona č. 455/1991 Zb. o živnostenskom podnikaní (živnostenský zákon) v znení neskorších predpisov v znení </w:t>
            </w:r>
            <w:r w:rsidR="00453AA1">
              <w:t xml:space="preserve">zákona č. 331/2017 Z. z. </w:t>
            </w:r>
            <w:r w:rsidR="00002FFB">
              <w:t xml:space="preserve"> </w:t>
            </w:r>
            <w:r>
              <w:t xml:space="preserve">(ďalej len „zákon“).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 w:rsidP="0071512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 xml:space="preserve">Úprava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výšky finančného príspevku na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spolufinancovanie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poskytovani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sociálnej služby v zariadeniach </w:t>
            </w:r>
            <w:r w:rsidR="005E4897">
              <w:t>sociálnych služieb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>pre fyzické osoby, ktoré sú odkázané na pomoc inej fyzickej osoby</w:t>
            </w:r>
            <w:r w:rsidR="00521549">
              <w:rPr>
                <w:rFonts w:eastAsiaTheme="minorHAnsi"/>
                <w:color w:val="000000"/>
                <w:lang w:eastAsia="en-US"/>
              </w:rPr>
              <w:t>,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a pre fyzické osoby, ktoré dovŕšili vek </w:t>
            </w:r>
            <w:r w:rsidR="005E4897">
              <w:t xml:space="preserve">potrebný na nárok na starobný dôchodok </w:t>
            </w:r>
            <w:r w:rsidR="00E55553">
              <w:rPr>
                <w:rFonts w:eastAsiaTheme="minorHAnsi"/>
                <w:color w:val="000000"/>
                <w:lang w:eastAsia="en-US"/>
              </w:rPr>
              <w:t>(ďalej len „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>finančn</w:t>
            </w:r>
            <w:r w:rsidR="00E55553">
              <w:rPr>
                <w:rFonts w:eastAsiaTheme="minorHAnsi"/>
                <w:color w:val="000000"/>
                <w:lang w:eastAsia="en-US"/>
              </w:rPr>
              <w:t>ý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príspev</w:t>
            </w:r>
            <w:r w:rsidR="00E55553">
              <w:rPr>
                <w:rFonts w:eastAsiaTheme="minorHAnsi"/>
                <w:color w:val="000000"/>
                <w:lang w:eastAsia="en-US"/>
              </w:rPr>
              <w:t>ok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na  poskytovani</w:t>
            </w:r>
            <w:r w:rsidR="00C516C8">
              <w:rPr>
                <w:rFonts w:eastAsiaTheme="minorHAnsi"/>
                <w:color w:val="000000"/>
                <w:lang w:eastAsia="en-US"/>
              </w:rPr>
              <w:t>e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sociálnej služby v zariadeniach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podmienených odkázanosťou</w:t>
            </w:r>
            <w:r w:rsidR="00E55553">
              <w:rPr>
                <w:rFonts w:eastAsiaTheme="minorHAnsi"/>
                <w:color w:val="000000"/>
                <w:lang w:eastAsia="en-US"/>
              </w:rPr>
              <w:t>“)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72816">
              <w:rPr>
                <w:rFonts w:eastAsiaTheme="minorHAnsi"/>
                <w:color w:val="000000"/>
                <w:lang w:eastAsia="en-US"/>
              </w:rPr>
              <w:t xml:space="preserve">vychádza zo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zvýšeni</w:t>
            </w:r>
            <w:r w:rsidR="00B72816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nákladovosti sociálnych služieb v nadväznosti na</w:t>
            </w:r>
            <w:r w:rsidR="00035FFD">
              <w:rPr>
                <w:rFonts w:eastAsiaTheme="minorHAnsi"/>
                <w:color w:val="000000"/>
                <w:lang w:eastAsia="en-US"/>
              </w:rPr>
              <w:t xml:space="preserve"> spôsob jeho  určenia a </w:t>
            </w:r>
            <w:r w:rsidR="00453AA1">
              <w:rPr>
                <w:rFonts w:eastAsiaTheme="minorHAnsi"/>
                <w:color w:val="000000"/>
                <w:lang w:eastAsia="en-US"/>
              </w:rPr>
              <w:t>účelové určenie tohto finančného príspevku na spolufinancovanie ekonomicky oprávnených nákladov  na mzdy a odvody zamestnancov poskytovateľa sociálnej služby v zariadení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5055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 potrebu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zohľadneni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vývoja zvyšovania miezd zamestnancov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v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zariadeniach sociálnych služieb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vzhľadom na </w:t>
            </w:r>
            <w:r w:rsidR="00B72816">
              <w:rPr>
                <w:rFonts w:eastAsiaTheme="minorHAnsi"/>
                <w:color w:val="000000"/>
                <w:lang w:eastAsia="en-US"/>
              </w:rPr>
              <w:t xml:space="preserve">medziročný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vývoj minimálnej mzdy </w:t>
            </w:r>
            <w:r w:rsidR="00615CB5">
              <w:rPr>
                <w:rFonts w:eastAsiaTheme="minorHAnsi"/>
                <w:color w:val="000000"/>
                <w:lang w:eastAsia="en-US"/>
              </w:rPr>
              <w:t>a jej výšku</w:t>
            </w:r>
            <w:r w:rsidR="005F0AB4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D4EBE" w:rsidRPr="00451BE9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Pr="00451BE9" w:rsidRDefault="00FD4EBE" w:rsidP="0054376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1BE9">
              <w:rPr>
                <w:rFonts w:eastAsiaTheme="minorHAnsi"/>
                <w:color w:val="000000"/>
                <w:lang w:eastAsia="en-US"/>
              </w:rPr>
              <w:t xml:space="preserve">Ministerstvo práce, sociálnych vecí a rodiny Slovenskej republiky, 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obce, resp. </w:t>
            </w:r>
            <w:r w:rsidR="002F3313" w:rsidRPr="00451BE9">
              <w:rPr>
                <w:rFonts w:eastAsiaTheme="minorHAnsi"/>
                <w:color w:val="000000"/>
                <w:lang w:eastAsia="en-US"/>
              </w:rPr>
              <w:t>verejní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poskytovatelia sociálnych služieb v zariadeniach podmienených odkázanosťou na lokálnej úrovni</w:t>
            </w:r>
            <w:r w:rsidR="002F3313" w:rsidRPr="00451BE9">
              <w:rPr>
                <w:rFonts w:eastAsiaTheme="minorHAnsi"/>
                <w:color w:val="000000"/>
                <w:lang w:eastAsia="en-US"/>
              </w:rPr>
              <w:t xml:space="preserve"> a neverejní poskytovatelia sociálnych služieb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v zariadeniach podmienených odkázanosťou na lokálnej i regionálnej úrovni</w:t>
            </w:r>
            <w:r w:rsidR="0054376C" w:rsidRPr="00451BE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9BD" w:rsidRDefault="00FD4EBE" w:rsidP="008E49BD">
            <w:pPr>
              <w:jc w:val="both"/>
              <w:rPr>
                <w:lang w:eastAsia="ar-SA"/>
              </w:rPr>
            </w:pPr>
            <w:r w:rsidRPr="008F5A01">
              <w:rPr>
                <w:rFonts w:eastAsiaTheme="minorHAnsi"/>
                <w:color w:val="000000"/>
                <w:lang w:eastAsia="en-US"/>
              </w:rPr>
              <w:t>Alternatívne riešenia neboli posudzované</w:t>
            </w:r>
            <w:r w:rsidR="006E7EC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8F5A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E7ECE" w:rsidRPr="00D44332">
              <w:rPr>
                <w:lang w:eastAsia="ar-SA"/>
              </w:rPr>
              <w:t>N</w:t>
            </w:r>
            <w:r w:rsidR="008E49BD" w:rsidRPr="00D44332">
              <w:rPr>
                <w:lang w:eastAsia="ar-SA"/>
              </w:rPr>
              <w:t xml:space="preserve">evykonanie úpravy výšky finančného príspevku na poskytovanie sociálnej služby v zariadeniach podmienených odkázanosťou </w:t>
            </w:r>
            <w:r w:rsidR="008E49BD">
              <w:rPr>
                <w:lang w:eastAsia="ar-SA"/>
              </w:rPr>
              <w:t>na rozpočtový rok 20</w:t>
            </w:r>
            <w:r w:rsidR="006E7ECE">
              <w:rPr>
                <w:lang w:eastAsia="ar-SA"/>
              </w:rPr>
              <w:t>2</w:t>
            </w:r>
            <w:r w:rsidR="005F0AB4">
              <w:rPr>
                <w:lang w:eastAsia="ar-SA"/>
              </w:rPr>
              <w:t>2</w:t>
            </w:r>
            <w:r w:rsidR="008E49BD">
              <w:rPr>
                <w:lang w:eastAsia="ar-SA"/>
              </w:rPr>
              <w:t xml:space="preserve"> by vzhľadom na medziročný nárast výšky minimálnej mzdy, ako aj záväzkov zamestnávateľov súvisiacich s</w:t>
            </w:r>
            <w:r w:rsidR="00035FFD">
              <w:rPr>
                <w:lang w:eastAsia="ar-SA"/>
              </w:rPr>
              <w:t xml:space="preserve">o zvyšovaním príplatkov za prácu podľa novely Zákonníka práce </w:t>
            </w:r>
            <w:r w:rsidR="008E49BD">
              <w:rPr>
                <w:lang w:eastAsia="ar-SA"/>
              </w:rPr>
              <w:t> vyvolalo riziko nezabezpečenia udržateľnosti poskytovania sociálnych služieb dlhodobej starostlivosti v zariadeniach sociálnych služieb</w:t>
            </w:r>
            <w:r w:rsidR="00035FFD">
              <w:rPr>
                <w:lang w:eastAsia="ar-SA"/>
              </w:rPr>
              <w:t xml:space="preserve"> podmienených odkázanosťou</w:t>
            </w:r>
            <w:r w:rsidR="00622FF1">
              <w:rPr>
                <w:lang w:eastAsia="ar-SA"/>
              </w:rPr>
              <w:t>, a to</w:t>
            </w:r>
            <w:r w:rsidR="008E49BD">
              <w:rPr>
                <w:lang w:eastAsia="ar-SA"/>
              </w:rPr>
              <w:t xml:space="preserve"> v dôsledku ne</w:t>
            </w:r>
            <w:r w:rsidR="00B72816">
              <w:rPr>
                <w:lang w:eastAsia="ar-SA"/>
              </w:rPr>
              <w:t xml:space="preserve">spolufinancovaného </w:t>
            </w:r>
            <w:r w:rsidR="008E49BD">
              <w:rPr>
                <w:lang w:eastAsia="ar-SA"/>
              </w:rPr>
              <w:t>nárastu mzdových a ostatných osobných nákladov poskytovateľa sociálnych služieb, a to aj pri zohľadnení viaczdrojového financovania</w:t>
            </w:r>
            <w:r w:rsidR="00035FFD">
              <w:rPr>
                <w:lang w:eastAsia="ar-SA"/>
              </w:rPr>
              <w:t xml:space="preserve"> sociálnych služieb podľa § 71 zákona</w:t>
            </w:r>
            <w:r w:rsidR="008E49BD">
              <w:rPr>
                <w:lang w:eastAsia="ar-SA"/>
              </w:rPr>
              <w:t xml:space="preserve">. </w:t>
            </w:r>
          </w:p>
          <w:p w:rsidR="00FD4EBE" w:rsidRDefault="00FD4EBE" w:rsidP="004472C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Nejedná sa o transpozíciu práva EÚ.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Bez skúmania.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7579C1" w:rsidRDefault="007579C1" w:rsidP="007579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7579C1" w:rsidTr="007579C1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 w:rsidP="001301F5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3D2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3D2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1301F5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579C1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579C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 w:rsidP="001301F5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 w:rsidP="00C03D2F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 w:rsidP="001301F5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3D2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301F5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 w:rsidP="003905EB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301F5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01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01F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79C1" w:rsidTr="007579C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 w:rsidP="003905EB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="003905E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9C1" w:rsidRDefault="007579C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7579C1" w:rsidRDefault="007579C1" w:rsidP="007579C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7AB" w:rsidRDefault="005007AB" w:rsidP="005007AB">
            <w:pPr>
              <w:pStyle w:val="Default"/>
              <w:jc w:val="both"/>
            </w:pPr>
            <w:r w:rsidRPr="00517E50">
              <w:t>Úprava výšky finančného príspevku na poskytovanie sociálnej služby v zariadeniach  podmienených odkázanosťou</w:t>
            </w:r>
            <w:r w:rsidR="00C243F2">
              <w:t xml:space="preserve"> </w:t>
            </w:r>
            <w:r w:rsidRPr="00DC1EBA">
              <w:t>na rok 20</w:t>
            </w:r>
            <w:r w:rsidR="006E7ECE">
              <w:t>2</w:t>
            </w:r>
            <w:r w:rsidR="005F0AB4">
              <w:t>2</w:t>
            </w:r>
            <w:r w:rsidRPr="00DC1EBA">
              <w:t xml:space="preserve"> bude vychádzať z účelu tohto finančného príspevku s prihliadnutím na </w:t>
            </w:r>
            <w:r w:rsidR="00B72816">
              <w:t xml:space="preserve">medziročný </w:t>
            </w:r>
            <w:r w:rsidRPr="00DC1EBA">
              <w:t>vývoj minimálnej mzdy</w:t>
            </w:r>
            <w:r w:rsidR="00615CB5">
              <w:t xml:space="preserve"> a jej výšku na rok 20</w:t>
            </w:r>
            <w:r w:rsidR="00B72816">
              <w:t>2</w:t>
            </w:r>
            <w:r w:rsidR="005F0AB4">
              <w:t>1</w:t>
            </w:r>
            <w:r w:rsidRPr="00DC1EBA">
              <w:t xml:space="preserve"> a s prihliadnutím na vyváženú úroveň spolufinancovania jednotlivých foriem sociálnej služby (pobytovej formy sociálnej služby a ambulantnej  formy sociálnej služby).</w:t>
            </w:r>
            <w:r>
              <w:t xml:space="preserve"> </w:t>
            </w:r>
          </w:p>
          <w:p w:rsidR="005007AB" w:rsidRDefault="005007AB" w:rsidP="005007AB">
            <w:pPr>
              <w:jc w:val="both"/>
            </w:pPr>
            <w:r>
              <w:lastRenderedPageBreak/>
              <w:t>Zákon ustanovil s</w:t>
            </w:r>
            <w:r w:rsidR="0034692D">
              <w:t xml:space="preserve"> </w:t>
            </w:r>
            <w:r>
              <w:t> účinnosťou od 1. januára 2018  výšku finančného príspevku na poskytovanie sociálnej služby v zariadeniach podmienených odkázanosťou v prílohe č. 6 k tomuto zákonu, a</w:t>
            </w:r>
            <w:r w:rsidR="00453AA1">
              <w:t> </w:t>
            </w:r>
            <w:r>
              <w:t>to</w:t>
            </w:r>
            <w:r w:rsidR="00453AA1">
              <w:t xml:space="preserve"> na účely poskytovania finančného príspevku</w:t>
            </w:r>
            <w:r>
              <w:t xml:space="preserve">  podľa § 71 ods. 6 a § 78a zákona podľa</w:t>
            </w:r>
            <w:r w:rsidRPr="00D0563A">
              <w:t xml:space="preserve"> </w:t>
            </w:r>
            <w:r>
              <w:t xml:space="preserve">formy sociálnej služby, </w:t>
            </w:r>
            <w:r w:rsidRPr="00D0563A">
              <w:t xml:space="preserve">štruktúry prijímateľov sociálnej služby </w:t>
            </w:r>
            <w:r>
              <w:t xml:space="preserve"> podľa stupňa odkázanosti fyzickej osoby na pomoc inej fyzickej osoby a </w:t>
            </w:r>
            <w:r w:rsidRPr="00D0563A">
              <w:t xml:space="preserve"> </w:t>
            </w:r>
            <w:r>
              <w:t xml:space="preserve">počtu miest v zariadení zapísaného v registri. Podľa § 78a ods. 10 zákona výšku finančného príspevku na poskytovanie uvedenej </w:t>
            </w:r>
            <w:r w:rsidRPr="00991A75">
              <w:t xml:space="preserve">sociálnej služby </w:t>
            </w:r>
            <w:r>
              <w:t xml:space="preserve">ustanoví vláda Slovenskej republiky na príslušný kalendárny rok nariadením vlády Slovenskej republiky vždy na obdobie od 1. januára do 31. </w:t>
            </w:r>
            <w:r w:rsidRPr="004D4563">
              <w:t>decembra</w:t>
            </w:r>
            <w:r>
              <w:t xml:space="preserve">. </w:t>
            </w:r>
          </w:p>
          <w:p w:rsidR="00E83ACB" w:rsidRDefault="00C06F54" w:rsidP="006E7ECE">
            <w:pPr>
              <w:jc w:val="both"/>
            </w:pPr>
            <w:r>
              <w:t xml:space="preserve">Vplyv </w:t>
            </w:r>
            <w:r w:rsidR="00FB559E" w:rsidRPr="00002FFB">
              <w:t xml:space="preserve">na </w:t>
            </w:r>
            <w:r>
              <w:t xml:space="preserve">výdavkovú časť štátneho rozpočtu </w:t>
            </w:r>
            <w:r w:rsidR="00FB559E" w:rsidRPr="00002FFB">
              <w:t xml:space="preserve"> sa očakáva v</w:t>
            </w:r>
            <w:r w:rsidR="00622FF1">
              <w:t xml:space="preserve"> dôsledku </w:t>
            </w:r>
            <w:r w:rsidR="00453AA1">
              <w:t xml:space="preserve">zvýšenia </w:t>
            </w:r>
            <w:r w:rsidR="00FB559E" w:rsidRPr="00002FFB">
              <w:t>f</w:t>
            </w:r>
            <w:r w:rsidR="00FB559E" w:rsidRPr="004C53D1">
              <w:t>inančn</w:t>
            </w:r>
            <w:r w:rsidR="00FB559E">
              <w:t xml:space="preserve">ého príspevku na </w:t>
            </w:r>
            <w:r w:rsidR="00FB559E" w:rsidRPr="004C53D1">
              <w:t xml:space="preserve"> poskytovanie sociálnej služby v zariadeniach podmienených odkázanosťou</w:t>
            </w:r>
            <w:r w:rsidR="00FB559E">
              <w:t xml:space="preserve">, ktorého výška </w:t>
            </w:r>
            <w:r w:rsidR="00622FF1">
              <w:t xml:space="preserve">je </w:t>
            </w:r>
            <w:r w:rsidR="00FB559E">
              <w:t>odvodená od</w:t>
            </w:r>
            <w:r w:rsidR="00DF5398">
              <w:t xml:space="preserve"> medziročného</w:t>
            </w:r>
            <w:r w:rsidR="00FB559E">
              <w:t xml:space="preserve"> navýšenia minimálnej mzdy v spojitosti s</w:t>
            </w:r>
            <w:r w:rsidR="009B46AB">
              <w:t>o súvisiacou</w:t>
            </w:r>
            <w:r w:rsidR="00FB559E">
              <w:t> nákladovosťou služby a</w:t>
            </w:r>
            <w:r w:rsidR="0054376C">
              <w:t> </w:t>
            </w:r>
            <w:r w:rsidR="00FB559E" w:rsidRPr="004C53D1">
              <w:t>účelov</w:t>
            </w:r>
            <w:r w:rsidR="009B46AB">
              <w:t>ým</w:t>
            </w:r>
            <w:r w:rsidR="0054376C">
              <w:t xml:space="preserve"> </w:t>
            </w:r>
            <w:r w:rsidR="00FB559E" w:rsidRPr="004C53D1">
              <w:t>určen</w:t>
            </w:r>
            <w:r w:rsidR="009B46AB">
              <w:t>ím finančného príspevku</w:t>
            </w:r>
            <w:r w:rsidR="00FB559E" w:rsidRPr="004C53D1">
              <w:t xml:space="preserve"> na pokrytie časti nákladov na mzdy, platy a ostatné osobné vyrovnania zamestnancov poskytovateľa sociálnych služieb  najviac </w:t>
            </w:r>
            <w:r w:rsidR="00FB559E" w:rsidRPr="00707E7D">
              <w:t xml:space="preserve">vo výške, ktorá zodpovedá výške platu a ostatných osobných vyrovnaní podľa osobitného predpisu a poistnému na verejné zdravotné poistenie, poistnému na sociálne poistenie a povinným príspevkom na starobné dôchodkové sporenie platené zamestnávateľom v rozsahu týchto miezd, platov v konkrétnom zariadení sociálnych služieb. </w:t>
            </w:r>
          </w:p>
          <w:p w:rsidR="005F0AB4" w:rsidRPr="00707E7D" w:rsidRDefault="005F0AB4" w:rsidP="006E7ECE">
            <w:pPr>
              <w:jc w:val="both"/>
            </w:pPr>
          </w:p>
          <w:p w:rsidR="00AD09D2" w:rsidRDefault="00197B36" w:rsidP="006E7ECE">
            <w:pPr>
              <w:jc w:val="both"/>
              <w:rPr>
                <w:i/>
              </w:rPr>
            </w:pPr>
            <w:r w:rsidRPr="00243450">
              <w:rPr>
                <w:i/>
              </w:rPr>
              <w:t xml:space="preserve">Konkrétne </w:t>
            </w:r>
            <w:r w:rsidR="006E7ECE" w:rsidRPr="000F5EC4">
              <w:rPr>
                <w:i/>
              </w:rPr>
              <w:t xml:space="preserve"> výšky príspevkov sú obsiahnuté v analýze vplyvov na rozpočet verejnej správy.</w:t>
            </w:r>
          </w:p>
          <w:p w:rsidR="00BE49C6" w:rsidRPr="000F5EC4" w:rsidRDefault="006E7ECE" w:rsidP="006E7ECE">
            <w:pPr>
              <w:jc w:val="both"/>
              <w:rPr>
                <w:i/>
              </w:rPr>
            </w:pPr>
            <w:r w:rsidRPr="000F5EC4">
              <w:rPr>
                <w:i/>
              </w:rPr>
              <w:t xml:space="preserve"> </w:t>
            </w:r>
          </w:p>
          <w:p w:rsidR="006E7ECE" w:rsidRDefault="00FB559E" w:rsidP="004D4563">
            <w:pPr>
              <w:jc w:val="both"/>
            </w:pPr>
            <w:r w:rsidRPr="00FB559E">
              <w:t xml:space="preserve">Pozitívne sociálne vplyvy sa očakávajú v oblasti zvyšovania dostupnosti </w:t>
            </w:r>
            <w:r>
              <w:t xml:space="preserve">a udržateľnosti </w:t>
            </w:r>
            <w:r w:rsidRPr="00FB559E">
              <w:t>sociálnych služieb</w:t>
            </w:r>
            <w:r w:rsidR="009B46AB">
              <w:t xml:space="preserve"> v zariadeniach podmienených odkázanosťou</w:t>
            </w:r>
            <w:r>
              <w:t xml:space="preserve">. </w:t>
            </w:r>
            <w:r w:rsidRPr="00FB559E">
              <w:t xml:space="preserve"> </w:t>
            </w:r>
          </w:p>
          <w:p w:rsidR="00AD09D2" w:rsidRDefault="00AD09D2" w:rsidP="004D4563">
            <w:pPr>
              <w:jc w:val="both"/>
            </w:pPr>
          </w:p>
          <w:p w:rsidR="004D4563" w:rsidRPr="00FC3A25" w:rsidRDefault="004D4563" w:rsidP="004D4563">
            <w:pPr>
              <w:jc w:val="both"/>
            </w:pPr>
            <w:r w:rsidRPr="00FC3A25">
              <w:t>Návrh nebude mať vplyv na životné prostredie, vplyv na informatizáciu, podnikateľské prostredie</w:t>
            </w:r>
            <w:r w:rsidR="00FC3A25" w:rsidRPr="00FC3A25">
              <w:t xml:space="preserve">, </w:t>
            </w:r>
            <w:r w:rsidRPr="00FC3A25">
              <w:t xml:space="preserve">  </w:t>
            </w:r>
            <w:r w:rsidR="00FC3A25" w:rsidRPr="00FC3A25">
              <w:t xml:space="preserve">na manželstvo, rodičovstvo a rodinu, </w:t>
            </w:r>
            <w:r w:rsidRPr="00FC3A25">
              <w:t xml:space="preserve">ani vplyv na služby verejnej správy pre občana. </w:t>
            </w:r>
          </w:p>
          <w:p w:rsidR="00281225" w:rsidRDefault="00281225" w:rsidP="00FB559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Default="002D382C" w:rsidP="00517E50">
            <w:r>
              <w:rPr>
                <w:lang w:eastAsia="en-US"/>
              </w:rPr>
              <w:t xml:space="preserve">PhDr. Miroslav Cangár PhD., </w:t>
            </w:r>
            <w:r w:rsidR="00517E50" w:rsidRPr="00A203D0">
              <w:rPr>
                <w:lang w:eastAsia="en-US"/>
              </w:rPr>
              <w:t xml:space="preserve">riaditeľ </w:t>
            </w:r>
            <w:r w:rsidR="00517E50">
              <w:rPr>
                <w:lang w:eastAsia="en-US"/>
              </w:rPr>
              <w:t>o</w:t>
            </w:r>
            <w:r w:rsidR="00517E50" w:rsidRPr="00A203D0">
              <w:rPr>
                <w:lang w:eastAsia="en-US"/>
              </w:rPr>
              <w:t xml:space="preserve">dboru sociálnych služieb, Ministerstvo práce, sociálnych vecí a rodiny SR, </w:t>
            </w:r>
            <w:r>
              <w:rPr>
                <w:lang w:eastAsia="en-US"/>
              </w:rPr>
              <w:t>miroslav.cangar</w:t>
            </w:r>
            <w:r w:rsidR="00517E50" w:rsidRPr="00A203D0">
              <w:rPr>
                <w:lang w:eastAsia="en-US"/>
              </w:rPr>
              <w:t>@employment.gov.sk</w:t>
            </w:r>
            <w:r w:rsidR="00517E50" w:rsidRPr="00A203D0">
              <w:t xml:space="preserve">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Rezortné štatistické výkazníctvo o sociálnych  službách,</w:t>
            </w:r>
          </w:p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Centrálny register poskytovateľov sociálnych služieb,</w:t>
            </w:r>
          </w:p>
          <w:p w:rsidR="00FD4EBE" w:rsidRPr="00D3733C" w:rsidRDefault="00615CB5" w:rsidP="002D382C">
            <w:pPr>
              <w:jc w:val="both"/>
              <w:rPr>
                <w:rFonts w:ascii="Times" w:hAnsi="Times" w:cs="Times"/>
              </w:rPr>
            </w:pPr>
            <w:r w:rsidRPr="00D3733C">
              <w:rPr>
                <w:rFonts w:ascii="Times" w:hAnsi="Times" w:cs="Times"/>
              </w:rPr>
              <w:t xml:space="preserve">Vlastný informačný systém MPSVR SR zhromažďujúci údaje o poskytnutí finančného príspevku podľa § 71 ods. 6 a § 78a na </w:t>
            </w:r>
            <w:r w:rsidRPr="00243450">
              <w:rPr>
                <w:rFonts w:ascii="Times" w:hAnsi="Times" w:cs="Times"/>
              </w:rPr>
              <w:t>rozpočtový rok 20</w:t>
            </w:r>
            <w:r w:rsidR="00DF5398">
              <w:rPr>
                <w:rFonts w:ascii="Times" w:hAnsi="Times" w:cs="Times"/>
              </w:rPr>
              <w:t>2</w:t>
            </w:r>
            <w:r w:rsidR="002D382C">
              <w:rPr>
                <w:rFonts w:ascii="Times" w:hAnsi="Times" w:cs="Times"/>
              </w:rPr>
              <w:t>1</w:t>
            </w:r>
            <w:r w:rsidRPr="00243450">
              <w:rPr>
                <w:rFonts w:ascii="Times" w:hAnsi="Times" w:cs="Times"/>
              </w:rPr>
              <w:t>.</w:t>
            </w: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D63739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  <w:p w:rsidR="00D6655A" w:rsidRDefault="00D6655A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</w:p>
          <w:p w:rsidR="00D6655A" w:rsidRDefault="00D6655A" w:rsidP="00D6655A">
            <w:pPr>
              <w:pStyle w:val="Nadpis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20"/>
                <w:sz w:val="32"/>
              </w:rPr>
              <w:t>stanovisko komisie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6655A" w:rsidRDefault="00D6655A" w:rsidP="00D6655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D6655A" w:rsidRDefault="00D6655A" w:rsidP="00D6655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(K udeleniu výnimky z procesu)</w:t>
            </w:r>
          </w:p>
          <w:p w:rsidR="00D6655A" w:rsidRDefault="00D6655A" w:rsidP="00D6655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D6655A" w:rsidRDefault="00D6655A" w:rsidP="00D6655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k materiálu</w:t>
            </w:r>
          </w:p>
          <w:p w:rsidR="00D6655A" w:rsidRDefault="00D6655A" w:rsidP="00D6655A">
            <w:pPr>
              <w:ind w:right="-2"/>
              <w:jc w:val="both"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  <w:p w:rsidR="00D6655A" w:rsidRDefault="00D6655A" w:rsidP="00D6655A">
            <w:pPr>
              <w:pBdr>
                <w:bottom w:val="single" w:sz="4" w:space="1" w:color="000000"/>
              </w:pBdr>
              <w:ind w:right="-2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mallCaps/>
                <w:color w:val="000000"/>
                <w:sz w:val="22"/>
                <w:szCs w:val="22"/>
                <w:shd w:val="clear" w:color="auto" w:fill="FFFFFF"/>
              </w:rPr>
              <w:t>Nariadenie vlády Slovenskej republiky, ktorým sa ustanovuje výška finančného príspevku na poskytovanie sociálnej služby v zariadeniach sociálnych služieb pre fyzické osoby, ktoré sú odkázané na pomoc inej fyzickej osoby a pre fyzické osoby, ktoré dovŕšili vek potrebný na nárok na starobný dôchodok na rok 2022</w:t>
            </w:r>
          </w:p>
          <w:p w:rsidR="00D6655A" w:rsidRDefault="00D6655A" w:rsidP="00D6655A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D6655A" w:rsidRDefault="00D6655A" w:rsidP="00D6655A">
            <w:pPr>
              <w:jc w:val="both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I. Úvod: </w:t>
            </w:r>
            <w:r>
              <w:rPr>
                <w:rFonts w:ascii="Arial" w:hAnsi="Arial" w:cs="Arial"/>
                <w:bCs/>
                <w:szCs w:val="22"/>
              </w:rPr>
              <w:t xml:space="preserve">Ministerstvo práce, sociálnych vecí a rodiny SR dňa 10. mája 2021 </w:t>
            </w:r>
            <w:r>
              <w:rPr>
                <w:rFonts w:ascii="Arial" w:hAnsi="Arial" w:cs="Arial"/>
                <w:bCs/>
                <w:szCs w:val="22"/>
              </w:rPr>
              <w:lastRenderedPageBreak/>
              <w:t xml:space="preserve">predložilo Stálej pracovnej komisií na posudzovanie vybraných vplyvov (ďalej len „Komisia“) materiál </w:t>
            </w:r>
            <w:r>
              <w:rPr>
                <w:rFonts w:ascii="Arial" w:hAnsi="Arial" w:cs="Arial"/>
                <w:bCs/>
                <w:i/>
                <w:szCs w:val="22"/>
              </w:rPr>
              <w:t xml:space="preserve">"Nariadenie vlády Slovenskej republiky, ktorým sa ustanovuje výška finančného príspevku na poskytovanie sociálnej služby v zariadeniach sociálnych služieb pre fyzické osoby, ktoré sú odkázané na pomoc inej fyzickej osoby a pre fyzické osoby, ktoré dovŕšili vek potrebný na nárok na starobný dôchodok na rok 2022" </w:t>
            </w:r>
            <w:r>
              <w:rPr>
                <w:rFonts w:ascii="Arial" w:hAnsi="Arial" w:cs="Arial"/>
                <w:iCs/>
                <w:szCs w:val="22"/>
              </w:rPr>
              <w:t>spolu so žiadosťou o udelenie výnimky z procesu podľa bodu 2.6. Jednotnej metodiky na posudzovanie vybraných vplyvov, z dôvodu predloženia materiálu na skrátené MPK.</w:t>
            </w:r>
          </w:p>
          <w:p w:rsidR="00D6655A" w:rsidRDefault="00D6655A" w:rsidP="00D6655A">
            <w:pPr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Materiál predpokladá negatívne vplyvy na rozpočet verejnej správy, ktoré sú čiastočne rozpočtovo zabezpečené a pozitívne sociálne vplyvy.</w:t>
            </w:r>
          </w:p>
          <w:p w:rsidR="00D6655A" w:rsidRDefault="00D6655A" w:rsidP="00D6655A">
            <w:pPr>
              <w:jc w:val="both"/>
              <w:rPr>
                <w:rFonts w:ascii="Arial" w:hAnsi="Arial" w:cs="Arial"/>
                <w:bCs/>
                <w:color w:val="FF0000"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II. P</w:t>
            </w:r>
            <w:r>
              <w:rPr>
                <w:rFonts w:ascii="Arial" w:hAnsi="Arial" w:cs="Arial"/>
                <w:b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Cs w:val="22"/>
              </w:rPr>
              <w:t>ipomienky a návrhy zm</w:t>
            </w:r>
            <w:r>
              <w:rPr>
                <w:rFonts w:ascii="Arial" w:hAnsi="Arial" w:cs="Arial"/>
                <w:b/>
                <w:szCs w:val="22"/>
              </w:rPr>
              <w:t>ie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n: </w:t>
            </w:r>
            <w:r>
              <w:rPr>
                <w:rFonts w:ascii="Arial" w:hAnsi="Arial" w:cs="Arial"/>
                <w:bCs/>
                <w:szCs w:val="22"/>
              </w:rPr>
              <w:t>Komisia uplatňuje k materiálu nasledovné pripomienky a odporúčania:</w:t>
            </w: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 rozpočtu verejnej správy</w:t>
            </w: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Komisia upozorňuje, že z materiálu vyplýva rozpočtovo nekrytý vplyv na rozpočet verejnej správy v sume 14 306 251 eur ročne od roku 2022, pričom financovanie predmetných výdavkov nie je s Ministerstvom financií SR doteraz doriešené.</w:t>
            </w: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III. Záver: </w:t>
            </w:r>
            <w:r>
              <w:rPr>
                <w:rFonts w:ascii="Arial" w:hAnsi="Arial" w:cs="Arial"/>
                <w:bCs/>
                <w:szCs w:val="22"/>
              </w:rPr>
              <w:t xml:space="preserve">Stála pracovná komisia na posudzovanie vybraných vplyvov vyjadruje </w:t>
            </w: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súhlasné stanovisko</w:t>
            </w: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  <w:u w:val="single"/>
              </w:rPr>
              <w:t>k udeleniu výnimky pri uplatňovaní postupu podľa Jednotnej metodiky na posudzovanie vybraných vplyvov predmetnému materiálu</w:t>
            </w:r>
            <w:r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:rsidR="00D6655A" w:rsidRDefault="00D6655A" w:rsidP="00D6655A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D6655A" w:rsidRDefault="00D6655A" w:rsidP="00D6655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IV. Poznámka: </w:t>
            </w:r>
            <w:r>
              <w:rPr>
                <w:rFonts w:ascii="Arial" w:hAnsi="Arial" w:cs="Arial"/>
                <w:bCs/>
                <w:szCs w:val="22"/>
              </w:rPr>
              <w:t>Komisia si dovoľuje predkladateľovi pripomenúť, že výnimka pri uplatňovaní postupu podľa jednotnej metodiky znamená, že materiál nemusí prejsť štandardným procesom podľa Jednotnej metodiky na posudzovane vybraných vplyvov (nemusí sa uskutočniť: proces konzultácií, predbežného pripomienkového konania a proces záverečného posúdenia). Materiál však musí obsahovať potrebné náležitosti (doložku vybraných vplyvov a analýzy vplyvov).</w:t>
            </w:r>
          </w:p>
          <w:p w:rsidR="00E632CA" w:rsidRPr="00232E52" w:rsidRDefault="00E632CA" w:rsidP="00DF5398">
            <w:pPr>
              <w:tabs>
                <w:tab w:val="center" w:pos="6379"/>
              </w:tabs>
              <w:suppressAutoHyphens/>
              <w:ind w:right="-2"/>
              <w:jc w:val="both"/>
              <w:rPr>
                <w:rFonts w:eastAsia="Calibri"/>
              </w:rPr>
            </w:pPr>
          </w:p>
          <w:p w:rsidR="00D63739" w:rsidRDefault="00D63739" w:rsidP="00DF5398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D63739" w:rsidRDefault="00D63739" w:rsidP="00D63739">
      <w:pPr>
        <w:tabs>
          <w:tab w:val="center" w:pos="6379"/>
        </w:tabs>
        <w:suppressAutoHyphens/>
        <w:ind w:right="-2"/>
        <w:jc w:val="both"/>
        <w:rPr>
          <w:rFonts w:ascii="Arial" w:hAnsi="Arial" w:cs="Arial"/>
          <w:bCs/>
          <w:lang w:eastAsia="ar-SA"/>
        </w:rPr>
      </w:pPr>
    </w:p>
    <w:p w:rsidR="00D63739" w:rsidRDefault="00D63739" w:rsidP="00D63739">
      <w:pPr>
        <w:tabs>
          <w:tab w:val="center" w:pos="6379"/>
        </w:tabs>
        <w:suppressAutoHyphens/>
        <w:ind w:right="-2"/>
        <w:jc w:val="both"/>
        <w:rPr>
          <w:rFonts w:ascii="Arial" w:hAnsi="Arial" w:cs="Arial"/>
          <w:bCs/>
          <w:lang w:eastAsia="ar-SA"/>
        </w:rPr>
      </w:pPr>
    </w:p>
    <w:p w:rsidR="006931EC" w:rsidRPr="00D63739" w:rsidRDefault="006931EC" w:rsidP="00543B8E">
      <w:pPr>
        <w:pStyle w:val="Normlnywebov"/>
        <w:spacing w:before="0" w:beforeAutospacing="0" w:after="0" w:afterAutospacing="0"/>
      </w:pPr>
    </w:p>
    <w:sectPr w:rsidR="006931EC" w:rsidRPr="00D6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DC" w:rsidRDefault="009175DC">
      <w:r>
        <w:separator/>
      </w:r>
    </w:p>
  </w:endnote>
  <w:endnote w:type="continuationSeparator" w:id="0">
    <w:p w:rsidR="009175DC" w:rsidRDefault="0091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DC" w:rsidRDefault="009175DC">
      <w:r>
        <w:separator/>
      </w:r>
    </w:p>
  </w:footnote>
  <w:footnote w:type="continuationSeparator" w:id="0">
    <w:p w:rsidR="009175DC" w:rsidRDefault="0091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2FFB"/>
    <w:rsid w:val="000065A9"/>
    <w:rsid w:val="00007944"/>
    <w:rsid w:val="00012287"/>
    <w:rsid w:val="00017BF0"/>
    <w:rsid w:val="00021860"/>
    <w:rsid w:val="00031343"/>
    <w:rsid w:val="00032327"/>
    <w:rsid w:val="00035FFD"/>
    <w:rsid w:val="00036B8A"/>
    <w:rsid w:val="00037013"/>
    <w:rsid w:val="00037C3F"/>
    <w:rsid w:val="0004112D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4BC2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E1E"/>
    <w:rsid w:val="000B0731"/>
    <w:rsid w:val="000B0953"/>
    <w:rsid w:val="000B33F3"/>
    <w:rsid w:val="000B444D"/>
    <w:rsid w:val="000B5E23"/>
    <w:rsid w:val="000B6C31"/>
    <w:rsid w:val="000C12F5"/>
    <w:rsid w:val="000C27FB"/>
    <w:rsid w:val="000C6A00"/>
    <w:rsid w:val="000D0A24"/>
    <w:rsid w:val="000D0E54"/>
    <w:rsid w:val="000D1196"/>
    <w:rsid w:val="000D70C9"/>
    <w:rsid w:val="000D7A6C"/>
    <w:rsid w:val="000E00FA"/>
    <w:rsid w:val="000E0357"/>
    <w:rsid w:val="000E4061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5EC4"/>
    <w:rsid w:val="000F60AF"/>
    <w:rsid w:val="00102E44"/>
    <w:rsid w:val="00103117"/>
    <w:rsid w:val="0010543B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01F5"/>
    <w:rsid w:val="00136AFA"/>
    <w:rsid w:val="00137343"/>
    <w:rsid w:val="001401B4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BE3"/>
    <w:rsid w:val="00167EB4"/>
    <w:rsid w:val="0017502B"/>
    <w:rsid w:val="00175442"/>
    <w:rsid w:val="001773C6"/>
    <w:rsid w:val="0018252F"/>
    <w:rsid w:val="00186DEA"/>
    <w:rsid w:val="00197B3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39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E52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3450"/>
    <w:rsid w:val="00245FA9"/>
    <w:rsid w:val="00246C1E"/>
    <w:rsid w:val="002532E5"/>
    <w:rsid w:val="0025530A"/>
    <w:rsid w:val="002574A3"/>
    <w:rsid w:val="002607E8"/>
    <w:rsid w:val="002708EC"/>
    <w:rsid w:val="0027146B"/>
    <w:rsid w:val="00281225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0A05"/>
    <w:rsid w:val="002A5E2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382C"/>
    <w:rsid w:val="002D646B"/>
    <w:rsid w:val="002E40FB"/>
    <w:rsid w:val="002E4D4B"/>
    <w:rsid w:val="002E5846"/>
    <w:rsid w:val="002E6125"/>
    <w:rsid w:val="002E6729"/>
    <w:rsid w:val="002F3313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692D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05EB"/>
    <w:rsid w:val="003910C9"/>
    <w:rsid w:val="003915C2"/>
    <w:rsid w:val="0039265C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0E14"/>
    <w:rsid w:val="003D4CB7"/>
    <w:rsid w:val="003D4FA2"/>
    <w:rsid w:val="003D5A83"/>
    <w:rsid w:val="003D5F1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7100"/>
    <w:rsid w:val="00430749"/>
    <w:rsid w:val="004310D3"/>
    <w:rsid w:val="00432A7E"/>
    <w:rsid w:val="0043509F"/>
    <w:rsid w:val="00436035"/>
    <w:rsid w:val="00437EE9"/>
    <w:rsid w:val="004444B0"/>
    <w:rsid w:val="00444FBF"/>
    <w:rsid w:val="00445D2F"/>
    <w:rsid w:val="004472C8"/>
    <w:rsid w:val="00451BE9"/>
    <w:rsid w:val="00453AA1"/>
    <w:rsid w:val="004541DB"/>
    <w:rsid w:val="004554B0"/>
    <w:rsid w:val="00455EDD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4563"/>
    <w:rsid w:val="004D5A7E"/>
    <w:rsid w:val="004D6453"/>
    <w:rsid w:val="004E05FA"/>
    <w:rsid w:val="004F7808"/>
    <w:rsid w:val="005000B4"/>
    <w:rsid w:val="005007AB"/>
    <w:rsid w:val="00500C00"/>
    <w:rsid w:val="00501139"/>
    <w:rsid w:val="005055B4"/>
    <w:rsid w:val="005061D4"/>
    <w:rsid w:val="0050640D"/>
    <w:rsid w:val="00506849"/>
    <w:rsid w:val="00510909"/>
    <w:rsid w:val="00511ED1"/>
    <w:rsid w:val="00512358"/>
    <w:rsid w:val="0051538F"/>
    <w:rsid w:val="00517E50"/>
    <w:rsid w:val="005205B8"/>
    <w:rsid w:val="00521549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76C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4897"/>
    <w:rsid w:val="005E5741"/>
    <w:rsid w:val="005E5CAF"/>
    <w:rsid w:val="005E6925"/>
    <w:rsid w:val="005E7189"/>
    <w:rsid w:val="005F0AB4"/>
    <w:rsid w:val="005F1A92"/>
    <w:rsid w:val="005F3DF8"/>
    <w:rsid w:val="005F4EC1"/>
    <w:rsid w:val="005F664A"/>
    <w:rsid w:val="006031C2"/>
    <w:rsid w:val="00605BA4"/>
    <w:rsid w:val="00605C59"/>
    <w:rsid w:val="00614AE1"/>
    <w:rsid w:val="00615CB5"/>
    <w:rsid w:val="006220BB"/>
    <w:rsid w:val="006228E8"/>
    <w:rsid w:val="00622FF1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18D"/>
    <w:rsid w:val="006512E3"/>
    <w:rsid w:val="006516F7"/>
    <w:rsid w:val="00656031"/>
    <w:rsid w:val="00664475"/>
    <w:rsid w:val="00664B75"/>
    <w:rsid w:val="00665BFA"/>
    <w:rsid w:val="00667256"/>
    <w:rsid w:val="00672384"/>
    <w:rsid w:val="00672495"/>
    <w:rsid w:val="00673302"/>
    <w:rsid w:val="00675DAD"/>
    <w:rsid w:val="006773D0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B6F23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7ECE"/>
    <w:rsid w:val="006F06E6"/>
    <w:rsid w:val="006F0CFB"/>
    <w:rsid w:val="006F0DF0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07E7D"/>
    <w:rsid w:val="00711034"/>
    <w:rsid w:val="00715127"/>
    <w:rsid w:val="00715D3F"/>
    <w:rsid w:val="00716F76"/>
    <w:rsid w:val="007171F3"/>
    <w:rsid w:val="0071769F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579C1"/>
    <w:rsid w:val="0076023A"/>
    <w:rsid w:val="0076044E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735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25BB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DBA"/>
    <w:rsid w:val="00833838"/>
    <w:rsid w:val="00834969"/>
    <w:rsid w:val="00834F63"/>
    <w:rsid w:val="00835852"/>
    <w:rsid w:val="00837C28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5D3E"/>
    <w:rsid w:val="008706B1"/>
    <w:rsid w:val="00872071"/>
    <w:rsid w:val="00872B40"/>
    <w:rsid w:val="00875AC7"/>
    <w:rsid w:val="00876747"/>
    <w:rsid w:val="00876C18"/>
    <w:rsid w:val="00876DE0"/>
    <w:rsid w:val="00877812"/>
    <w:rsid w:val="008804B9"/>
    <w:rsid w:val="008827AC"/>
    <w:rsid w:val="008840C2"/>
    <w:rsid w:val="00886D54"/>
    <w:rsid w:val="008915A2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65E4"/>
    <w:rsid w:val="008C0D63"/>
    <w:rsid w:val="008C0E0C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07B"/>
    <w:rsid w:val="008E49BD"/>
    <w:rsid w:val="008E60BA"/>
    <w:rsid w:val="008E65BD"/>
    <w:rsid w:val="008F0893"/>
    <w:rsid w:val="008F2B41"/>
    <w:rsid w:val="008F3E3A"/>
    <w:rsid w:val="008F58DB"/>
    <w:rsid w:val="008F5A01"/>
    <w:rsid w:val="008F5EDC"/>
    <w:rsid w:val="00902C10"/>
    <w:rsid w:val="00906A48"/>
    <w:rsid w:val="0090789B"/>
    <w:rsid w:val="009149BA"/>
    <w:rsid w:val="0091637A"/>
    <w:rsid w:val="00916CAE"/>
    <w:rsid w:val="0091758A"/>
    <w:rsid w:val="009175DC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5B72"/>
    <w:rsid w:val="0096653D"/>
    <w:rsid w:val="00966672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46AB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D31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44CE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7DB"/>
    <w:rsid w:val="00A81D9D"/>
    <w:rsid w:val="00A8546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09D2"/>
    <w:rsid w:val="00AD1059"/>
    <w:rsid w:val="00AD2636"/>
    <w:rsid w:val="00AD2D31"/>
    <w:rsid w:val="00AD5977"/>
    <w:rsid w:val="00AD6A1C"/>
    <w:rsid w:val="00AD7255"/>
    <w:rsid w:val="00AE0EBD"/>
    <w:rsid w:val="00AE276C"/>
    <w:rsid w:val="00AE2F5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363"/>
    <w:rsid w:val="00B60BB8"/>
    <w:rsid w:val="00B6374E"/>
    <w:rsid w:val="00B63E64"/>
    <w:rsid w:val="00B67293"/>
    <w:rsid w:val="00B70E69"/>
    <w:rsid w:val="00B71812"/>
    <w:rsid w:val="00B72816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2387"/>
    <w:rsid w:val="00BC681F"/>
    <w:rsid w:val="00BC6888"/>
    <w:rsid w:val="00BC6B75"/>
    <w:rsid w:val="00BD7A52"/>
    <w:rsid w:val="00BE20C1"/>
    <w:rsid w:val="00BE49C6"/>
    <w:rsid w:val="00BF2483"/>
    <w:rsid w:val="00BF311D"/>
    <w:rsid w:val="00BF3ADC"/>
    <w:rsid w:val="00BF4C09"/>
    <w:rsid w:val="00BF5440"/>
    <w:rsid w:val="00C01643"/>
    <w:rsid w:val="00C02377"/>
    <w:rsid w:val="00C03AE7"/>
    <w:rsid w:val="00C03D2F"/>
    <w:rsid w:val="00C05EE0"/>
    <w:rsid w:val="00C06F54"/>
    <w:rsid w:val="00C071D0"/>
    <w:rsid w:val="00C1046D"/>
    <w:rsid w:val="00C10487"/>
    <w:rsid w:val="00C10718"/>
    <w:rsid w:val="00C113C0"/>
    <w:rsid w:val="00C15928"/>
    <w:rsid w:val="00C16EE9"/>
    <w:rsid w:val="00C243F2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16C8"/>
    <w:rsid w:val="00C557B3"/>
    <w:rsid w:val="00C55AC4"/>
    <w:rsid w:val="00C565A0"/>
    <w:rsid w:val="00C579E9"/>
    <w:rsid w:val="00C618B2"/>
    <w:rsid w:val="00C62E34"/>
    <w:rsid w:val="00C71476"/>
    <w:rsid w:val="00C72B0B"/>
    <w:rsid w:val="00C7516B"/>
    <w:rsid w:val="00C75C67"/>
    <w:rsid w:val="00C75DD0"/>
    <w:rsid w:val="00C83584"/>
    <w:rsid w:val="00C86FFC"/>
    <w:rsid w:val="00C952DB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C7D33"/>
    <w:rsid w:val="00CD3ED1"/>
    <w:rsid w:val="00CD7368"/>
    <w:rsid w:val="00CE07E4"/>
    <w:rsid w:val="00CE212E"/>
    <w:rsid w:val="00CE3A29"/>
    <w:rsid w:val="00CE5E05"/>
    <w:rsid w:val="00CF18ED"/>
    <w:rsid w:val="00CF43C8"/>
    <w:rsid w:val="00D0094D"/>
    <w:rsid w:val="00D0245F"/>
    <w:rsid w:val="00D03F32"/>
    <w:rsid w:val="00D04A1B"/>
    <w:rsid w:val="00D04D4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3733C"/>
    <w:rsid w:val="00D40AE4"/>
    <w:rsid w:val="00D42915"/>
    <w:rsid w:val="00D44332"/>
    <w:rsid w:val="00D47339"/>
    <w:rsid w:val="00D526CC"/>
    <w:rsid w:val="00D540F7"/>
    <w:rsid w:val="00D573C9"/>
    <w:rsid w:val="00D57CB2"/>
    <w:rsid w:val="00D61797"/>
    <w:rsid w:val="00D63739"/>
    <w:rsid w:val="00D6655A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59F1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5398"/>
    <w:rsid w:val="00E0022B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EF8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553"/>
    <w:rsid w:val="00E579E7"/>
    <w:rsid w:val="00E632CA"/>
    <w:rsid w:val="00E64414"/>
    <w:rsid w:val="00E716F7"/>
    <w:rsid w:val="00E82AF0"/>
    <w:rsid w:val="00E83979"/>
    <w:rsid w:val="00E83ACB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3D3A"/>
    <w:rsid w:val="00EC4518"/>
    <w:rsid w:val="00EC7638"/>
    <w:rsid w:val="00ED3330"/>
    <w:rsid w:val="00ED687A"/>
    <w:rsid w:val="00ED69CC"/>
    <w:rsid w:val="00ED7F90"/>
    <w:rsid w:val="00EE0A06"/>
    <w:rsid w:val="00EE3686"/>
    <w:rsid w:val="00EE62E7"/>
    <w:rsid w:val="00EE7B82"/>
    <w:rsid w:val="00EF0662"/>
    <w:rsid w:val="00EF11B7"/>
    <w:rsid w:val="00EF1C74"/>
    <w:rsid w:val="00EF1CF0"/>
    <w:rsid w:val="00EF21CF"/>
    <w:rsid w:val="00EF2876"/>
    <w:rsid w:val="00EF37FB"/>
    <w:rsid w:val="00EF6DFB"/>
    <w:rsid w:val="00EF7342"/>
    <w:rsid w:val="00EF7E83"/>
    <w:rsid w:val="00F0322F"/>
    <w:rsid w:val="00F0333A"/>
    <w:rsid w:val="00F06C32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BF7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4D2A"/>
    <w:rsid w:val="00F95AEC"/>
    <w:rsid w:val="00F9755D"/>
    <w:rsid w:val="00FA0463"/>
    <w:rsid w:val="00FA1DD2"/>
    <w:rsid w:val="00FA43E4"/>
    <w:rsid w:val="00FA786E"/>
    <w:rsid w:val="00FB1660"/>
    <w:rsid w:val="00FB559E"/>
    <w:rsid w:val="00FB6359"/>
    <w:rsid w:val="00FB7DC9"/>
    <w:rsid w:val="00FC0A10"/>
    <w:rsid w:val="00FC1719"/>
    <w:rsid w:val="00FC3A25"/>
    <w:rsid w:val="00FC496D"/>
    <w:rsid w:val="00FD04BD"/>
    <w:rsid w:val="00FD2978"/>
    <w:rsid w:val="00FD36F3"/>
    <w:rsid w:val="00FD4EBE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D6655A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D6655A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D6655A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D6655A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9.2017 14:13:14"/>
    <f:field ref="objchangedby" par="" text="Administrator, System"/>
    <f:field ref="objmodifiedat" par="" text="6.9.2017 14:13:1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1269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Bublišová Alexandra</cp:lastModifiedBy>
  <cp:revision>17</cp:revision>
  <cp:lastPrinted>2021-06-11T05:22:00Z</cp:lastPrinted>
  <dcterms:created xsi:type="dcterms:W3CDTF">2020-02-28T11:20:00Z</dcterms:created>
  <dcterms:modified xsi:type="dcterms:W3CDTF">2021-06-11T08:24:00Z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COO.2145.1000.3.2147779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6. 9. 2017</vt:lpwstr>
  </property>
</Properties>
</file>