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94C" w:rsidRPr="00990B09" w14:paraId="68756928" w14:textId="77777777" w:rsidTr="005E2D60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30225839" w14:textId="77777777" w:rsidR="005964BC" w:rsidRPr="00990B09" w:rsidRDefault="005964BC" w:rsidP="005E2D60">
            <w:pPr>
              <w:jc w:val="center"/>
              <w:rPr>
                <w:b/>
                <w:sz w:val="24"/>
              </w:rPr>
            </w:pPr>
            <w:bookmarkStart w:id="0" w:name="_GoBack"/>
            <w:r w:rsidRPr="00990B09">
              <w:rPr>
                <w:b/>
                <w:sz w:val="28"/>
              </w:rPr>
              <w:t xml:space="preserve">Analýza vplyvov na podnikateľské prostredie </w:t>
            </w:r>
          </w:p>
          <w:p w14:paraId="309F4060" w14:textId="77777777" w:rsidR="005964BC" w:rsidRPr="00990B09" w:rsidRDefault="005964BC" w:rsidP="005E2D60">
            <w:pPr>
              <w:jc w:val="center"/>
              <w:rPr>
                <w:b/>
              </w:rPr>
            </w:pPr>
            <w:r w:rsidRPr="00990B09">
              <w:rPr>
                <w:b/>
                <w:sz w:val="24"/>
              </w:rPr>
              <w:t>(vrátane testu MSP)</w:t>
            </w:r>
          </w:p>
        </w:tc>
      </w:tr>
      <w:bookmarkEnd w:id="0"/>
      <w:tr w:rsidR="006C294C" w:rsidRPr="00990B09" w14:paraId="48E59E18" w14:textId="77777777" w:rsidTr="005E2D60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7B500BE7" w14:textId="77777777" w:rsidR="005964BC" w:rsidRPr="00990B09" w:rsidRDefault="005964BC" w:rsidP="005E2D60">
            <w:pPr>
              <w:rPr>
                <w:b/>
                <w:sz w:val="24"/>
              </w:rPr>
            </w:pPr>
            <w:r w:rsidRPr="00990B09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6C294C" w:rsidRPr="00990B09" w14:paraId="594F2A57" w14:textId="77777777" w:rsidTr="005E2D60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6C294C" w:rsidRPr="00990B09" w14:paraId="44D697D7" w14:textId="77777777" w:rsidTr="005E2D60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BEEDE41" w14:textId="77777777" w:rsidR="005964BC" w:rsidRPr="00990B09" w:rsidRDefault="00D756EF" w:rsidP="005E2D60">
                      <w:pPr>
                        <w:jc w:val="center"/>
                      </w:pPr>
                      <w:r w:rsidRPr="00990B0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5D12DCC" w14:textId="77777777" w:rsidR="005964BC" w:rsidRPr="00990B09" w:rsidRDefault="005964BC" w:rsidP="005E2D60">
                  <w:pPr>
                    <w:rPr>
                      <w:b/>
                    </w:rPr>
                  </w:pPr>
                  <w:r w:rsidRPr="00990B09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6C294C" w:rsidRPr="00990B09" w14:paraId="6F11525A" w14:textId="77777777" w:rsidTr="005E2D60">
              <w:sdt>
                <w:sdt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78BFDCD" w14:textId="77777777" w:rsidR="005964BC" w:rsidRPr="00990B09" w:rsidRDefault="00D756EF" w:rsidP="005E2D60">
                      <w:pPr>
                        <w:jc w:val="center"/>
                      </w:pPr>
                      <w:r w:rsidRPr="00990B09"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094947D" w14:textId="77777777" w:rsidR="005964BC" w:rsidRPr="00990B09" w:rsidRDefault="005964BC" w:rsidP="005E2D60">
                  <w:pPr>
                    <w:rPr>
                      <w:b/>
                    </w:rPr>
                  </w:pPr>
                  <w:r w:rsidRPr="00990B09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6C294C" w:rsidRPr="00990B09" w14:paraId="6F96E6EF" w14:textId="77777777" w:rsidTr="005E2D60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69149D3" w14:textId="77777777" w:rsidR="005964BC" w:rsidRPr="00990B09" w:rsidRDefault="005964BC" w:rsidP="005E2D60">
                      <w:pPr>
                        <w:jc w:val="center"/>
                      </w:pPr>
                      <w:r w:rsidRPr="00990B09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EC9D256" w14:textId="77777777" w:rsidR="005964BC" w:rsidRPr="00990B09" w:rsidRDefault="005964BC" w:rsidP="005E2D60">
                  <w:r w:rsidRPr="00990B09">
                    <w:rPr>
                      <w:b/>
                    </w:rPr>
                    <w:t>na všetky kategórie podnikov</w:t>
                  </w:r>
                </w:p>
              </w:tc>
            </w:tr>
          </w:tbl>
          <w:p w14:paraId="0B2659C9" w14:textId="77777777" w:rsidR="005964BC" w:rsidRPr="00990B09" w:rsidRDefault="005964BC" w:rsidP="005E2D60">
            <w:pPr>
              <w:rPr>
                <w:b/>
              </w:rPr>
            </w:pPr>
          </w:p>
        </w:tc>
      </w:tr>
      <w:tr w:rsidR="006C294C" w:rsidRPr="00990B09" w14:paraId="6A9520C9" w14:textId="77777777" w:rsidTr="005E2D60">
        <w:tc>
          <w:tcPr>
            <w:tcW w:w="9212" w:type="dxa"/>
            <w:shd w:val="clear" w:color="auto" w:fill="D9D9D9" w:themeFill="background1" w:themeFillShade="D9"/>
          </w:tcPr>
          <w:p w14:paraId="4D183FE5" w14:textId="77777777" w:rsidR="005964BC" w:rsidRPr="00990B09" w:rsidRDefault="005964BC" w:rsidP="005E2D60">
            <w:pPr>
              <w:rPr>
                <w:b/>
                <w:sz w:val="24"/>
              </w:rPr>
            </w:pPr>
            <w:r w:rsidRPr="00990B09">
              <w:rPr>
                <w:b/>
                <w:sz w:val="24"/>
              </w:rPr>
              <w:t>3.1 Dotknuté podnikateľské subjekty</w:t>
            </w:r>
          </w:p>
          <w:p w14:paraId="36580A6F" w14:textId="77777777" w:rsidR="005964BC" w:rsidRPr="00990B09" w:rsidRDefault="005964BC" w:rsidP="005E2D60">
            <w:pPr>
              <w:ind w:left="284"/>
              <w:rPr>
                <w:b/>
              </w:rPr>
            </w:pPr>
            <w:r w:rsidRPr="00990B09">
              <w:rPr>
                <w:sz w:val="24"/>
              </w:rPr>
              <w:t xml:space="preserve"> - </w:t>
            </w:r>
            <w:r w:rsidRPr="00990B09">
              <w:rPr>
                <w:b/>
                <w:sz w:val="24"/>
              </w:rPr>
              <w:t>z toho MSP</w:t>
            </w:r>
          </w:p>
        </w:tc>
      </w:tr>
      <w:tr w:rsidR="006C294C" w:rsidRPr="00990B09" w14:paraId="32B49985" w14:textId="77777777" w:rsidTr="005E2D60">
        <w:tc>
          <w:tcPr>
            <w:tcW w:w="9212" w:type="dxa"/>
            <w:tcBorders>
              <w:bottom w:val="single" w:sz="4" w:space="0" w:color="auto"/>
            </w:tcBorders>
          </w:tcPr>
          <w:p w14:paraId="76179E66" w14:textId="77777777" w:rsidR="005964BC" w:rsidRPr="00990B09" w:rsidRDefault="005964BC" w:rsidP="005E2D60">
            <w:pPr>
              <w:rPr>
                <w:i/>
              </w:rPr>
            </w:pPr>
            <w:r w:rsidRPr="00990B09">
              <w:rPr>
                <w:i/>
              </w:rPr>
              <w:t>Uveďte, aké podnikateľské subjekty budú predkladaným návrhom ovplyvnené.</w:t>
            </w:r>
          </w:p>
          <w:p w14:paraId="0324B807" w14:textId="77777777" w:rsidR="005964BC" w:rsidRPr="00990B09" w:rsidRDefault="005964BC" w:rsidP="005E2D60">
            <w:pPr>
              <w:rPr>
                <w:i/>
              </w:rPr>
            </w:pPr>
            <w:r w:rsidRPr="00990B09">
              <w:rPr>
                <w:i/>
              </w:rPr>
              <w:t>Aký je ich počet?</w:t>
            </w:r>
          </w:p>
        </w:tc>
      </w:tr>
      <w:tr w:rsidR="006C294C" w:rsidRPr="00990B09" w14:paraId="3D08CF6D" w14:textId="77777777" w:rsidTr="005E2D60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557246E7" w14:textId="77777777" w:rsidR="005964BC" w:rsidRPr="00990B09" w:rsidRDefault="005964BC" w:rsidP="005E2D60">
            <w:pPr>
              <w:rPr>
                <w:i/>
              </w:rPr>
            </w:pPr>
          </w:p>
          <w:p w14:paraId="1C16F69E" w14:textId="2D7C190B" w:rsidR="004C032A" w:rsidRPr="00990B09" w:rsidRDefault="004C032A" w:rsidP="004C032A">
            <w:pPr>
              <w:jc w:val="both"/>
              <w:rPr>
                <w:sz w:val="22"/>
                <w:szCs w:val="22"/>
              </w:rPr>
            </w:pPr>
            <w:r w:rsidRPr="00990B09">
              <w:rPr>
                <w:sz w:val="22"/>
                <w:szCs w:val="22"/>
              </w:rPr>
              <w:t>Zmeny zákonov v článku I a </w:t>
            </w:r>
            <w:r w:rsidR="00FF06D9">
              <w:rPr>
                <w:sz w:val="22"/>
                <w:szCs w:val="22"/>
              </w:rPr>
              <w:t>s tým súvisiacich ostatných článkov</w:t>
            </w:r>
            <w:r w:rsidRPr="00990B09">
              <w:rPr>
                <w:sz w:val="22"/>
                <w:szCs w:val="22"/>
              </w:rPr>
              <w:t xml:space="preserve"> budú mať vplyvy na banky</w:t>
            </w:r>
            <w:r w:rsidR="000A0D7D" w:rsidRPr="00990B09">
              <w:rPr>
                <w:sz w:val="22"/>
                <w:szCs w:val="22"/>
              </w:rPr>
              <w:t xml:space="preserve">, ktoré </w:t>
            </w:r>
            <w:r w:rsidR="00955386" w:rsidRPr="00990B09">
              <w:rPr>
                <w:sz w:val="22"/>
                <w:szCs w:val="22"/>
              </w:rPr>
              <w:t>sú emitentmi</w:t>
            </w:r>
            <w:r w:rsidR="000A0D7D" w:rsidRPr="00990B09">
              <w:rPr>
                <w:sz w:val="22"/>
                <w:szCs w:val="22"/>
              </w:rPr>
              <w:t xml:space="preserve"> </w:t>
            </w:r>
            <w:r w:rsidR="00955386" w:rsidRPr="00990B09">
              <w:rPr>
                <w:sz w:val="22"/>
                <w:szCs w:val="22"/>
              </w:rPr>
              <w:t xml:space="preserve">krytých dlhopisov </w:t>
            </w:r>
            <w:r w:rsidRPr="00990B09">
              <w:rPr>
                <w:sz w:val="22"/>
                <w:szCs w:val="22"/>
              </w:rPr>
              <w:t xml:space="preserve">(počet </w:t>
            </w:r>
            <w:r w:rsidR="00A24D0C" w:rsidRPr="00990B09">
              <w:rPr>
                <w:sz w:val="22"/>
                <w:szCs w:val="22"/>
              </w:rPr>
              <w:t>4</w:t>
            </w:r>
            <w:r w:rsidRPr="00990B09">
              <w:rPr>
                <w:sz w:val="22"/>
                <w:szCs w:val="22"/>
              </w:rPr>
              <w:t xml:space="preserve">). </w:t>
            </w:r>
          </w:p>
          <w:p w14:paraId="2317C604" w14:textId="77777777" w:rsidR="004C032A" w:rsidRPr="00990B09" w:rsidRDefault="004C032A" w:rsidP="004C032A">
            <w:pPr>
              <w:rPr>
                <w:sz w:val="22"/>
                <w:szCs w:val="22"/>
              </w:rPr>
            </w:pPr>
          </w:p>
          <w:p w14:paraId="62143A2E" w14:textId="77777777" w:rsidR="005964BC" w:rsidRPr="00990B09" w:rsidRDefault="005964BC" w:rsidP="004C032A">
            <w:pPr>
              <w:ind w:left="284" w:hanging="142"/>
              <w:rPr>
                <w:i/>
              </w:rPr>
            </w:pPr>
          </w:p>
        </w:tc>
      </w:tr>
      <w:tr w:rsidR="006C294C" w:rsidRPr="00990B09" w14:paraId="3905C350" w14:textId="77777777" w:rsidTr="005E2D60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0A64D6" w14:textId="77777777" w:rsidR="005964BC" w:rsidRPr="00990B09" w:rsidRDefault="005964BC" w:rsidP="005E2D60">
            <w:pPr>
              <w:rPr>
                <w:b/>
                <w:sz w:val="24"/>
              </w:rPr>
            </w:pPr>
            <w:r w:rsidRPr="00990B09">
              <w:rPr>
                <w:b/>
                <w:sz w:val="24"/>
              </w:rPr>
              <w:t>3.2 Vyhodnotenie konzultácií</w:t>
            </w:r>
          </w:p>
          <w:p w14:paraId="27CB3039" w14:textId="77777777" w:rsidR="005964BC" w:rsidRPr="00990B09" w:rsidRDefault="005964BC" w:rsidP="005E2D60">
            <w:pPr>
              <w:rPr>
                <w:b/>
              </w:rPr>
            </w:pPr>
            <w:r w:rsidRPr="00990B09">
              <w:rPr>
                <w:sz w:val="24"/>
              </w:rPr>
              <w:t xml:space="preserve">       - </w:t>
            </w:r>
            <w:r w:rsidRPr="00990B09">
              <w:rPr>
                <w:b/>
                <w:sz w:val="24"/>
              </w:rPr>
              <w:t>z toho MSP</w:t>
            </w:r>
          </w:p>
        </w:tc>
      </w:tr>
      <w:tr w:rsidR="006C294C" w:rsidRPr="00990B09" w14:paraId="0999AA21" w14:textId="77777777" w:rsidTr="005E2D60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2D22AE47" w14:textId="77777777" w:rsidR="005964BC" w:rsidRPr="00990B09" w:rsidRDefault="005964BC" w:rsidP="005E2D60">
            <w:pPr>
              <w:rPr>
                <w:i/>
              </w:rPr>
            </w:pPr>
            <w:r w:rsidRPr="00990B09">
              <w:rPr>
                <w:i/>
              </w:rPr>
              <w:t>Uveďte, akou formou (verejné alebo cielené konzultácie a prečo) a s kým bol návrh konzultovaný.</w:t>
            </w:r>
          </w:p>
          <w:p w14:paraId="2684A7F2" w14:textId="77777777" w:rsidR="005964BC" w:rsidRPr="00990B09" w:rsidRDefault="005964BC" w:rsidP="005E2D60">
            <w:pPr>
              <w:rPr>
                <w:i/>
              </w:rPr>
            </w:pPr>
            <w:r w:rsidRPr="00990B09">
              <w:rPr>
                <w:i/>
              </w:rPr>
              <w:t>Ako dlho trvali konzultácie?</w:t>
            </w:r>
          </w:p>
          <w:p w14:paraId="4A2BB3B3" w14:textId="77777777" w:rsidR="005964BC" w:rsidRPr="00990B09" w:rsidRDefault="005964BC" w:rsidP="005E2D60">
            <w:pPr>
              <w:rPr>
                <w:i/>
              </w:rPr>
            </w:pPr>
            <w:r w:rsidRPr="00990B09">
              <w:rPr>
                <w:i/>
              </w:rPr>
              <w:t xml:space="preserve">Uveďte hlavné body konzultácií a výsledky konzultácií. </w:t>
            </w:r>
          </w:p>
        </w:tc>
      </w:tr>
      <w:tr w:rsidR="006C294C" w:rsidRPr="00990B09" w14:paraId="57C664D8" w14:textId="77777777" w:rsidTr="005E2D60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67206E21" w14:textId="77777777" w:rsidR="005964BC" w:rsidRPr="00990B09" w:rsidRDefault="005964BC" w:rsidP="005E2D60">
            <w:pPr>
              <w:jc w:val="both"/>
              <w:rPr>
                <w:i/>
                <w:sz w:val="22"/>
                <w:szCs w:val="22"/>
              </w:rPr>
            </w:pPr>
          </w:p>
          <w:p w14:paraId="622DE664" w14:textId="77777777" w:rsidR="005964BC" w:rsidRPr="00990B09" w:rsidRDefault="005964BC" w:rsidP="005E2D60">
            <w:pPr>
              <w:jc w:val="both"/>
              <w:rPr>
                <w:sz w:val="22"/>
                <w:szCs w:val="22"/>
              </w:rPr>
            </w:pPr>
            <w:r w:rsidRPr="00990B09">
              <w:rPr>
                <w:sz w:val="22"/>
                <w:szCs w:val="22"/>
              </w:rPr>
              <w:t xml:space="preserve">Predkladateľ </w:t>
            </w:r>
            <w:r w:rsidR="00E51B4F" w:rsidRPr="00990B09">
              <w:rPr>
                <w:sz w:val="22"/>
                <w:szCs w:val="22"/>
              </w:rPr>
              <w:t xml:space="preserve">požiadal </w:t>
            </w:r>
            <w:r w:rsidRPr="00990B09">
              <w:rPr>
                <w:sz w:val="22"/>
                <w:szCs w:val="22"/>
              </w:rPr>
              <w:t>v</w:t>
            </w:r>
            <w:r w:rsidR="00D0186C" w:rsidRPr="00990B09">
              <w:rPr>
                <w:sz w:val="22"/>
                <w:szCs w:val="22"/>
              </w:rPr>
              <w:t> </w:t>
            </w:r>
            <w:r w:rsidRPr="00990B09">
              <w:rPr>
                <w:sz w:val="22"/>
                <w:szCs w:val="22"/>
              </w:rPr>
              <w:t>súlade</w:t>
            </w:r>
            <w:r w:rsidR="00D0186C" w:rsidRPr="00990B09">
              <w:rPr>
                <w:sz w:val="22"/>
                <w:szCs w:val="22"/>
              </w:rPr>
              <w:t xml:space="preserve"> </w:t>
            </w:r>
            <w:r w:rsidRPr="00990B09">
              <w:rPr>
                <w:sz w:val="22"/>
                <w:szCs w:val="22"/>
              </w:rPr>
              <w:t>s bod</w:t>
            </w:r>
            <w:r w:rsidR="00D0186C" w:rsidRPr="00990B09">
              <w:rPr>
                <w:sz w:val="22"/>
                <w:szCs w:val="22"/>
              </w:rPr>
              <w:t>mi</w:t>
            </w:r>
            <w:r w:rsidRPr="00990B09">
              <w:rPr>
                <w:sz w:val="22"/>
                <w:szCs w:val="22"/>
              </w:rPr>
              <w:t xml:space="preserve"> </w:t>
            </w:r>
            <w:r w:rsidR="00D0186C" w:rsidRPr="00990B09">
              <w:rPr>
                <w:sz w:val="22"/>
                <w:szCs w:val="22"/>
              </w:rPr>
              <w:t xml:space="preserve">5.7 a </w:t>
            </w:r>
            <w:r w:rsidRPr="00990B09">
              <w:rPr>
                <w:sz w:val="22"/>
                <w:szCs w:val="22"/>
              </w:rPr>
              <w:t xml:space="preserve">5.8. Jednotnej metodiky na posudzovanie vybraných vplyvov </w:t>
            </w:r>
            <w:r w:rsidR="00E51B4F" w:rsidRPr="00990B09">
              <w:rPr>
                <w:sz w:val="22"/>
                <w:szCs w:val="22"/>
              </w:rPr>
              <w:t>(schválená uznesením vlády SR č. 24 zo 14. januára 2015 v znení uznesenia vlády SR č. 513 zo 16. septembra 2015 a uznesenia vlády SR č. 76 z 24. februára 2016)</w:t>
            </w:r>
            <w:r w:rsidR="00D0186C" w:rsidRPr="00990B09">
              <w:rPr>
                <w:sz w:val="22"/>
                <w:szCs w:val="22"/>
              </w:rPr>
              <w:t xml:space="preserve"> </w:t>
            </w:r>
            <w:r w:rsidRPr="00990B09">
              <w:rPr>
                <w:sz w:val="22"/>
                <w:szCs w:val="22"/>
              </w:rPr>
              <w:t>o</w:t>
            </w:r>
            <w:r w:rsidR="00E51B4F" w:rsidRPr="00990B09">
              <w:rPr>
                <w:sz w:val="22"/>
                <w:szCs w:val="22"/>
              </w:rPr>
              <w:t> </w:t>
            </w:r>
            <w:r w:rsidRPr="00990B09">
              <w:rPr>
                <w:sz w:val="22"/>
                <w:szCs w:val="22"/>
              </w:rPr>
              <w:t>konzultáci</w:t>
            </w:r>
            <w:r w:rsidR="00E51B4F" w:rsidRPr="00990B09">
              <w:rPr>
                <w:sz w:val="22"/>
                <w:szCs w:val="22"/>
              </w:rPr>
              <w:t xml:space="preserve">u </w:t>
            </w:r>
            <w:r w:rsidRPr="00990B09">
              <w:rPr>
                <w:sz w:val="22"/>
                <w:szCs w:val="22"/>
              </w:rPr>
              <w:t>legislatívne</w:t>
            </w:r>
            <w:r w:rsidR="00E51B4F" w:rsidRPr="00990B09">
              <w:rPr>
                <w:sz w:val="22"/>
                <w:szCs w:val="22"/>
              </w:rPr>
              <w:t>ho</w:t>
            </w:r>
            <w:r w:rsidRPr="00990B09">
              <w:rPr>
                <w:sz w:val="22"/>
                <w:szCs w:val="22"/>
              </w:rPr>
              <w:t xml:space="preserve"> návrhu zákona, ktorým sa mení a dopĺňa zákon č. 483/2001 Z. z. o bankách a o zmene a doplnení niektorých zákonov v znení neskorších predpisov a ktorým sa menia a dopĺňajú niektoré zákony</w:t>
            </w:r>
            <w:r w:rsidR="00E51B4F" w:rsidRPr="00990B09">
              <w:rPr>
                <w:sz w:val="22"/>
                <w:szCs w:val="22"/>
              </w:rPr>
              <w:t xml:space="preserve">, ku ktorému bola zverejnená predbežná </w:t>
            </w:r>
            <w:r w:rsidRPr="00990B09">
              <w:rPr>
                <w:sz w:val="22"/>
                <w:szCs w:val="22"/>
              </w:rPr>
              <w:t>informáci</w:t>
            </w:r>
            <w:r w:rsidR="00E51B4F" w:rsidRPr="00990B09">
              <w:rPr>
                <w:sz w:val="22"/>
                <w:szCs w:val="22"/>
              </w:rPr>
              <w:t>a</w:t>
            </w:r>
            <w:r w:rsidRPr="00990B09">
              <w:rPr>
                <w:sz w:val="22"/>
                <w:szCs w:val="22"/>
              </w:rPr>
              <w:t xml:space="preserve"> pod č. PI/2020/</w:t>
            </w:r>
            <w:r w:rsidR="00C900C3" w:rsidRPr="00990B09">
              <w:rPr>
                <w:sz w:val="22"/>
                <w:szCs w:val="22"/>
              </w:rPr>
              <w:t>214</w:t>
            </w:r>
            <w:r w:rsidR="00E51B4F" w:rsidRPr="00990B09">
              <w:rPr>
                <w:sz w:val="22"/>
                <w:szCs w:val="22"/>
              </w:rPr>
              <w:t>, v</w:t>
            </w:r>
            <w:r w:rsidRPr="00990B09">
              <w:rPr>
                <w:sz w:val="22"/>
                <w:szCs w:val="22"/>
              </w:rPr>
              <w:t xml:space="preserve"> rámci doby trvania konzultácie, ktorú sme navrhli od </w:t>
            </w:r>
            <w:r w:rsidR="00C900C3" w:rsidRPr="00990B09">
              <w:rPr>
                <w:sz w:val="22"/>
                <w:szCs w:val="22"/>
              </w:rPr>
              <w:t>5</w:t>
            </w:r>
            <w:r w:rsidRPr="00990B09">
              <w:rPr>
                <w:sz w:val="22"/>
                <w:szCs w:val="22"/>
              </w:rPr>
              <w:t xml:space="preserve">. </w:t>
            </w:r>
            <w:r w:rsidR="00C900C3" w:rsidRPr="00990B09">
              <w:rPr>
                <w:sz w:val="22"/>
                <w:szCs w:val="22"/>
              </w:rPr>
              <w:t>októbra</w:t>
            </w:r>
            <w:r w:rsidRPr="00990B09">
              <w:rPr>
                <w:sz w:val="22"/>
                <w:szCs w:val="22"/>
              </w:rPr>
              <w:t xml:space="preserve"> 2020 do </w:t>
            </w:r>
            <w:r w:rsidR="00C900C3" w:rsidRPr="00990B09">
              <w:rPr>
                <w:sz w:val="22"/>
                <w:szCs w:val="22"/>
              </w:rPr>
              <w:t>16. októbra</w:t>
            </w:r>
            <w:r w:rsidRPr="00990B09">
              <w:rPr>
                <w:sz w:val="22"/>
                <w:szCs w:val="22"/>
              </w:rPr>
              <w:t xml:space="preserve"> 2020. Išlo o 44 subjektov (združenia zástupcov podnikateľského prostredia vrátane bánk a</w:t>
            </w:r>
            <w:r w:rsidR="00D756EF" w:rsidRPr="00990B09">
              <w:rPr>
                <w:sz w:val="22"/>
                <w:szCs w:val="22"/>
              </w:rPr>
              <w:t> </w:t>
            </w:r>
            <w:r w:rsidRPr="00990B09">
              <w:rPr>
                <w:sz w:val="22"/>
                <w:szCs w:val="22"/>
              </w:rPr>
              <w:t xml:space="preserve">pobočiek zahraničných bánk). K predbežnej informácii </w:t>
            </w:r>
            <w:r w:rsidR="00C900C3" w:rsidRPr="00990B09">
              <w:rPr>
                <w:sz w:val="22"/>
                <w:szCs w:val="22"/>
              </w:rPr>
              <w:t xml:space="preserve">zverejnenej na portáli právnych predpisov </w:t>
            </w:r>
            <w:r w:rsidRPr="00990B09">
              <w:rPr>
                <w:sz w:val="22"/>
                <w:szCs w:val="22"/>
              </w:rPr>
              <w:t>sa nevyjadril žiadny subjekt, ani nikto nenamietal navrhovanú lehotu, ani neprejavil záujem o konzultáciu.</w:t>
            </w:r>
          </w:p>
          <w:p w14:paraId="15EC7494" w14:textId="77777777" w:rsidR="00E51B4F" w:rsidRPr="00990B09" w:rsidRDefault="00E51B4F" w:rsidP="005E2D60">
            <w:pPr>
              <w:jc w:val="both"/>
              <w:rPr>
                <w:i/>
              </w:rPr>
            </w:pPr>
            <w:r w:rsidRPr="00990B09">
              <w:rPr>
                <w:sz w:val="22"/>
                <w:szCs w:val="22"/>
              </w:rPr>
              <w:t xml:space="preserve">Počas prípravy </w:t>
            </w:r>
            <w:r w:rsidR="00346A4C" w:rsidRPr="00990B09">
              <w:rPr>
                <w:sz w:val="22"/>
                <w:szCs w:val="22"/>
              </w:rPr>
              <w:t xml:space="preserve">samotného </w:t>
            </w:r>
            <w:r w:rsidRPr="00990B09">
              <w:rPr>
                <w:sz w:val="22"/>
                <w:szCs w:val="22"/>
              </w:rPr>
              <w:t xml:space="preserve">návrhu zákona </w:t>
            </w:r>
            <w:r w:rsidR="00727630" w:rsidRPr="00990B09">
              <w:rPr>
                <w:sz w:val="22"/>
                <w:szCs w:val="22"/>
              </w:rPr>
              <w:t xml:space="preserve">prebiehala intenzívna diskusia, ktorej sa zúčastňovali zástupcovia Národnej banky Slovenska a zástupcovia bánk a Slovenskej bankovej asociácie. </w:t>
            </w:r>
          </w:p>
          <w:p w14:paraId="2B411AF9" w14:textId="77777777" w:rsidR="00E51B4F" w:rsidRPr="00990B09" w:rsidRDefault="00E51B4F" w:rsidP="005E2D60">
            <w:pPr>
              <w:jc w:val="both"/>
              <w:rPr>
                <w:i/>
              </w:rPr>
            </w:pPr>
          </w:p>
          <w:p w14:paraId="7BB487B0" w14:textId="77777777" w:rsidR="005964BC" w:rsidRPr="00990B09" w:rsidRDefault="005964BC" w:rsidP="005E2D60">
            <w:pPr>
              <w:rPr>
                <w:i/>
              </w:rPr>
            </w:pPr>
          </w:p>
        </w:tc>
      </w:tr>
      <w:tr w:rsidR="006C294C" w:rsidRPr="00990B09" w14:paraId="68A98C4F" w14:textId="77777777" w:rsidTr="005E2D60">
        <w:tc>
          <w:tcPr>
            <w:tcW w:w="9212" w:type="dxa"/>
            <w:shd w:val="clear" w:color="auto" w:fill="D9D9D9" w:themeFill="background1" w:themeFillShade="D9"/>
          </w:tcPr>
          <w:p w14:paraId="7117A0B0" w14:textId="77777777" w:rsidR="005964BC" w:rsidRPr="00990B09" w:rsidRDefault="005964BC" w:rsidP="005E2D60">
            <w:pPr>
              <w:rPr>
                <w:b/>
                <w:sz w:val="24"/>
              </w:rPr>
            </w:pPr>
            <w:r w:rsidRPr="00990B09">
              <w:rPr>
                <w:b/>
                <w:sz w:val="24"/>
              </w:rPr>
              <w:t>3.3 Náklady regulácie</w:t>
            </w:r>
          </w:p>
          <w:p w14:paraId="327C6132" w14:textId="77777777" w:rsidR="005964BC" w:rsidRPr="00990B09" w:rsidRDefault="005964BC" w:rsidP="005E2D60">
            <w:pPr>
              <w:rPr>
                <w:b/>
              </w:rPr>
            </w:pPr>
            <w:r w:rsidRPr="00990B09">
              <w:rPr>
                <w:sz w:val="24"/>
              </w:rPr>
              <w:t xml:space="preserve">      - </w:t>
            </w:r>
            <w:r w:rsidRPr="00990B09">
              <w:rPr>
                <w:b/>
                <w:sz w:val="24"/>
              </w:rPr>
              <w:t>z toho MSP</w:t>
            </w:r>
          </w:p>
        </w:tc>
      </w:tr>
      <w:tr w:rsidR="006C294C" w:rsidRPr="00990B09" w14:paraId="3B249519" w14:textId="77777777" w:rsidTr="005E2D60">
        <w:tc>
          <w:tcPr>
            <w:tcW w:w="9212" w:type="dxa"/>
            <w:tcBorders>
              <w:bottom w:val="single" w:sz="4" w:space="0" w:color="auto"/>
            </w:tcBorders>
          </w:tcPr>
          <w:p w14:paraId="4B78A809" w14:textId="77777777" w:rsidR="005964BC" w:rsidRPr="00990B09" w:rsidRDefault="005964BC" w:rsidP="005E2D60">
            <w:pPr>
              <w:rPr>
                <w:b/>
                <w:i/>
              </w:rPr>
            </w:pPr>
            <w:r w:rsidRPr="00990B09">
              <w:rPr>
                <w:b/>
                <w:i/>
              </w:rPr>
              <w:t>3.3.1 Priame finančné náklady</w:t>
            </w:r>
          </w:p>
          <w:p w14:paraId="6ED34C57" w14:textId="77777777" w:rsidR="005964BC" w:rsidRPr="00990B09" w:rsidRDefault="005964BC" w:rsidP="005E2D60">
            <w:pPr>
              <w:rPr>
                <w:i/>
              </w:rPr>
            </w:pPr>
            <w:r w:rsidRPr="00990B09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6C294C" w:rsidRPr="00990B09" w14:paraId="1A970718" w14:textId="77777777" w:rsidTr="005E2D60">
        <w:tc>
          <w:tcPr>
            <w:tcW w:w="9212" w:type="dxa"/>
            <w:tcBorders>
              <w:bottom w:val="single" w:sz="4" w:space="0" w:color="auto"/>
            </w:tcBorders>
          </w:tcPr>
          <w:p w14:paraId="0578C4B7" w14:textId="77777777" w:rsidR="005964BC" w:rsidRPr="00990B09" w:rsidRDefault="005964BC" w:rsidP="005E2D60">
            <w:pPr>
              <w:rPr>
                <w:b/>
                <w:i/>
              </w:rPr>
            </w:pPr>
          </w:p>
          <w:p w14:paraId="051F51CA" w14:textId="77777777" w:rsidR="005964BC" w:rsidRPr="00990B09" w:rsidRDefault="005964BC" w:rsidP="005E2D60">
            <w:pPr>
              <w:rPr>
                <w:b/>
                <w:i/>
              </w:rPr>
            </w:pPr>
          </w:p>
          <w:p w14:paraId="1D91536E" w14:textId="77777777" w:rsidR="005964BC" w:rsidRPr="00990B09" w:rsidRDefault="005964BC" w:rsidP="005E2D60">
            <w:pPr>
              <w:rPr>
                <w:sz w:val="22"/>
                <w:szCs w:val="22"/>
              </w:rPr>
            </w:pPr>
            <w:r w:rsidRPr="00990B09">
              <w:rPr>
                <w:sz w:val="22"/>
                <w:szCs w:val="22"/>
              </w:rPr>
              <w:t>Bez vplyvu.</w:t>
            </w:r>
          </w:p>
          <w:p w14:paraId="6B3A5A68" w14:textId="77777777" w:rsidR="005964BC" w:rsidRPr="00990B09" w:rsidRDefault="005964BC" w:rsidP="005E2D60">
            <w:pPr>
              <w:rPr>
                <w:sz w:val="22"/>
                <w:szCs w:val="22"/>
              </w:rPr>
            </w:pPr>
          </w:p>
          <w:p w14:paraId="38AB3181" w14:textId="77777777" w:rsidR="005964BC" w:rsidRPr="00990B09" w:rsidRDefault="005964BC" w:rsidP="005E2D60">
            <w:pPr>
              <w:rPr>
                <w:b/>
                <w:i/>
              </w:rPr>
            </w:pPr>
          </w:p>
        </w:tc>
      </w:tr>
      <w:tr w:rsidR="006C294C" w:rsidRPr="00990B09" w14:paraId="2A7064F0" w14:textId="77777777" w:rsidTr="005E2D60">
        <w:tc>
          <w:tcPr>
            <w:tcW w:w="9212" w:type="dxa"/>
            <w:tcBorders>
              <w:bottom w:val="single" w:sz="4" w:space="0" w:color="auto"/>
            </w:tcBorders>
          </w:tcPr>
          <w:p w14:paraId="2EF7E668" w14:textId="77777777" w:rsidR="005964BC" w:rsidRPr="00990B09" w:rsidRDefault="005964BC" w:rsidP="005E2D60">
            <w:pPr>
              <w:rPr>
                <w:b/>
                <w:i/>
              </w:rPr>
            </w:pPr>
            <w:r w:rsidRPr="00990B09">
              <w:rPr>
                <w:b/>
                <w:i/>
              </w:rPr>
              <w:t>3.3.2 Nepriame finančné náklady</w:t>
            </w:r>
          </w:p>
          <w:p w14:paraId="774EF094" w14:textId="77777777" w:rsidR="005964BC" w:rsidRPr="00990B09" w:rsidRDefault="005964BC" w:rsidP="005E2D60">
            <w:pPr>
              <w:rPr>
                <w:i/>
              </w:rPr>
            </w:pPr>
            <w:r w:rsidRPr="00990B09">
              <w:rPr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6C294C" w:rsidRPr="00990B09" w14:paraId="5F4E0B7B" w14:textId="77777777" w:rsidTr="005E2D60">
        <w:tc>
          <w:tcPr>
            <w:tcW w:w="9212" w:type="dxa"/>
            <w:tcBorders>
              <w:bottom w:val="single" w:sz="4" w:space="0" w:color="auto"/>
            </w:tcBorders>
          </w:tcPr>
          <w:p w14:paraId="34DD18BD" w14:textId="77777777" w:rsidR="005964BC" w:rsidRPr="00990B09" w:rsidRDefault="005964BC" w:rsidP="005E2D60">
            <w:pPr>
              <w:rPr>
                <w:b/>
                <w:i/>
                <w:sz w:val="22"/>
                <w:szCs w:val="22"/>
              </w:rPr>
            </w:pPr>
          </w:p>
          <w:p w14:paraId="6A44FBAC" w14:textId="77777777" w:rsidR="00C50100" w:rsidRPr="00990B09" w:rsidRDefault="00C50100" w:rsidP="00C50100">
            <w:pPr>
              <w:jc w:val="both"/>
              <w:rPr>
                <w:sz w:val="22"/>
                <w:szCs w:val="22"/>
              </w:rPr>
            </w:pPr>
            <w:r w:rsidRPr="00990B09">
              <w:rPr>
                <w:sz w:val="22"/>
                <w:szCs w:val="22"/>
              </w:rPr>
              <w:t xml:space="preserve">Navrhovaná právna úprava by mala mať prevažne pozitívny dopad na podnikateľské prostredie, najmä vďaka zvýšeniu dôvery investorov, čím sa zlepší prístupu k financovaniu úverov zabezpečených nehnuteľnosťami prostredníctvom vydávania krytých dlhopisov bankami. Tieto </w:t>
            </w:r>
            <w:r w:rsidRPr="00990B09">
              <w:rPr>
                <w:sz w:val="22"/>
                <w:szCs w:val="22"/>
              </w:rPr>
              <w:lastRenderedPageBreak/>
              <w:t>dopady však nie je možné vyčísliť, pretože závisia aj od rozhodnutí konkrétnej banky v závislosti od charakteru a rozsahu jej činností.</w:t>
            </w:r>
          </w:p>
          <w:p w14:paraId="7377F16A" w14:textId="77777777" w:rsidR="00C50100" w:rsidRPr="00990B09" w:rsidRDefault="00C50100" w:rsidP="00C50100">
            <w:pPr>
              <w:jc w:val="both"/>
              <w:rPr>
                <w:sz w:val="22"/>
                <w:szCs w:val="22"/>
              </w:rPr>
            </w:pPr>
          </w:p>
          <w:p w14:paraId="4009D05E" w14:textId="677F874F" w:rsidR="00C50100" w:rsidRDefault="00C50100" w:rsidP="00C50100">
            <w:pPr>
              <w:jc w:val="both"/>
              <w:rPr>
                <w:sz w:val="22"/>
                <w:szCs w:val="22"/>
              </w:rPr>
            </w:pPr>
            <w:r w:rsidRPr="00990B09">
              <w:rPr>
                <w:sz w:val="22"/>
                <w:szCs w:val="22"/>
              </w:rPr>
              <w:t xml:space="preserve">Zvýšenie záťaže budú predstavovať povinnosti v oblasti transparentnosti a splnenia povinností pri vydávaní krytých dlhopisov, pričom tieto povinnosti plynú </w:t>
            </w:r>
            <w:r w:rsidR="00F74AFF" w:rsidRPr="00990B09">
              <w:rPr>
                <w:sz w:val="22"/>
                <w:szCs w:val="22"/>
              </w:rPr>
              <w:t>vo väčšej miere už zo v súčasnosti platných predpisov a čiastočne </w:t>
            </w:r>
            <w:r w:rsidRPr="00990B09">
              <w:rPr>
                <w:sz w:val="22"/>
                <w:szCs w:val="22"/>
              </w:rPr>
              <w:t>z európskej legislatívy</w:t>
            </w:r>
            <w:r w:rsidR="00F74AFF" w:rsidRPr="00990B09">
              <w:rPr>
                <w:sz w:val="22"/>
                <w:szCs w:val="22"/>
              </w:rPr>
              <w:t>, ktorá je predmetom transpozície</w:t>
            </w:r>
            <w:r w:rsidRPr="00990B09">
              <w:rPr>
                <w:sz w:val="22"/>
                <w:szCs w:val="22"/>
              </w:rPr>
              <w:t xml:space="preserve"> a budú sa vzťahovať len na banky, ktoré budú vydávať kryté dlhopisy. </w:t>
            </w:r>
            <w:r w:rsidR="00903DE0" w:rsidRPr="00785D19">
              <w:rPr>
                <w:sz w:val="22"/>
                <w:szCs w:val="22"/>
              </w:rPr>
              <w:t xml:space="preserve">Tieto dopady taktiež nie je možné </w:t>
            </w:r>
            <w:r w:rsidR="00903DE0">
              <w:rPr>
                <w:sz w:val="22"/>
                <w:szCs w:val="22"/>
              </w:rPr>
              <w:t xml:space="preserve">úplne </w:t>
            </w:r>
            <w:r w:rsidR="00903DE0" w:rsidRPr="00785D19">
              <w:rPr>
                <w:sz w:val="22"/>
                <w:szCs w:val="22"/>
              </w:rPr>
              <w:t>presne kvantifikovať</w:t>
            </w:r>
            <w:r w:rsidR="00903DE0">
              <w:rPr>
                <w:sz w:val="22"/>
                <w:szCs w:val="22"/>
              </w:rPr>
              <w:t>, nakoľko ich presné vyčíslenie závisí od interných postupov alebo systémov banky</w:t>
            </w:r>
            <w:r w:rsidR="00903DE0" w:rsidRPr="00785D19">
              <w:rPr>
                <w:sz w:val="22"/>
                <w:szCs w:val="22"/>
              </w:rPr>
              <w:t>.</w:t>
            </w:r>
          </w:p>
          <w:p w14:paraId="2276BFBD" w14:textId="77777777" w:rsidR="00903DE0" w:rsidRPr="00990B09" w:rsidRDefault="00903DE0" w:rsidP="00C50100">
            <w:pPr>
              <w:jc w:val="both"/>
              <w:rPr>
                <w:sz w:val="22"/>
                <w:szCs w:val="22"/>
              </w:rPr>
            </w:pPr>
          </w:p>
          <w:p w14:paraId="538B8C5A" w14:textId="77777777" w:rsidR="00C50100" w:rsidRPr="00990B09" w:rsidRDefault="00C50100" w:rsidP="00C50100">
            <w:pPr>
              <w:jc w:val="both"/>
              <w:rPr>
                <w:sz w:val="22"/>
                <w:szCs w:val="22"/>
              </w:rPr>
            </w:pPr>
            <w:r w:rsidRPr="00990B09">
              <w:rPr>
                <w:sz w:val="22"/>
                <w:szCs w:val="22"/>
              </w:rPr>
              <w:t>Na základe vyššie uvedených dôvodov nie je možné jednoznačne určiť a kvantifikovať, ktoré vplyvy (pozitívne alebo negatívne) na podnikateľské prostredie prevládajú.</w:t>
            </w:r>
          </w:p>
          <w:p w14:paraId="39E9F44D" w14:textId="77777777" w:rsidR="005964BC" w:rsidRPr="00990B09" w:rsidRDefault="005964BC" w:rsidP="005E2D60">
            <w:pPr>
              <w:rPr>
                <w:b/>
                <w:i/>
              </w:rPr>
            </w:pPr>
          </w:p>
        </w:tc>
      </w:tr>
      <w:tr w:rsidR="006C294C" w:rsidRPr="00990B09" w14:paraId="7AD93C98" w14:textId="77777777" w:rsidTr="005E2D60">
        <w:tc>
          <w:tcPr>
            <w:tcW w:w="9212" w:type="dxa"/>
            <w:tcBorders>
              <w:bottom w:val="single" w:sz="4" w:space="0" w:color="auto"/>
            </w:tcBorders>
          </w:tcPr>
          <w:p w14:paraId="501B61E6" w14:textId="77777777" w:rsidR="005964BC" w:rsidRPr="00990B09" w:rsidRDefault="005964BC" w:rsidP="005E2D60">
            <w:pPr>
              <w:rPr>
                <w:b/>
                <w:i/>
              </w:rPr>
            </w:pPr>
            <w:r w:rsidRPr="00990B09">
              <w:rPr>
                <w:b/>
                <w:i/>
              </w:rPr>
              <w:lastRenderedPageBreak/>
              <w:t>3.3.3 Administratívne náklady</w:t>
            </w:r>
          </w:p>
          <w:p w14:paraId="458783D4" w14:textId="77777777" w:rsidR="005964BC" w:rsidRPr="00990B09" w:rsidRDefault="005964BC" w:rsidP="005E2D60">
            <w:pPr>
              <w:rPr>
                <w:i/>
              </w:rPr>
            </w:pPr>
            <w:r w:rsidRPr="00990B09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6C294C" w:rsidRPr="00990B09" w14:paraId="55C2FA92" w14:textId="77777777" w:rsidTr="005E2D60">
        <w:tc>
          <w:tcPr>
            <w:tcW w:w="9212" w:type="dxa"/>
            <w:tcBorders>
              <w:bottom w:val="single" w:sz="4" w:space="0" w:color="auto"/>
            </w:tcBorders>
          </w:tcPr>
          <w:p w14:paraId="6AB703F5" w14:textId="77777777" w:rsidR="00C50100" w:rsidRPr="00990B09" w:rsidRDefault="00C50100" w:rsidP="00C50100"/>
          <w:p w14:paraId="51AC047B" w14:textId="1D9813F7" w:rsidR="00F74AFF" w:rsidRPr="00990B09" w:rsidRDefault="00F74AFF" w:rsidP="00340155">
            <w:pPr>
              <w:jc w:val="both"/>
              <w:rPr>
                <w:sz w:val="22"/>
                <w:szCs w:val="22"/>
              </w:rPr>
            </w:pPr>
            <w:r w:rsidRPr="00990B09">
              <w:rPr>
                <w:sz w:val="22"/>
                <w:szCs w:val="22"/>
              </w:rPr>
              <w:t>Administratívne náklady je ťažké kvantifikovať, nakoľko podrobnosti o rozsahu predkladaných informácií a hlásení sa môžu do veľkej miery určiť opatrením, ktoré vydá Národná banka Slovenska a ktoré sa vyhlasuje v zbierke zákonov. Napriek tomu uvádzame výpočet minimálnych odhadovaných administratívnych nákladov, ktoré bankám, ktoré emitujú kryté dlhopisy, pravdepodobne implementáciou návrhu zákona vzniknú.</w:t>
            </w:r>
          </w:p>
          <w:p w14:paraId="06F65AA1" w14:textId="7F03F49F" w:rsidR="00340155" w:rsidRPr="00990B09" w:rsidRDefault="00340155" w:rsidP="007E1CE3">
            <w:pPr>
              <w:rPr>
                <w:sz w:val="22"/>
                <w:szCs w:val="22"/>
              </w:rPr>
            </w:pPr>
          </w:p>
          <w:p w14:paraId="3D4B0352" w14:textId="0416B03C" w:rsidR="00191BA0" w:rsidRPr="00990B09" w:rsidRDefault="00C50100" w:rsidP="005E2D60">
            <w:pPr>
              <w:rPr>
                <w:sz w:val="22"/>
                <w:szCs w:val="22"/>
              </w:rPr>
            </w:pPr>
            <w:r w:rsidRPr="00990B09">
              <w:rPr>
                <w:sz w:val="22"/>
                <w:szCs w:val="22"/>
              </w:rPr>
              <w:t>V tejto súvislosti je potrebné uviesť, že bankám, ktoré sú emitentmi krytých dlhopisov, ani hypotekárnym bankám, ktoré vedú register hypoték, nevznikajú žiadne nové administratívne náklady v súvislosti s vedením registra krytých dlhopisov</w:t>
            </w:r>
            <w:r w:rsidR="00113BCD" w:rsidRPr="00990B09">
              <w:rPr>
                <w:sz w:val="22"/>
                <w:szCs w:val="22"/>
              </w:rPr>
              <w:t>,</w:t>
            </w:r>
            <w:r w:rsidRPr="00990B09">
              <w:rPr>
                <w:sz w:val="22"/>
                <w:szCs w:val="22"/>
              </w:rPr>
              <w:t xml:space="preserve"> ani </w:t>
            </w:r>
            <w:r w:rsidR="00113BCD" w:rsidRPr="00990B09">
              <w:rPr>
                <w:sz w:val="22"/>
                <w:szCs w:val="22"/>
              </w:rPr>
              <w:t>so správou o krytých dlhopisoch</w:t>
            </w:r>
            <w:r w:rsidRPr="00990B09">
              <w:rPr>
                <w:sz w:val="22"/>
                <w:szCs w:val="22"/>
              </w:rPr>
              <w:t>.</w:t>
            </w:r>
          </w:p>
          <w:p w14:paraId="3ED39334" w14:textId="77777777" w:rsidR="005964BC" w:rsidRPr="00990B09" w:rsidRDefault="005964BC" w:rsidP="005E2D60">
            <w:pPr>
              <w:rPr>
                <w:b/>
                <w:i/>
              </w:rPr>
            </w:pPr>
          </w:p>
        </w:tc>
      </w:tr>
      <w:tr w:rsidR="006C294C" w:rsidRPr="00990B09" w14:paraId="4F93FA21" w14:textId="77777777" w:rsidTr="005E2D60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34139439" w14:textId="77777777" w:rsidR="005964BC" w:rsidRPr="00990B09" w:rsidRDefault="005964BC" w:rsidP="005E2D60">
            <w:pPr>
              <w:rPr>
                <w:i/>
              </w:rPr>
            </w:pPr>
            <w:r w:rsidRPr="00990B09">
              <w:rPr>
                <w:b/>
                <w:i/>
              </w:rPr>
              <w:t>3.3.4 Súhrnná tabuľka nákladov regulácie</w:t>
            </w:r>
          </w:p>
          <w:p w14:paraId="6E2A18BC" w14:textId="77777777" w:rsidR="005964BC" w:rsidRPr="00990B09" w:rsidRDefault="005964BC" w:rsidP="005E2D60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6C294C" w:rsidRPr="00990B09" w14:paraId="7644A406" w14:textId="77777777" w:rsidTr="005E2D60">
              <w:tc>
                <w:tcPr>
                  <w:tcW w:w="2993" w:type="dxa"/>
                </w:tcPr>
                <w:p w14:paraId="6003CFD1" w14:textId="77777777" w:rsidR="005964BC" w:rsidRPr="00990B09" w:rsidRDefault="005964BC" w:rsidP="005E2D60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0D4877F2" w14:textId="77777777" w:rsidR="005964BC" w:rsidRPr="00990B09" w:rsidRDefault="005964BC" w:rsidP="005E2D60">
                  <w:pPr>
                    <w:jc w:val="center"/>
                    <w:rPr>
                      <w:i/>
                    </w:rPr>
                  </w:pPr>
                  <w:r w:rsidRPr="00990B09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302E2B6C" w14:textId="77777777" w:rsidR="005964BC" w:rsidRPr="00990B09" w:rsidRDefault="005964BC" w:rsidP="005E2D60">
                  <w:pPr>
                    <w:jc w:val="center"/>
                    <w:rPr>
                      <w:i/>
                    </w:rPr>
                  </w:pPr>
                  <w:r w:rsidRPr="00990B09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6C294C" w:rsidRPr="00990B09" w14:paraId="3BF3BD49" w14:textId="77777777" w:rsidTr="005E2D60">
              <w:tc>
                <w:tcPr>
                  <w:tcW w:w="2993" w:type="dxa"/>
                </w:tcPr>
                <w:p w14:paraId="4255798F" w14:textId="77777777" w:rsidR="005964BC" w:rsidRPr="00990B09" w:rsidRDefault="005964BC" w:rsidP="005E2D60">
                  <w:pPr>
                    <w:rPr>
                      <w:i/>
                    </w:rPr>
                  </w:pPr>
                  <w:r w:rsidRPr="00990B09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642534B2" w14:textId="77777777" w:rsidR="005964BC" w:rsidRPr="00990B09" w:rsidRDefault="005964BC" w:rsidP="005E2D60">
                  <w:pPr>
                    <w:jc w:val="center"/>
                    <w:rPr>
                      <w:i/>
                    </w:rPr>
                  </w:pPr>
                  <w:r w:rsidRPr="00990B09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02637107" w14:textId="77777777" w:rsidR="005964BC" w:rsidRPr="00990B09" w:rsidRDefault="005964BC" w:rsidP="005E2D60">
                  <w:pPr>
                    <w:jc w:val="center"/>
                    <w:rPr>
                      <w:i/>
                    </w:rPr>
                  </w:pPr>
                  <w:r w:rsidRPr="00990B09">
                    <w:rPr>
                      <w:i/>
                    </w:rPr>
                    <w:t>0</w:t>
                  </w:r>
                </w:p>
              </w:tc>
            </w:tr>
            <w:tr w:rsidR="006C294C" w:rsidRPr="00990B09" w14:paraId="137C03BB" w14:textId="77777777" w:rsidTr="005E2D60">
              <w:tc>
                <w:tcPr>
                  <w:tcW w:w="2993" w:type="dxa"/>
                </w:tcPr>
                <w:p w14:paraId="10B165A7" w14:textId="77777777" w:rsidR="005964BC" w:rsidRPr="00990B09" w:rsidRDefault="005964BC" w:rsidP="005E2D60">
                  <w:pPr>
                    <w:rPr>
                      <w:i/>
                    </w:rPr>
                  </w:pPr>
                  <w:r w:rsidRPr="00990B09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009570C4" w14:textId="77777777" w:rsidR="005964BC" w:rsidRPr="00990B09" w:rsidRDefault="005964BC" w:rsidP="005E2D60">
                  <w:pPr>
                    <w:jc w:val="center"/>
                    <w:rPr>
                      <w:i/>
                    </w:rPr>
                  </w:pPr>
                  <w:r w:rsidRPr="00990B09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0013D26B" w14:textId="77777777" w:rsidR="005964BC" w:rsidRPr="00990B09" w:rsidRDefault="005964BC" w:rsidP="005E2D60">
                  <w:pPr>
                    <w:jc w:val="center"/>
                    <w:rPr>
                      <w:i/>
                    </w:rPr>
                  </w:pPr>
                  <w:r w:rsidRPr="00990B09">
                    <w:rPr>
                      <w:i/>
                    </w:rPr>
                    <w:t>0</w:t>
                  </w:r>
                </w:p>
              </w:tc>
            </w:tr>
            <w:tr w:rsidR="006C294C" w:rsidRPr="00990B09" w14:paraId="34FF597E" w14:textId="77777777" w:rsidTr="005E2D60">
              <w:tc>
                <w:tcPr>
                  <w:tcW w:w="2993" w:type="dxa"/>
                </w:tcPr>
                <w:p w14:paraId="17A7C608" w14:textId="77777777" w:rsidR="005964BC" w:rsidRPr="00990B09" w:rsidRDefault="005964BC" w:rsidP="005E2D60">
                  <w:pPr>
                    <w:rPr>
                      <w:i/>
                    </w:rPr>
                  </w:pPr>
                  <w:r w:rsidRPr="00990B09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1A64EAE2" w14:textId="66092430" w:rsidR="005964BC" w:rsidRPr="00990B09" w:rsidRDefault="00F74AFF" w:rsidP="005E2D60">
                  <w:pPr>
                    <w:jc w:val="center"/>
                    <w:rPr>
                      <w:i/>
                    </w:rPr>
                  </w:pPr>
                  <w:r w:rsidRPr="00990B09">
                    <w:rPr>
                      <w:i/>
                    </w:rPr>
                    <w:t>51</w:t>
                  </w:r>
                </w:p>
              </w:tc>
              <w:tc>
                <w:tcPr>
                  <w:tcW w:w="2994" w:type="dxa"/>
                </w:tcPr>
                <w:p w14:paraId="2C939672" w14:textId="5D2CE806" w:rsidR="005964BC" w:rsidRPr="00990B09" w:rsidRDefault="00F74AFF" w:rsidP="005E2D60">
                  <w:pPr>
                    <w:jc w:val="center"/>
                    <w:rPr>
                      <w:i/>
                    </w:rPr>
                  </w:pPr>
                  <w:r w:rsidRPr="00990B09">
                    <w:rPr>
                      <w:i/>
                    </w:rPr>
                    <w:t>204</w:t>
                  </w:r>
                </w:p>
              </w:tc>
            </w:tr>
            <w:tr w:rsidR="006C294C" w:rsidRPr="00990B09" w14:paraId="5568B024" w14:textId="77777777" w:rsidTr="005E2D60">
              <w:tc>
                <w:tcPr>
                  <w:tcW w:w="2993" w:type="dxa"/>
                </w:tcPr>
                <w:p w14:paraId="43190260" w14:textId="77777777" w:rsidR="005964BC" w:rsidRPr="00990B09" w:rsidRDefault="005964BC" w:rsidP="005E2D60">
                  <w:pPr>
                    <w:rPr>
                      <w:b/>
                      <w:i/>
                    </w:rPr>
                  </w:pPr>
                  <w:r w:rsidRPr="00990B09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317D0148" w14:textId="1C551D7F" w:rsidR="005964BC" w:rsidRPr="00990B09" w:rsidRDefault="00F74AFF" w:rsidP="005E2D60">
                  <w:pPr>
                    <w:jc w:val="center"/>
                    <w:rPr>
                      <w:b/>
                      <w:i/>
                    </w:rPr>
                  </w:pPr>
                  <w:r w:rsidRPr="00990B09">
                    <w:rPr>
                      <w:b/>
                      <w:i/>
                    </w:rPr>
                    <w:t>51</w:t>
                  </w:r>
                </w:p>
              </w:tc>
              <w:tc>
                <w:tcPr>
                  <w:tcW w:w="2994" w:type="dxa"/>
                </w:tcPr>
                <w:p w14:paraId="23A6E9EB" w14:textId="0859436B" w:rsidR="005964BC" w:rsidRPr="00990B09" w:rsidRDefault="00F74AFF" w:rsidP="005E2D60">
                  <w:pPr>
                    <w:jc w:val="center"/>
                    <w:rPr>
                      <w:b/>
                      <w:i/>
                    </w:rPr>
                  </w:pPr>
                  <w:r w:rsidRPr="00990B09">
                    <w:rPr>
                      <w:b/>
                      <w:i/>
                    </w:rPr>
                    <w:t>204</w:t>
                  </w:r>
                </w:p>
              </w:tc>
            </w:tr>
          </w:tbl>
          <w:p w14:paraId="2C3A31C4" w14:textId="77777777" w:rsidR="005964BC" w:rsidRPr="00990B09" w:rsidRDefault="005964BC" w:rsidP="005E2D60">
            <w:pPr>
              <w:rPr>
                <w:i/>
              </w:rPr>
            </w:pPr>
          </w:p>
        </w:tc>
      </w:tr>
      <w:tr w:rsidR="006C294C" w:rsidRPr="00990B09" w14:paraId="7B7521B9" w14:textId="77777777" w:rsidTr="005E2D60">
        <w:tc>
          <w:tcPr>
            <w:tcW w:w="9212" w:type="dxa"/>
            <w:shd w:val="clear" w:color="auto" w:fill="D9D9D9" w:themeFill="background1" w:themeFillShade="D9"/>
          </w:tcPr>
          <w:p w14:paraId="7AEF9A3A" w14:textId="77777777" w:rsidR="005964BC" w:rsidRPr="00990B09" w:rsidRDefault="005964BC" w:rsidP="005E2D60">
            <w:pPr>
              <w:rPr>
                <w:b/>
                <w:sz w:val="24"/>
              </w:rPr>
            </w:pPr>
            <w:r w:rsidRPr="00990B09">
              <w:rPr>
                <w:b/>
                <w:sz w:val="24"/>
              </w:rPr>
              <w:t>3.4 Konkurencieschopnosť a správanie sa podnikov na trhu</w:t>
            </w:r>
          </w:p>
          <w:p w14:paraId="54FCA5E5" w14:textId="77777777" w:rsidR="005964BC" w:rsidRPr="00990B09" w:rsidRDefault="005964BC" w:rsidP="005E2D60">
            <w:r w:rsidRPr="00990B09">
              <w:rPr>
                <w:b/>
                <w:sz w:val="24"/>
              </w:rPr>
              <w:t xml:space="preserve">       </w:t>
            </w:r>
            <w:r w:rsidRPr="00990B09">
              <w:rPr>
                <w:sz w:val="24"/>
              </w:rPr>
              <w:t xml:space="preserve">- </w:t>
            </w:r>
            <w:r w:rsidRPr="00990B09">
              <w:rPr>
                <w:b/>
                <w:sz w:val="24"/>
              </w:rPr>
              <w:t>z toho MSP</w:t>
            </w:r>
          </w:p>
        </w:tc>
      </w:tr>
      <w:tr w:rsidR="006C294C" w:rsidRPr="00990B09" w14:paraId="43C145B5" w14:textId="77777777" w:rsidTr="005E2D60">
        <w:tc>
          <w:tcPr>
            <w:tcW w:w="9212" w:type="dxa"/>
            <w:tcBorders>
              <w:bottom w:val="single" w:sz="4" w:space="0" w:color="auto"/>
            </w:tcBorders>
          </w:tcPr>
          <w:p w14:paraId="579BA6C0" w14:textId="77777777" w:rsidR="005964BC" w:rsidRPr="00990B09" w:rsidRDefault="005964BC" w:rsidP="005E2D60">
            <w:pPr>
              <w:rPr>
                <w:i/>
              </w:rPr>
            </w:pPr>
            <w:r w:rsidRPr="00990B09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14:paraId="0958E700" w14:textId="77777777" w:rsidR="005964BC" w:rsidRPr="00990B09" w:rsidRDefault="005964BC" w:rsidP="005E2D60">
            <w:pPr>
              <w:rPr>
                <w:i/>
              </w:rPr>
            </w:pPr>
            <w:r w:rsidRPr="00990B09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32A296E9" w14:textId="77777777" w:rsidR="005964BC" w:rsidRPr="00990B09" w:rsidRDefault="005964BC" w:rsidP="005E2D60">
            <w:pPr>
              <w:rPr>
                <w:i/>
              </w:rPr>
            </w:pPr>
            <w:r w:rsidRPr="00990B09">
              <w:rPr>
                <w:i/>
              </w:rPr>
              <w:t>Ako ovplyvní cenu alebo dostupnosť základných zdrojov (suroviny, mechanizmy, pracovná sila, energie atď.)?</w:t>
            </w:r>
          </w:p>
          <w:p w14:paraId="22842D0E" w14:textId="77777777" w:rsidR="005964BC" w:rsidRPr="00990B09" w:rsidRDefault="005964BC" w:rsidP="005E2D60">
            <w:pPr>
              <w:rPr>
                <w:i/>
              </w:rPr>
            </w:pPr>
            <w:r w:rsidRPr="00990B09">
              <w:rPr>
                <w:i/>
              </w:rPr>
              <w:t>Ovplyvňuje prístup k financiám? Ak áno, ako?</w:t>
            </w:r>
          </w:p>
        </w:tc>
      </w:tr>
      <w:tr w:rsidR="006C294C" w:rsidRPr="00990B09" w14:paraId="4ADDDE66" w14:textId="77777777" w:rsidTr="005E2D60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14:paraId="689BFF80" w14:textId="77777777" w:rsidR="005964BC" w:rsidRPr="00990B09" w:rsidRDefault="005964BC" w:rsidP="005E2D60">
            <w:pPr>
              <w:rPr>
                <w:i/>
                <w:sz w:val="22"/>
                <w:szCs w:val="22"/>
              </w:rPr>
            </w:pPr>
          </w:p>
          <w:p w14:paraId="43A5CE08" w14:textId="77777777" w:rsidR="005964BC" w:rsidRPr="00990B09" w:rsidRDefault="005964BC" w:rsidP="00D756EF">
            <w:pPr>
              <w:rPr>
                <w:i/>
                <w:sz w:val="22"/>
                <w:szCs w:val="22"/>
              </w:rPr>
            </w:pPr>
            <w:r w:rsidRPr="00990B09">
              <w:rPr>
                <w:sz w:val="22"/>
                <w:szCs w:val="22"/>
              </w:rPr>
              <w:t xml:space="preserve">Nedochádza k vplyvu na konkurencieschopnosť a správanie sa podnikov na trhu.  </w:t>
            </w:r>
          </w:p>
        </w:tc>
      </w:tr>
      <w:tr w:rsidR="006C294C" w:rsidRPr="00990B09" w14:paraId="3DCAB592" w14:textId="77777777" w:rsidTr="005E2D60">
        <w:tc>
          <w:tcPr>
            <w:tcW w:w="9212" w:type="dxa"/>
            <w:shd w:val="clear" w:color="auto" w:fill="D9D9D9" w:themeFill="background1" w:themeFillShade="D9"/>
          </w:tcPr>
          <w:p w14:paraId="3CA9D28F" w14:textId="77777777" w:rsidR="005964BC" w:rsidRPr="00990B09" w:rsidRDefault="005964BC" w:rsidP="005E2D60">
            <w:pPr>
              <w:rPr>
                <w:b/>
                <w:sz w:val="24"/>
              </w:rPr>
            </w:pPr>
            <w:r w:rsidRPr="00990B09">
              <w:rPr>
                <w:b/>
                <w:sz w:val="24"/>
              </w:rPr>
              <w:t xml:space="preserve">3.5 Inovácie </w:t>
            </w:r>
          </w:p>
          <w:p w14:paraId="59FF9A2E" w14:textId="77777777" w:rsidR="005964BC" w:rsidRPr="00990B09" w:rsidRDefault="005964BC" w:rsidP="005E2D60">
            <w:pPr>
              <w:rPr>
                <w:b/>
              </w:rPr>
            </w:pPr>
            <w:r w:rsidRPr="00990B09">
              <w:rPr>
                <w:sz w:val="24"/>
              </w:rPr>
              <w:t xml:space="preserve">       - </w:t>
            </w:r>
            <w:r w:rsidRPr="00990B09">
              <w:rPr>
                <w:b/>
                <w:sz w:val="24"/>
              </w:rPr>
              <w:t>z toho MSP</w:t>
            </w:r>
          </w:p>
        </w:tc>
      </w:tr>
      <w:tr w:rsidR="006C294C" w:rsidRPr="00990B09" w14:paraId="2FC02071" w14:textId="77777777" w:rsidTr="005E2D60">
        <w:tc>
          <w:tcPr>
            <w:tcW w:w="9212" w:type="dxa"/>
          </w:tcPr>
          <w:p w14:paraId="24A47A3B" w14:textId="77777777" w:rsidR="005964BC" w:rsidRPr="00990B09" w:rsidRDefault="005964BC" w:rsidP="005E2D60">
            <w:pPr>
              <w:rPr>
                <w:i/>
              </w:rPr>
            </w:pPr>
            <w:r w:rsidRPr="00990B09">
              <w:rPr>
                <w:i/>
              </w:rPr>
              <w:lastRenderedPageBreak/>
              <w:t>Uveďte, ako podporuje navrhovaná zmena inovácie.</w:t>
            </w:r>
          </w:p>
          <w:p w14:paraId="54F1FB41" w14:textId="77777777" w:rsidR="005964BC" w:rsidRPr="00990B09" w:rsidRDefault="005964BC" w:rsidP="005E2D60">
            <w:pPr>
              <w:rPr>
                <w:i/>
              </w:rPr>
            </w:pPr>
            <w:r w:rsidRPr="00990B09">
              <w:rPr>
                <w:i/>
              </w:rPr>
              <w:t>Zjednodušuje uvedenie alebo rozšírenie nových výrobných metód, technológií a výrobkov na trh?</w:t>
            </w:r>
          </w:p>
          <w:p w14:paraId="6240D3F0" w14:textId="77777777" w:rsidR="005964BC" w:rsidRPr="00990B09" w:rsidRDefault="005964BC" w:rsidP="005E2D60">
            <w:pPr>
              <w:rPr>
                <w:i/>
              </w:rPr>
            </w:pPr>
            <w:r w:rsidRPr="00990B09">
              <w:rPr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14:paraId="6C0F8A88" w14:textId="77777777" w:rsidR="005964BC" w:rsidRPr="00990B09" w:rsidRDefault="005964BC" w:rsidP="005E2D60">
            <w:pPr>
              <w:rPr>
                <w:i/>
              </w:rPr>
            </w:pPr>
            <w:r w:rsidRPr="00990B09">
              <w:rPr>
                <w:i/>
              </w:rPr>
              <w:t>Podporuje vyššiu efektivitu výroby/využívania zdrojov? Ak áno, ako?</w:t>
            </w:r>
          </w:p>
          <w:p w14:paraId="2B427646" w14:textId="77777777" w:rsidR="005964BC" w:rsidRPr="00990B09" w:rsidRDefault="005964BC" w:rsidP="005E2D60">
            <w:r w:rsidRPr="00990B09">
              <w:rPr>
                <w:i/>
              </w:rPr>
              <w:t>Vytvorí zmena nové pracovné miesta pre zamestnancov výskumu a vývoja v SR?</w:t>
            </w:r>
          </w:p>
        </w:tc>
      </w:tr>
      <w:tr w:rsidR="005964BC" w:rsidRPr="006C294C" w14:paraId="7D8C15A6" w14:textId="77777777" w:rsidTr="005E2D60">
        <w:trPr>
          <w:trHeight w:val="1747"/>
        </w:trPr>
        <w:tc>
          <w:tcPr>
            <w:tcW w:w="9212" w:type="dxa"/>
          </w:tcPr>
          <w:p w14:paraId="78A94DB0" w14:textId="77777777" w:rsidR="005964BC" w:rsidRPr="00990B09" w:rsidRDefault="005964BC" w:rsidP="005E2D60">
            <w:pPr>
              <w:rPr>
                <w:i/>
                <w:sz w:val="22"/>
                <w:szCs w:val="22"/>
              </w:rPr>
            </w:pPr>
          </w:p>
          <w:p w14:paraId="12165373" w14:textId="77777777" w:rsidR="005964BC" w:rsidRPr="006C294C" w:rsidRDefault="005964BC" w:rsidP="005E2D60">
            <w:pPr>
              <w:rPr>
                <w:i/>
              </w:rPr>
            </w:pPr>
            <w:r w:rsidRPr="00990B09">
              <w:rPr>
                <w:sz w:val="22"/>
                <w:szCs w:val="22"/>
              </w:rPr>
              <w:t>Nedochádza k vplyvu na inovácie.</w:t>
            </w:r>
            <w:r w:rsidRPr="006C294C">
              <w:t xml:space="preserve">  </w:t>
            </w:r>
          </w:p>
        </w:tc>
      </w:tr>
    </w:tbl>
    <w:p w14:paraId="02278E53" w14:textId="77777777" w:rsidR="005964BC" w:rsidRPr="006C294C" w:rsidRDefault="005964BC" w:rsidP="005964BC"/>
    <w:p w14:paraId="428BB3EF" w14:textId="77777777" w:rsidR="009B5D30" w:rsidRPr="006C294C" w:rsidRDefault="009B5D30"/>
    <w:sectPr w:rsidR="009B5D30" w:rsidRPr="006C29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25611" w14:textId="77777777" w:rsidR="002A5506" w:rsidRDefault="002A5506">
      <w:r>
        <w:separator/>
      </w:r>
    </w:p>
  </w:endnote>
  <w:endnote w:type="continuationSeparator" w:id="0">
    <w:p w14:paraId="6460B88B" w14:textId="77777777" w:rsidR="002A5506" w:rsidRDefault="002A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14:paraId="55F12CE6" w14:textId="77777777" w:rsidR="009F2DFA" w:rsidRDefault="005964B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8E9">
          <w:rPr>
            <w:noProof/>
          </w:rPr>
          <w:t>1</w:t>
        </w:r>
        <w:r>
          <w:fldChar w:fldCharType="end"/>
        </w:r>
      </w:p>
    </w:sdtContent>
  </w:sdt>
  <w:p w14:paraId="20545231" w14:textId="77777777" w:rsidR="009F2DFA" w:rsidRDefault="00ED58E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AF96C" w14:textId="77777777" w:rsidR="002A5506" w:rsidRDefault="002A5506">
      <w:r>
        <w:separator/>
      </w:r>
    </w:p>
  </w:footnote>
  <w:footnote w:type="continuationSeparator" w:id="0">
    <w:p w14:paraId="49F491AE" w14:textId="77777777" w:rsidR="002A5506" w:rsidRDefault="002A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CA7D6" w14:textId="77777777" w:rsidR="009F2DFA" w:rsidRDefault="005964BC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14:paraId="206FA186" w14:textId="77777777" w:rsidR="009F2DFA" w:rsidRDefault="00ED58E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BC"/>
    <w:rsid w:val="00006909"/>
    <w:rsid w:val="000835EE"/>
    <w:rsid w:val="000A0D7D"/>
    <w:rsid w:val="00113BCD"/>
    <w:rsid w:val="001155E2"/>
    <w:rsid w:val="00191BA0"/>
    <w:rsid w:val="002320B0"/>
    <w:rsid w:val="002A3CC5"/>
    <w:rsid w:val="002A5506"/>
    <w:rsid w:val="002C5394"/>
    <w:rsid w:val="00340155"/>
    <w:rsid w:val="00346A4C"/>
    <w:rsid w:val="003B7E79"/>
    <w:rsid w:val="004C032A"/>
    <w:rsid w:val="00567841"/>
    <w:rsid w:val="00592E0F"/>
    <w:rsid w:val="005964BC"/>
    <w:rsid w:val="005A124A"/>
    <w:rsid w:val="00672AD3"/>
    <w:rsid w:val="006919BF"/>
    <w:rsid w:val="006B2F56"/>
    <w:rsid w:val="006C294C"/>
    <w:rsid w:val="00727630"/>
    <w:rsid w:val="00747D42"/>
    <w:rsid w:val="007720EF"/>
    <w:rsid w:val="007B73E3"/>
    <w:rsid w:val="007E1CE3"/>
    <w:rsid w:val="00844F64"/>
    <w:rsid w:val="00851E1B"/>
    <w:rsid w:val="00871724"/>
    <w:rsid w:val="00876A70"/>
    <w:rsid w:val="008C3787"/>
    <w:rsid w:val="00903DE0"/>
    <w:rsid w:val="00955386"/>
    <w:rsid w:val="00990B09"/>
    <w:rsid w:val="009B5D30"/>
    <w:rsid w:val="00A24D0C"/>
    <w:rsid w:val="00A32E20"/>
    <w:rsid w:val="00AD404D"/>
    <w:rsid w:val="00B7737C"/>
    <w:rsid w:val="00B94AE4"/>
    <w:rsid w:val="00C11C7A"/>
    <w:rsid w:val="00C15DA3"/>
    <w:rsid w:val="00C23156"/>
    <w:rsid w:val="00C50100"/>
    <w:rsid w:val="00C900C3"/>
    <w:rsid w:val="00D0186C"/>
    <w:rsid w:val="00D21D84"/>
    <w:rsid w:val="00D628C9"/>
    <w:rsid w:val="00D65F9B"/>
    <w:rsid w:val="00D756EF"/>
    <w:rsid w:val="00E17F8B"/>
    <w:rsid w:val="00E51B4F"/>
    <w:rsid w:val="00E74335"/>
    <w:rsid w:val="00EA4258"/>
    <w:rsid w:val="00ED58E9"/>
    <w:rsid w:val="00F61393"/>
    <w:rsid w:val="00F74AFF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F8C5"/>
  <w15:docId w15:val="{4715D402-8DF1-4B8D-8B49-BA98B4D1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964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64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964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64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6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4B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awspan">
    <w:name w:val="awspan"/>
    <w:basedOn w:val="Predvolenpsmoodseku"/>
    <w:rsid w:val="00C900C3"/>
  </w:style>
  <w:style w:type="character" w:styleId="Odkaznakomentr">
    <w:name w:val="annotation reference"/>
    <w:basedOn w:val="Predvolenpsmoodseku"/>
    <w:uiPriority w:val="99"/>
    <w:semiHidden/>
    <w:unhideWhenUsed/>
    <w:rsid w:val="002320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20B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20B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20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20B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AODocTxtL1">
    <w:name w:val="AODocTxtL1"/>
    <w:basedOn w:val="Normlny"/>
    <w:rsid w:val="00567841"/>
    <w:pPr>
      <w:spacing w:before="240" w:line="260" w:lineRule="atLeast"/>
      <w:ind w:left="720"/>
      <w:jc w:val="both"/>
    </w:pPr>
    <w:rPr>
      <w:rFonts w:eastAsia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6_podnikatelia-vplyvy_CBD"/>
    <f:field ref="objsubject" par="" edit="true" text=""/>
    <f:field ref="objcreatedby" par="" text="Poloma, Tomáš, Ing."/>
    <f:field ref="objcreatedat" par="" text="20.4.2021 15:36:18"/>
    <f:field ref="objchangedby" par="" text="Administrator, System"/>
    <f:field ref="objmodifiedat" par="" text="20.4.2021 15:36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worknbde</dc:creator>
  <cp:lastModifiedBy>Poloma Tomas</cp:lastModifiedBy>
  <cp:revision>2</cp:revision>
  <dcterms:created xsi:type="dcterms:W3CDTF">2021-06-01T11:26:00Z</dcterms:created>
  <dcterms:modified xsi:type="dcterms:W3CDTF">2021-06-01T11:26:00Z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align="center"&gt;&lt;strong&gt;Scenár 2: Verejnosť sa zúčastňuje na diskusii o tvorbe práv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Bankové a finančné inštitúcie_x000d_
Cenné papiere_x000d_
Poistenie a ochrana vkladov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Tomáš Poloma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Materiál sa predkladá na základe Plánu legislatívnych úloh vlády Slovenskej republiky na rok 2021_x000d_
</vt:lpwstr>
  </property>
  <property fmtid="{D5CDD505-2E9C-101B-9397-08002B2CF9AE}" pid="23" name="FSC#SKEDITIONSLOVLEX@103.510:plnynazovpredpis">
    <vt:lpwstr> Zákon,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MF/003875/2021-632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LP/2021/178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3 ods. 1 písm. b), čl. 4, čl. 26 ods. 2, čl. 49 až 66 Zmluvy o fungovaní Európskej únie (Ú. v. EÚ C 202, 7.6.2016) v platnom znení,_x000d_
protokol č. 4 o Štatúte Európskeho systému centrálnych bánk a Európskej centrálnej banky pripojený k Zmluve o fungovan</vt:lpwstr>
  </property>
  <property fmtid="{D5CDD505-2E9C-101B-9397-08002B2CF9AE}" pid="47" name="FSC#SKEDITIONSLOVLEX@103.510:AttrStrListDocPropSekundarneLegPravoPO">
    <vt:lpwstr>smernica Európskeho parlamentu a Rady (EÚ) 2019/2162 z 27. novembra 2019 o emisii krytých dlhopisov a verejnom dohľade nad krytými dlhopismi a ktorou sa menia smernice 2009/65/ES a 2014/59/EÚ (Ú. v. EÚ L 328, 18.12.2019), gestor: MF SR, spolugestor: NBS,_x000d_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Súdneho dvora vo veci C-452/04, Fidium Finanz AG proti Bundesanstalt für Finanzdienstleistungsaufsicht, [2006],_x000d_
Výrok rozhodnutia:  Vnútroštátna právna úprava, podľa ktorej členský štát na výkon činnosti poskytovania úverov v rámci podnikateľske</vt:lpwstr>
  </property>
  <property fmtid="{D5CDD505-2E9C-101B-9397-08002B2CF9AE}" pid="52" name="FSC#SKEDITIONSLOVLEX@103.510:AttrStrListDocPropLehotaPrebratieSmernice">
    <vt:lpwstr>Lehota na prebratie smernice (EÚ) 2019/2162 je stanovená do 8. júla 2021._x000d_
Lehota na prebratie smernice 2014/49/EÚ bola stanovená do 3. júla 2015 s výnimkou  článku 8 ods. 4 kde bola stanovená lehota do 31. mája 2016._x000d_
Lehota na prebranie smernice 2014/59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55" name="FSC#SKEDITIONSLOVLEX@103.510:AttrStrListDocPropInfoUzPreberanePP">
    <vt:lpwstr>Smernica 2013/36/EÚ v platnom znení bola prebratá do zákona č. 483/2001 Z. z. o bankách a o zmene a doplnení niektorých zákonov v znení neskorších predpisov, do zákona č. 566/2001 Z. z. o cenných papieroch a investičných službách a o zmene a doplnení niek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19. 3. 2021</vt:lpwstr>
  </property>
  <property fmtid="{D5CDD505-2E9C-101B-9397-08002B2CF9AE}" pid="59" name="FSC#SKEDITIONSLOVLEX@103.510:AttrDateDocPropUkonceniePKK">
    <vt:lpwstr>1. 4. 2021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&lt;p&gt;Navrhovaná právna úprava by mala mať prevažne pozitívny dopad na podnikateľské prostredie, najmä vďaka zvýšeniu dôvery investorov, čím sa zlepší prístupu k&amp;nbsp;financovaniu úverov zabezpečených nehnuteľnosťami prostredníctvom vydávania krytých dlhopis</vt:lpwstr>
  </property>
  <property fmtid="{D5CDD505-2E9C-101B-9397-08002B2CF9AE}" pid="66" name="FSC#SKEDITIONSLOVLEX@103.510:AttrStrListDocPropAltRiesenia">
    <vt:lpwstr>Alternatívne riešenia neboli zvažované. Nulový variant nie je možné realizovať, keďže ide o transpozíciu smernice v nutnom rozsahu a v prípade nesplnenia povinnosti transpozície Európska komisia začne voči Slovenskej republike konanie o porušení podľa Zml</vt:lpwstr>
  </property>
  <property fmtid="{D5CDD505-2E9C-101B-9397-08002B2CF9AE}" pid="67" name="FSC#SKEDITIONSLOVLEX@103.510:AttrStrListDocPropStanoviskoGest">
    <vt:lpwstr>&lt;p&gt;Stála pracovná komisia na posudzovanie vybraných vplyvov neuplatňuje k materiálu žiadne pripomienky ani odporúčania.&lt;/p&gt;&lt;p&gt;Stála pracovná komisia na posudzovanie vybraných vplyvov vyjadruje súhlasné stanovisko s&amp;nbsp;materiálom predloženým na predbežné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 Slovenskej republiky</vt:lpwstr>
  </property>
  <property fmtid="{D5CDD505-2E9C-101B-9397-08002B2CF9AE}" pid="137" name="FSC#SKEDITIONSLOVLEX@103.510:AttrStrListDocPropUznesenieNaVedomie">
    <vt:lpwstr>predseda Národnej rady Slovenskej republiky_x000d_
guvernér Národnej banky Slovenska</vt:lpwstr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referentovi</vt:lpwstr>
  </property>
  <property fmtid="{D5CDD505-2E9C-101B-9397-08002B2CF9AE}" pid="140" name="FSC#SKEDITIONSLOVLEX@103.510:funkciaPredDativ">
    <vt:lpwstr>referenta</vt:lpwstr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20. 4. 2021</vt:lpwstr>
  </property>
  <property fmtid="{D5CDD505-2E9C-101B-9397-08002B2CF9AE}" pid="151" name="FSC#COOSYSTEM@1.1:Container">
    <vt:lpwstr>COO.2145.1000.3.4330806</vt:lpwstr>
  </property>
  <property fmtid="{D5CDD505-2E9C-101B-9397-08002B2CF9AE}" pid="152" name="FSC#FSCFOLIO@1.1001:docpropproject">
    <vt:lpwstr/>
  </property>
</Properties>
</file>