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F076E" w14:textId="77777777" w:rsidR="00575EE4" w:rsidRPr="00EC718C" w:rsidRDefault="00575EE4" w:rsidP="00E51502">
      <w:pPr>
        <w:spacing w:after="120"/>
        <w:jc w:val="center"/>
        <w:rPr>
          <w:b/>
          <w:caps/>
        </w:rPr>
      </w:pPr>
      <w:bookmarkStart w:id="0" w:name="_GoBack"/>
      <w:bookmarkEnd w:id="0"/>
      <w:r w:rsidRPr="00EC718C">
        <w:rPr>
          <w:b/>
          <w:caps/>
        </w:rPr>
        <w:t xml:space="preserve">Predkladacia správa </w:t>
      </w:r>
    </w:p>
    <w:p w14:paraId="3FCCE166" w14:textId="77777777" w:rsidR="00E51502" w:rsidRPr="00EC718C" w:rsidRDefault="00E51502" w:rsidP="00E51502">
      <w:pPr>
        <w:spacing w:after="120"/>
        <w:jc w:val="both"/>
      </w:pPr>
    </w:p>
    <w:p w14:paraId="31EFE91C" w14:textId="3AA97881" w:rsidR="00F12203" w:rsidRPr="00EC718C" w:rsidRDefault="0088709E" w:rsidP="4FAFBDC0">
      <w:pPr>
        <w:spacing w:after="60"/>
        <w:jc w:val="both"/>
      </w:pPr>
      <w:r w:rsidRPr="00EC718C">
        <w:rPr>
          <w:lang w:eastAsia="sk-SK"/>
        </w:rPr>
        <w:tab/>
        <w:t>Návrh</w:t>
      </w:r>
      <w:r w:rsidRPr="00EC718C">
        <w:rPr>
          <w:spacing w:val="32"/>
          <w:lang w:eastAsia="sk-SK"/>
        </w:rPr>
        <w:t xml:space="preserve"> </w:t>
      </w:r>
      <w:r w:rsidRPr="00EC718C">
        <w:rPr>
          <w:lang w:eastAsia="sk-SK"/>
        </w:rPr>
        <w:t>zákona,</w:t>
      </w:r>
      <w:r w:rsidRPr="00EC718C">
        <w:rPr>
          <w:spacing w:val="32"/>
          <w:lang w:eastAsia="sk-SK"/>
        </w:rPr>
        <w:t xml:space="preserve"> </w:t>
      </w:r>
      <w:r w:rsidRPr="00EC718C">
        <w:rPr>
          <w:lang w:eastAsia="sk-SK"/>
        </w:rPr>
        <w:t>ktorým</w:t>
      </w:r>
      <w:r w:rsidRPr="00EC718C">
        <w:rPr>
          <w:spacing w:val="32"/>
          <w:lang w:eastAsia="sk-SK"/>
        </w:rPr>
        <w:t xml:space="preserve"> </w:t>
      </w:r>
      <w:r w:rsidRPr="00EC718C">
        <w:rPr>
          <w:lang w:eastAsia="sk-SK"/>
        </w:rPr>
        <w:t>sa</w:t>
      </w:r>
      <w:r w:rsidRPr="00EC718C">
        <w:rPr>
          <w:spacing w:val="32"/>
          <w:lang w:eastAsia="sk-SK"/>
        </w:rPr>
        <w:t xml:space="preserve"> </w:t>
      </w:r>
      <w:r w:rsidRPr="00EC718C">
        <w:rPr>
          <w:lang w:eastAsia="sk-SK"/>
        </w:rPr>
        <w:t>mení</w:t>
      </w:r>
      <w:r w:rsidRPr="00EC718C">
        <w:rPr>
          <w:spacing w:val="32"/>
          <w:lang w:eastAsia="sk-SK"/>
        </w:rPr>
        <w:t xml:space="preserve"> </w:t>
      </w:r>
      <w:r w:rsidRPr="00EC718C">
        <w:rPr>
          <w:lang w:eastAsia="sk-SK"/>
        </w:rPr>
        <w:t>a</w:t>
      </w:r>
      <w:r w:rsidRPr="00EC718C">
        <w:rPr>
          <w:spacing w:val="32"/>
          <w:lang w:eastAsia="sk-SK"/>
        </w:rPr>
        <w:t> </w:t>
      </w:r>
      <w:r w:rsidRPr="00EC718C">
        <w:rPr>
          <w:lang w:eastAsia="sk-SK"/>
        </w:rPr>
        <w:t>dopĺňa</w:t>
      </w:r>
      <w:r w:rsidRPr="00EC718C">
        <w:rPr>
          <w:spacing w:val="32"/>
          <w:lang w:eastAsia="sk-SK"/>
        </w:rPr>
        <w:t xml:space="preserve"> </w:t>
      </w:r>
      <w:r w:rsidRPr="00EC718C">
        <w:rPr>
          <w:lang w:eastAsia="sk-SK"/>
        </w:rPr>
        <w:t>zákon</w:t>
      </w:r>
      <w:r w:rsidRPr="00EC718C">
        <w:rPr>
          <w:spacing w:val="32"/>
          <w:lang w:eastAsia="sk-SK"/>
        </w:rPr>
        <w:t xml:space="preserve"> </w:t>
      </w:r>
      <w:r w:rsidRPr="00EC718C">
        <w:rPr>
          <w:lang w:eastAsia="sk-SK"/>
        </w:rPr>
        <w:t>č.</w:t>
      </w:r>
      <w:r w:rsidRPr="00EC718C">
        <w:rPr>
          <w:spacing w:val="32"/>
          <w:lang w:eastAsia="sk-SK"/>
        </w:rPr>
        <w:t xml:space="preserve"> </w:t>
      </w:r>
      <w:r w:rsidRPr="00EC718C">
        <w:rPr>
          <w:lang w:eastAsia="sk-SK"/>
        </w:rPr>
        <w:t>483/2001</w:t>
      </w:r>
      <w:r w:rsidRPr="00EC718C">
        <w:rPr>
          <w:spacing w:val="32"/>
          <w:lang w:eastAsia="sk-SK"/>
        </w:rPr>
        <w:t xml:space="preserve"> </w:t>
      </w:r>
      <w:r w:rsidRPr="00EC718C">
        <w:rPr>
          <w:lang w:eastAsia="sk-SK"/>
        </w:rPr>
        <w:t>Z.</w:t>
      </w:r>
      <w:r w:rsidRPr="00EC718C">
        <w:rPr>
          <w:spacing w:val="32"/>
          <w:lang w:eastAsia="sk-SK"/>
        </w:rPr>
        <w:t xml:space="preserve"> </w:t>
      </w:r>
      <w:r w:rsidRPr="00EC718C">
        <w:rPr>
          <w:lang w:eastAsia="sk-SK"/>
        </w:rPr>
        <w:t>z.</w:t>
      </w:r>
      <w:r w:rsidRPr="00EC718C">
        <w:rPr>
          <w:spacing w:val="32"/>
          <w:lang w:eastAsia="sk-SK"/>
        </w:rPr>
        <w:t xml:space="preserve"> </w:t>
      </w:r>
      <w:r w:rsidRPr="00EC718C">
        <w:rPr>
          <w:lang w:eastAsia="sk-SK"/>
        </w:rPr>
        <w:t>o</w:t>
      </w:r>
      <w:r w:rsidRPr="00EC718C">
        <w:rPr>
          <w:spacing w:val="32"/>
          <w:lang w:eastAsia="sk-SK"/>
        </w:rPr>
        <w:t> </w:t>
      </w:r>
      <w:r w:rsidRPr="00EC718C">
        <w:rPr>
          <w:lang w:eastAsia="sk-SK"/>
        </w:rPr>
        <w:t>bankách a</w:t>
      </w:r>
      <w:r w:rsidRPr="00EC718C">
        <w:rPr>
          <w:spacing w:val="32"/>
          <w:lang w:eastAsia="sk-SK"/>
        </w:rPr>
        <w:t> </w:t>
      </w:r>
      <w:r w:rsidRPr="00EC718C">
        <w:rPr>
          <w:lang w:eastAsia="sk-SK"/>
        </w:rPr>
        <w:t>o zmene a doplnení niektorých</w:t>
      </w:r>
      <w:r w:rsidRPr="00EC718C">
        <w:rPr>
          <w:spacing w:val="19"/>
          <w:lang w:eastAsia="sk-SK"/>
        </w:rPr>
        <w:t xml:space="preserve"> </w:t>
      </w:r>
      <w:r w:rsidRPr="00EC718C">
        <w:rPr>
          <w:lang w:eastAsia="sk-SK"/>
        </w:rPr>
        <w:t>zákonov</w:t>
      </w:r>
      <w:r w:rsidRPr="00EC718C">
        <w:rPr>
          <w:spacing w:val="19"/>
          <w:lang w:eastAsia="sk-SK"/>
        </w:rPr>
        <w:t xml:space="preserve"> </w:t>
      </w:r>
      <w:r w:rsidRPr="00EC718C">
        <w:rPr>
          <w:lang w:eastAsia="sk-SK"/>
        </w:rPr>
        <w:t>v</w:t>
      </w:r>
      <w:r w:rsidRPr="00EC718C">
        <w:rPr>
          <w:spacing w:val="19"/>
          <w:lang w:eastAsia="sk-SK"/>
        </w:rPr>
        <w:t> </w:t>
      </w:r>
      <w:r w:rsidRPr="00EC718C">
        <w:rPr>
          <w:lang w:eastAsia="sk-SK"/>
        </w:rPr>
        <w:t>znení neskorších</w:t>
      </w:r>
      <w:r w:rsidRPr="00EC718C">
        <w:rPr>
          <w:spacing w:val="19"/>
          <w:lang w:eastAsia="sk-SK"/>
        </w:rPr>
        <w:t xml:space="preserve"> </w:t>
      </w:r>
      <w:r w:rsidRPr="00EC718C">
        <w:rPr>
          <w:lang w:eastAsia="sk-SK"/>
        </w:rPr>
        <w:t>predpisov</w:t>
      </w:r>
      <w:r w:rsidRPr="00EC718C">
        <w:rPr>
          <w:spacing w:val="19"/>
          <w:lang w:eastAsia="sk-SK"/>
        </w:rPr>
        <w:t xml:space="preserve"> </w:t>
      </w:r>
      <w:r w:rsidRPr="00EC718C">
        <w:rPr>
          <w:lang w:eastAsia="sk-SK"/>
        </w:rPr>
        <w:t>a</w:t>
      </w:r>
      <w:r w:rsidRPr="00EC718C">
        <w:rPr>
          <w:spacing w:val="19"/>
          <w:lang w:eastAsia="sk-SK"/>
        </w:rPr>
        <w:t> </w:t>
      </w:r>
      <w:r w:rsidRPr="00EC718C">
        <w:rPr>
          <w:lang w:eastAsia="sk-SK"/>
        </w:rPr>
        <w:t>ktorým sa</w:t>
      </w:r>
      <w:r w:rsidRPr="00EC718C">
        <w:rPr>
          <w:spacing w:val="19"/>
          <w:lang w:eastAsia="sk-SK"/>
        </w:rPr>
        <w:t xml:space="preserve"> </w:t>
      </w:r>
      <w:r w:rsidRPr="00EC718C">
        <w:rPr>
          <w:lang w:eastAsia="sk-SK"/>
        </w:rPr>
        <w:t>menia</w:t>
      </w:r>
      <w:r w:rsidRPr="00EC718C">
        <w:rPr>
          <w:spacing w:val="19"/>
          <w:lang w:eastAsia="sk-SK"/>
        </w:rPr>
        <w:t xml:space="preserve"> </w:t>
      </w:r>
      <w:r w:rsidRPr="00EC718C">
        <w:rPr>
          <w:lang w:eastAsia="sk-SK"/>
        </w:rPr>
        <w:t>a</w:t>
      </w:r>
      <w:r w:rsidRPr="00EC718C">
        <w:rPr>
          <w:spacing w:val="19"/>
          <w:lang w:eastAsia="sk-SK"/>
        </w:rPr>
        <w:t> </w:t>
      </w:r>
      <w:r w:rsidRPr="00EC718C">
        <w:rPr>
          <w:lang w:eastAsia="sk-SK"/>
        </w:rPr>
        <w:t>dopĺňajú niektoré zákony</w:t>
      </w:r>
      <w:r w:rsidRPr="00EC718C">
        <w:rPr>
          <w:spacing w:val="101"/>
          <w:lang w:eastAsia="sk-SK"/>
        </w:rPr>
        <w:t xml:space="preserve"> </w:t>
      </w:r>
      <w:r w:rsidRPr="00EC718C">
        <w:rPr>
          <w:lang w:eastAsia="sk-SK"/>
        </w:rPr>
        <w:t>(ďalej</w:t>
      </w:r>
      <w:r w:rsidRPr="00EC718C">
        <w:rPr>
          <w:spacing w:val="101"/>
          <w:lang w:eastAsia="sk-SK"/>
        </w:rPr>
        <w:t xml:space="preserve"> </w:t>
      </w:r>
      <w:r w:rsidRPr="00EC718C">
        <w:rPr>
          <w:lang w:eastAsia="sk-SK"/>
        </w:rPr>
        <w:t>len</w:t>
      </w:r>
      <w:r w:rsidRPr="00EC718C">
        <w:rPr>
          <w:spacing w:val="101"/>
          <w:lang w:eastAsia="sk-SK"/>
        </w:rPr>
        <w:t xml:space="preserve"> </w:t>
      </w:r>
      <w:r w:rsidRPr="00EC718C">
        <w:rPr>
          <w:lang w:eastAsia="sk-SK"/>
        </w:rPr>
        <w:t>„návrh</w:t>
      </w:r>
      <w:r w:rsidRPr="00EC718C">
        <w:rPr>
          <w:spacing w:val="101"/>
          <w:lang w:eastAsia="sk-SK"/>
        </w:rPr>
        <w:t xml:space="preserve"> </w:t>
      </w:r>
      <w:r w:rsidRPr="00EC718C">
        <w:rPr>
          <w:lang w:eastAsia="sk-SK"/>
        </w:rPr>
        <w:t>zákona“)</w:t>
      </w:r>
      <w:r w:rsidRPr="00EC718C">
        <w:rPr>
          <w:spacing w:val="101"/>
          <w:lang w:eastAsia="sk-SK"/>
        </w:rPr>
        <w:t xml:space="preserve"> </w:t>
      </w:r>
      <w:r w:rsidRPr="00EC718C">
        <w:rPr>
          <w:lang w:eastAsia="sk-SK"/>
        </w:rPr>
        <w:t>vypracovalo</w:t>
      </w:r>
      <w:r w:rsidRPr="00EC718C">
        <w:rPr>
          <w:spacing w:val="101"/>
          <w:lang w:eastAsia="sk-SK"/>
        </w:rPr>
        <w:t xml:space="preserve"> </w:t>
      </w:r>
      <w:r w:rsidRPr="00EC718C">
        <w:rPr>
          <w:lang w:eastAsia="sk-SK"/>
        </w:rPr>
        <w:t>Ministerstvo</w:t>
      </w:r>
      <w:r w:rsidRPr="00EC718C">
        <w:rPr>
          <w:spacing w:val="101"/>
          <w:lang w:eastAsia="sk-SK"/>
        </w:rPr>
        <w:t xml:space="preserve"> </w:t>
      </w:r>
      <w:r w:rsidRPr="00EC718C">
        <w:rPr>
          <w:lang w:eastAsia="sk-SK"/>
        </w:rPr>
        <w:t>financií</w:t>
      </w:r>
      <w:r w:rsidRPr="00EC718C">
        <w:rPr>
          <w:spacing w:val="101"/>
          <w:lang w:eastAsia="sk-SK"/>
        </w:rPr>
        <w:t xml:space="preserve"> </w:t>
      </w:r>
      <w:r w:rsidRPr="00EC718C">
        <w:rPr>
          <w:lang w:eastAsia="sk-SK"/>
        </w:rPr>
        <w:t>Slovenskej</w:t>
      </w:r>
      <w:r w:rsidRPr="00EC718C">
        <w:rPr>
          <w:spacing w:val="101"/>
          <w:lang w:eastAsia="sk-SK"/>
        </w:rPr>
        <w:t xml:space="preserve"> </w:t>
      </w:r>
      <w:r w:rsidRPr="00EC718C">
        <w:rPr>
          <w:lang w:eastAsia="sk-SK"/>
        </w:rPr>
        <w:t xml:space="preserve">republiky. </w:t>
      </w:r>
      <w:r w:rsidR="4FAFBDC0" w:rsidRPr="00EC718C">
        <w:t>Spolugestorom transpozície bola určená Národná banka Slovenska, ktorá je zároveň aj spolupredkladateľom.</w:t>
      </w:r>
      <w:r w:rsidRPr="00EC718C">
        <w:rPr>
          <w:lang w:eastAsia="sk-SK"/>
        </w:rPr>
        <w:t xml:space="preserve"> </w:t>
      </w:r>
      <w:r w:rsidRPr="00EC718C">
        <w:t>Cieľom návrhu zákona je transpozícia smernice Európskeho parlamentu a Rady (EÚ) 2019/2162 z 27. novembra 2019 o emisii krytých dlhopisov a verejnom dohľade nad krytými dlhopismi a ktorou sa menia smernice 2009/65/ES a 2014/59/EÚ</w:t>
      </w:r>
      <w:r w:rsidR="00A64EAD">
        <w:t xml:space="preserve"> </w:t>
      </w:r>
      <w:r w:rsidR="00A64EAD" w:rsidRPr="00A64EAD">
        <w:t>(Ú. v. EÚ L 328, 18.12.2019)</w:t>
      </w:r>
      <w:r w:rsidRPr="00EC718C">
        <w:t xml:space="preserve"> (ďalej len „</w:t>
      </w:r>
      <w:r w:rsidR="00C84331" w:rsidRPr="00EC718C">
        <w:t xml:space="preserve">smernica </w:t>
      </w:r>
      <w:r w:rsidRPr="00EC718C">
        <w:t>CBD“)</w:t>
      </w:r>
      <w:r w:rsidR="00F12203" w:rsidRPr="00EC718C">
        <w:t xml:space="preserve">, ktorej hlavným cieľom je harmonizovať </w:t>
      </w:r>
      <w:r w:rsidR="008524F4" w:rsidRPr="00EC718C">
        <w:t>právny rámec</w:t>
      </w:r>
      <w:r w:rsidR="00F12203" w:rsidRPr="00EC718C">
        <w:t xml:space="preserve"> krytých dlhopisov</w:t>
      </w:r>
      <w:r w:rsidR="008524F4" w:rsidRPr="00EC718C">
        <w:t>, ktoré musia</w:t>
      </w:r>
      <w:r w:rsidR="00F12203" w:rsidRPr="00EC718C">
        <w:t xml:space="preserve"> </w:t>
      </w:r>
      <w:r w:rsidR="008524F4" w:rsidRPr="00EC718C">
        <w:t>spĺňať určité štrukturálne požiadavky (mechanizmus dvojitej ochrany, zabráneni</w:t>
      </w:r>
      <w:r w:rsidR="00AB7EA8" w:rsidRPr="00EC718C">
        <w:t>e</w:t>
      </w:r>
      <w:r w:rsidR="008524F4" w:rsidRPr="00EC718C">
        <w:t xml:space="preserve"> automatick</w:t>
      </w:r>
      <w:r w:rsidR="00C76B95" w:rsidRPr="00EC718C">
        <w:t>ej skoršej</w:t>
      </w:r>
      <w:r w:rsidR="008524F4" w:rsidRPr="00EC718C">
        <w:t xml:space="preserve"> </w:t>
      </w:r>
      <w:r w:rsidR="00C76B95" w:rsidRPr="00EC718C">
        <w:t>splatnosti</w:t>
      </w:r>
      <w:r w:rsidR="008524F4" w:rsidRPr="00EC718C">
        <w:t xml:space="preserve"> v prípade úpadku, vysoká kvalita aktív v krycom súbore, ich oddelenie a vyňatie z majetkovej podstaty v prípade úpadku, jednotné európske označovanie a</w:t>
      </w:r>
      <w:r w:rsidR="00032A1A" w:rsidRPr="00EC718C">
        <w:t>i.</w:t>
      </w:r>
      <w:r w:rsidR="008524F4" w:rsidRPr="00EC718C">
        <w:t xml:space="preserve">). </w:t>
      </w:r>
      <w:r w:rsidR="004F5C8A" w:rsidRPr="00EC718C">
        <w:t xml:space="preserve">Tým by </w:t>
      </w:r>
      <w:r w:rsidR="00F12203" w:rsidRPr="00EC718C">
        <w:t>sa mal zabezpečiť bezproblémový a</w:t>
      </w:r>
      <w:r w:rsidR="00A32F4F" w:rsidRPr="00EC718C">
        <w:t> </w:t>
      </w:r>
      <w:r w:rsidR="00F12203" w:rsidRPr="00EC718C">
        <w:t>trvalý</w:t>
      </w:r>
      <w:r w:rsidR="00A32F4F" w:rsidRPr="00EC718C">
        <w:t xml:space="preserve"> </w:t>
      </w:r>
      <w:r w:rsidR="00F12203" w:rsidRPr="00EC718C">
        <w:t>rozvoj dobre fungujúcich trhov s</w:t>
      </w:r>
      <w:r w:rsidR="00A32F4F" w:rsidRPr="00EC718C">
        <w:t> </w:t>
      </w:r>
      <w:r w:rsidR="00F12203" w:rsidRPr="00EC718C">
        <w:t>krytými</w:t>
      </w:r>
      <w:r w:rsidR="00A32F4F" w:rsidRPr="00EC718C">
        <w:t xml:space="preserve"> </w:t>
      </w:r>
      <w:r w:rsidR="00F12203" w:rsidRPr="00EC718C">
        <w:t>dlhopismi v Európskej únii a</w:t>
      </w:r>
      <w:r w:rsidR="00A32F4F" w:rsidRPr="00EC718C">
        <w:t> </w:t>
      </w:r>
      <w:r w:rsidR="00F12203" w:rsidRPr="00EC718C">
        <w:t>mali</w:t>
      </w:r>
      <w:r w:rsidR="00A32F4F" w:rsidRPr="00EC718C">
        <w:t xml:space="preserve"> </w:t>
      </w:r>
      <w:r w:rsidR="00F12203" w:rsidRPr="00EC718C">
        <w:t>by sa obmedziť potenciálne riziká a</w:t>
      </w:r>
      <w:r w:rsidR="00A32F4F" w:rsidRPr="00EC718C">
        <w:t> </w:t>
      </w:r>
      <w:r w:rsidR="00F12203" w:rsidRPr="00EC718C">
        <w:t>slabé miesta v</w:t>
      </w:r>
      <w:r w:rsidR="00A32F4F" w:rsidRPr="00EC718C">
        <w:t> </w:t>
      </w:r>
      <w:r w:rsidR="00F12203" w:rsidRPr="00EC718C">
        <w:t xml:space="preserve">oblasti finančnej stability. </w:t>
      </w:r>
    </w:p>
    <w:p w14:paraId="5BCEB5F4" w14:textId="501D75FA" w:rsidR="00AD0161" w:rsidRPr="00EC718C" w:rsidRDefault="0089340F" w:rsidP="004F5C8A">
      <w:pPr>
        <w:spacing w:after="60"/>
        <w:jc w:val="both"/>
      </w:pPr>
      <w:r w:rsidRPr="00EC718C">
        <w:tab/>
      </w:r>
      <w:r w:rsidR="003B1F87" w:rsidRPr="00EC718C">
        <w:t>Ide</w:t>
      </w:r>
      <w:r w:rsidR="00032A1A" w:rsidRPr="00EC718C">
        <w:t xml:space="preserve"> najmä o</w:t>
      </w:r>
      <w:r w:rsidR="00C20DAD">
        <w:t> tieto úpravy</w:t>
      </w:r>
    </w:p>
    <w:p w14:paraId="2427493A" w14:textId="77777777" w:rsidR="00AD0161" w:rsidRPr="00EC718C" w:rsidRDefault="00032A1A" w:rsidP="00AD0161">
      <w:pPr>
        <w:pStyle w:val="Odsekzoznamu"/>
        <w:numPr>
          <w:ilvl w:val="0"/>
          <w:numId w:val="6"/>
        </w:numPr>
        <w:spacing w:after="60"/>
        <w:jc w:val="both"/>
      </w:pPr>
      <w:r w:rsidRPr="00EC718C">
        <w:t>rozšírenie okruhu aktív, ktoré</w:t>
      </w:r>
      <w:r w:rsidR="00AD0161" w:rsidRPr="00EC718C">
        <w:t xml:space="preserve"> </w:t>
      </w:r>
      <w:r w:rsidR="00116D11" w:rsidRPr="00EC718C">
        <w:t xml:space="preserve">je možné zahrnúť do krycieho súboru a ktoré </w:t>
      </w:r>
      <w:r w:rsidR="00AD0161" w:rsidRPr="00EC718C">
        <w:t xml:space="preserve">musia byť vysoko kvalitné v záujme zabezpečenia spoľahlivosti krycieho </w:t>
      </w:r>
      <w:r w:rsidR="00116D11" w:rsidRPr="00EC718C">
        <w:t>súboru</w:t>
      </w:r>
      <w:r w:rsidRPr="00EC718C">
        <w:t xml:space="preserve">, </w:t>
      </w:r>
    </w:p>
    <w:p w14:paraId="12310C04" w14:textId="77777777" w:rsidR="0089340F" w:rsidRPr="00EC718C" w:rsidRDefault="00AD0161" w:rsidP="00AD0161">
      <w:pPr>
        <w:pStyle w:val="Odsekzoznamu"/>
        <w:numPr>
          <w:ilvl w:val="0"/>
          <w:numId w:val="6"/>
        </w:numPr>
        <w:spacing w:after="60"/>
        <w:jc w:val="both"/>
      </w:pPr>
      <w:r w:rsidRPr="00EC718C">
        <w:t xml:space="preserve">ustanovenia týkajúce sa spoločného financovania a možnosti nákupu aktív alebo prevodu aktív prostredníctvom dohody o finančných zárukách od iných bánk alebo prípadne </w:t>
      </w:r>
      <w:r w:rsidR="00116D11" w:rsidRPr="00EC718C">
        <w:t>od iných spoločností, ktoré nie sú bankami</w:t>
      </w:r>
      <w:r w:rsidR="009E5DDD" w:rsidRPr="00EC718C">
        <w:t>,</w:t>
      </w:r>
      <w:r w:rsidR="00116D11" w:rsidRPr="00EC718C">
        <w:t xml:space="preserve"> avšak za dodržania dôsledného posúdenia úverovej bonity dlžníka,</w:t>
      </w:r>
    </w:p>
    <w:p w14:paraId="7EA6B60A" w14:textId="6F4D9164" w:rsidR="00AD0161" w:rsidRPr="00EC718C" w:rsidRDefault="00C76B95" w:rsidP="00AD0161">
      <w:pPr>
        <w:pStyle w:val="Odsekzoznamu"/>
        <w:numPr>
          <w:ilvl w:val="0"/>
          <w:numId w:val="6"/>
        </w:numPr>
        <w:spacing w:after="60"/>
        <w:jc w:val="both"/>
      </w:pPr>
      <w:r w:rsidRPr="00EC718C">
        <w:t>zosúladenie</w:t>
      </w:r>
      <w:r w:rsidR="00AD0161" w:rsidRPr="00EC718C">
        <w:t xml:space="preserve"> informácií, ktoré má banka, ktorá emituje kryté dlhopisy, zverejňovať pre investorov</w:t>
      </w:r>
      <w:r w:rsidR="00116D11" w:rsidRPr="00EC718C">
        <w:t xml:space="preserve"> </w:t>
      </w:r>
      <w:r w:rsidR="00AD0161" w:rsidRPr="00EC718C">
        <w:t>a</w:t>
      </w:r>
      <w:r w:rsidR="00781B1B" w:rsidRPr="00EC718C">
        <w:t> definovanie tých</w:t>
      </w:r>
      <w:r w:rsidR="005804BA" w:rsidRPr="00EC718C">
        <w:t xml:space="preserve"> informácií</w:t>
      </w:r>
      <w:r w:rsidR="00781B1B" w:rsidRPr="00EC718C">
        <w:t xml:space="preserve">, ktoré má </w:t>
      </w:r>
      <w:r w:rsidR="00AD0161" w:rsidRPr="00EC718C">
        <w:t>predkladať Národnej banke Slovenska,</w:t>
      </w:r>
    </w:p>
    <w:p w14:paraId="5CA28D80" w14:textId="77777777" w:rsidR="00116D11" w:rsidRPr="00EC718C" w:rsidRDefault="00116D11" w:rsidP="00AD0161">
      <w:pPr>
        <w:pStyle w:val="Odsekzoznamu"/>
        <w:numPr>
          <w:ilvl w:val="0"/>
          <w:numId w:val="6"/>
        </w:numPr>
        <w:spacing w:after="60"/>
        <w:jc w:val="both"/>
      </w:pPr>
      <w:r w:rsidRPr="00EC718C">
        <w:t>úpravy ohľadne ukazovateľa krytia v závislosti od zloženia krycieho súboru, resp. programu krytých dlhopisov,</w:t>
      </w:r>
    </w:p>
    <w:p w14:paraId="631B48AE" w14:textId="77777777" w:rsidR="00116D11" w:rsidRPr="00EC718C" w:rsidRDefault="00116D11" w:rsidP="00AD0161">
      <w:pPr>
        <w:pStyle w:val="Odsekzoznamu"/>
        <w:numPr>
          <w:ilvl w:val="0"/>
          <w:numId w:val="6"/>
        </w:numPr>
        <w:spacing w:after="60"/>
        <w:jc w:val="both"/>
      </w:pPr>
      <w:r w:rsidRPr="00EC718C">
        <w:t>úpravy súvisiace s predbežným súhlasom na vykonávanie činností s programom krytých dlhopisov a úpravy sankcií</w:t>
      </w:r>
      <w:r w:rsidR="007172D6" w:rsidRPr="00EC718C">
        <w:t xml:space="preserve"> a</w:t>
      </w:r>
    </w:p>
    <w:p w14:paraId="28C02B9B" w14:textId="77777777" w:rsidR="00116D11" w:rsidRPr="00EC718C" w:rsidRDefault="00116D11" w:rsidP="00AD0161">
      <w:pPr>
        <w:pStyle w:val="Odsekzoznamu"/>
        <w:numPr>
          <w:ilvl w:val="0"/>
          <w:numId w:val="6"/>
        </w:numPr>
        <w:spacing w:after="60"/>
        <w:jc w:val="both"/>
      </w:pPr>
      <w:r w:rsidRPr="00EC718C">
        <w:t>jednotné označovanie krytých dlhopisov v celej Európskej únii</w:t>
      </w:r>
      <w:r w:rsidR="001E7798" w:rsidRPr="00EC718C">
        <w:t xml:space="preserve">. </w:t>
      </w:r>
    </w:p>
    <w:p w14:paraId="6596487C" w14:textId="77777777" w:rsidR="00DC5294" w:rsidRDefault="00135F6F" w:rsidP="00FD3080">
      <w:pPr>
        <w:spacing w:before="120" w:after="120"/>
        <w:jc w:val="both"/>
      </w:pPr>
      <w:r w:rsidRPr="00EC718C">
        <w:tab/>
      </w:r>
      <w:r w:rsidR="00DC5294" w:rsidRPr="00DC5294">
        <w:t>V nadväznosti na Čl. I návrh zákona o bankách sa upravuje v čl. IV novela zákona o cenných papieroch týkajúca sa umiestňovania krytých dlhopisov ako finančných nástrojov na účely služby hromadného financovania podľa nariadenia Európskeho parlamentu a Rady (EÚ) 2020/1503 zo 7. októbra 2020 o európskych poskytovateľoch služieb hromadného financovania pre podnikanie a o zmene nariadenia (EÚ) 2017/1129 a smernice (EÚ) 2019/1937 (Ú. v. EÚ L 347, 20.10.2020).</w:t>
      </w:r>
    </w:p>
    <w:p w14:paraId="6F559E77" w14:textId="38029BFE" w:rsidR="00135F6F" w:rsidRPr="00EC718C" w:rsidRDefault="00DC5294" w:rsidP="00FD3080">
      <w:pPr>
        <w:spacing w:before="120" w:after="120"/>
        <w:jc w:val="both"/>
      </w:pPr>
      <w:r>
        <w:tab/>
      </w:r>
      <w:r w:rsidR="00135F6F" w:rsidRPr="00EC718C">
        <w:t xml:space="preserve">Zmeny v zákone o bankách si vyžiadali ďalšie legislatívne úpravy v súvisiacich </w:t>
      </w:r>
      <w:r w:rsidR="00FD3080" w:rsidRPr="00EC718C">
        <w:t xml:space="preserve">právnych predpisoch – v </w:t>
      </w:r>
      <w:r w:rsidR="00135F6F" w:rsidRPr="00EC718C">
        <w:t>zákon</w:t>
      </w:r>
      <w:r w:rsidR="00FD3080" w:rsidRPr="00EC718C">
        <w:t>e</w:t>
      </w:r>
      <w:r w:rsidR="00135F6F" w:rsidRPr="00EC718C">
        <w:t xml:space="preserve"> </w:t>
      </w:r>
      <w:r w:rsidR="00FD3080" w:rsidRPr="00EC718C">
        <w:t xml:space="preserve">č. 530/1990 Zb. </w:t>
      </w:r>
      <w:r w:rsidR="00135F6F" w:rsidRPr="00EC718C">
        <w:t>o</w:t>
      </w:r>
      <w:r w:rsidR="00F3094B" w:rsidRPr="00EC718C">
        <w:t> </w:t>
      </w:r>
      <w:r w:rsidR="00135F6F" w:rsidRPr="00EC718C">
        <w:t>dlhopisoch</w:t>
      </w:r>
      <w:r w:rsidR="00F3094B" w:rsidRPr="00EC718C">
        <w:t xml:space="preserve"> v znení neskorších predpisov</w:t>
      </w:r>
      <w:r w:rsidR="00135F6F" w:rsidRPr="00EC718C">
        <w:t>,</w:t>
      </w:r>
      <w:r w:rsidR="00FD3080" w:rsidRPr="00EC718C">
        <w:t xml:space="preserve"> zákone č. 118/1996 Z. z. o ochrane vkladov</w:t>
      </w:r>
      <w:r w:rsidR="00F3094B" w:rsidRPr="00EC718C">
        <w:t xml:space="preserve"> a o zmene a doplnení niektorých zákonov v znení neskorších predpisov</w:t>
      </w:r>
      <w:r w:rsidR="00FD3080" w:rsidRPr="00EC718C">
        <w:t xml:space="preserve">, </w:t>
      </w:r>
      <w:r w:rsidR="004D222D" w:rsidRPr="00EC718C">
        <w:t>v zákone č. 566/2001 Z. z. o cenných papieroch a investičných službách a o zmene a doplnení niektorých zákonov (zákon o cenných papieroch) v znení neskorších predpisov, v </w:t>
      </w:r>
      <w:r w:rsidR="00FD3080" w:rsidRPr="00EC718C">
        <w:t>zákone č. 7/2005 Z. z. o konkurze a</w:t>
      </w:r>
      <w:r w:rsidR="00F3094B" w:rsidRPr="00EC718C">
        <w:t> </w:t>
      </w:r>
      <w:r w:rsidR="00FD3080" w:rsidRPr="00EC718C">
        <w:t>reštrukturalizácii</w:t>
      </w:r>
      <w:r w:rsidR="00F3094B" w:rsidRPr="00EC718C">
        <w:t xml:space="preserve"> a </w:t>
      </w:r>
      <w:r w:rsidR="004D222D" w:rsidRPr="00EC718C">
        <w:t>o</w:t>
      </w:r>
      <w:r w:rsidR="00F3094B" w:rsidRPr="00EC718C">
        <w:t> zmene a doplnení niektorých zákonov v znení neskorších predpisov</w:t>
      </w:r>
      <w:r w:rsidR="004D222D" w:rsidRPr="00EC718C">
        <w:t xml:space="preserve">, </w:t>
      </w:r>
      <w:r w:rsidR="00F3094B" w:rsidRPr="00EC718C">
        <w:t>v</w:t>
      </w:r>
      <w:r w:rsidR="004D222D" w:rsidRPr="00EC718C">
        <w:t> </w:t>
      </w:r>
      <w:r w:rsidR="00135F6F" w:rsidRPr="00EC718C">
        <w:t>zákon</w:t>
      </w:r>
      <w:r w:rsidR="00FD3080" w:rsidRPr="00EC718C">
        <w:t>e</w:t>
      </w:r>
      <w:r w:rsidR="004D222D" w:rsidRPr="00EC718C">
        <w:t xml:space="preserve"> </w:t>
      </w:r>
      <w:r w:rsidR="00FD3080" w:rsidRPr="00EC718C">
        <w:t xml:space="preserve">č. 203/2011 Z. z. </w:t>
      </w:r>
      <w:r w:rsidR="00135F6F" w:rsidRPr="00EC718C">
        <w:t>o</w:t>
      </w:r>
      <w:r w:rsidR="00FD3080" w:rsidRPr="00EC718C">
        <w:t> kolektívnom investovaní</w:t>
      </w:r>
      <w:r w:rsidR="00F3094B" w:rsidRPr="00EC718C">
        <w:t xml:space="preserve"> v znení neskorších predpisov</w:t>
      </w:r>
      <w:r w:rsidR="00365DDD">
        <w:t xml:space="preserve">, </w:t>
      </w:r>
      <w:r w:rsidR="004D222D" w:rsidRPr="00EC718C">
        <w:t xml:space="preserve">v zákone č. </w:t>
      </w:r>
      <w:r w:rsidR="004D222D" w:rsidRPr="00EC718C">
        <w:rPr>
          <w:color w:val="000000" w:themeColor="text1"/>
        </w:rPr>
        <w:t>371/2014 Z. z. o riešení krízových situácií na finančnom trhu a o zmene a doplnení niektorých zákonov v znení neskorších predpisov</w:t>
      </w:r>
      <w:r w:rsidR="00365DDD">
        <w:rPr>
          <w:color w:val="000000" w:themeColor="text1"/>
        </w:rPr>
        <w:t xml:space="preserve">, v zákone č. </w:t>
      </w:r>
      <w:r w:rsidR="00365DDD" w:rsidRPr="00365DDD">
        <w:rPr>
          <w:color w:val="000000" w:themeColor="text1"/>
        </w:rPr>
        <w:t>39/2015 Z. z.</w:t>
      </w:r>
      <w:r w:rsidR="00365DDD">
        <w:rPr>
          <w:color w:val="000000" w:themeColor="text1"/>
        </w:rPr>
        <w:t xml:space="preserve"> </w:t>
      </w:r>
      <w:r w:rsidR="00365DDD" w:rsidRPr="00365DDD">
        <w:rPr>
          <w:color w:val="000000" w:themeColor="text1"/>
        </w:rPr>
        <w:t>o poisťovníctve a o zmene a doplnení niektorých zákonov</w:t>
      </w:r>
      <w:r w:rsidR="009F1E20">
        <w:rPr>
          <w:color w:val="000000" w:themeColor="text1"/>
        </w:rPr>
        <w:t xml:space="preserve">, </w:t>
      </w:r>
      <w:r w:rsidR="009F1E20">
        <w:rPr>
          <w:color w:val="000000" w:themeColor="text1"/>
        </w:rPr>
        <w:lastRenderedPageBreak/>
        <w:t xml:space="preserve">v zákone č. 461/2003 Z. z. </w:t>
      </w:r>
      <w:r w:rsidR="009F1E20" w:rsidRPr="009F1E20">
        <w:rPr>
          <w:color w:val="000000" w:themeColor="text1"/>
        </w:rPr>
        <w:t>o sociálnom poistení</w:t>
      </w:r>
      <w:r w:rsidR="009F1E20" w:rsidRPr="009F1E20">
        <w:t xml:space="preserve"> </w:t>
      </w:r>
      <w:r w:rsidR="009F1E20" w:rsidRPr="00EC718C">
        <w:t>v znení neskorších predpisov</w:t>
      </w:r>
      <w:r w:rsidR="00365DDD">
        <w:rPr>
          <w:color w:val="000000" w:themeColor="text1"/>
        </w:rPr>
        <w:t xml:space="preserve"> a v zákone č.</w:t>
      </w:r>
      <w:r w:rsidR="009F1E20">
        <w:rPr>
          <w:color w:val="000000" w:themeColor="text1"/>
        </w:rPr>
        <w:t> </w:t>
      </w:r>
      <w:r w:rsidR="00365DDD" w:rsidRPr="00365DDD">
        <w:rPr>
          <w:color w:val="000000" w:themeColor="text1"/>
        </w:rPr>
        <w:t>492/2009 Z. z.</w:t>
      </w:r>
      <w:r w:rsidR="00365DDD">
        <w:rPr>
          <w:color w:val="000000" w:themeColor="text1"/>
        </w:rPr>
        <w:t xml:space="preserve"> </w:t>
      </w:r>
      <w:r w:rsidR="00365DDD" w:rsidRPr="00365DDD">
        <w:rPr>
          <w:color w:val="000000" w:themeColor="text1"/>
        </w:rPr>
        <w:t>o platobných službách a o zmene a doplnení niektorých zákonov</w:t>
      </w:r>
      <w:r w:rsidR="00FD3080" w:rsidRPr="00EC718C">
        <w:t>.</w:t>
      </w:r>
    </w:p>
    <w:p w14:paraId="42AD2E2C" w14:textId="21846B07" w:rsidR="00D805AE" w:rsidRPr="00EC718C" w:rsidRDefault="005D1D48" w:rsidP="00E51502">
      <w:pPr>
        <w:spacing w:after="120"/>
        <w:jc w:val="both"/>
      </w:pPr>
      <w:r w:rsidRPr="00EC718C">
        <w:tab/>
        <w:t xml:space="preserve">Súčasťou návrhu sú aj legislatívne úpravy </w:t>
      </w:r>
      <w:r w:rsidR="00D805AE" w:rsidRPr="00EC718C">
        <w:t>spočívajúce v spresnení niektorých platných ustanovení</w:t>
      </w:r>
      <w:r w:rsidR="00206816" w:rsidRPr="00EC718C">
        <w:t xml:space="preserve"> </w:t>
      </w:r>
      <w:r w:rsidR="00D805AE" w:rsidRPr="00EC718C">
        <w:t>s cieľom reagovať na poznatky a skúsenosti z aplikačnej praxe</w:t>
      </w:r>
      <w:r w:rsidR="00D53086" w:rsidRPr="00EC718C">
        <w:t xml:space="preserve"> (napr. </w:t>
      </w:r>
      <w:r w:rsidR="003E36E0" w:rsidRPr="00EC718C">
        <w:t xml:space="preserve">precizovanie obsahu splnomocňovacieho ustanovenia § 94 ods. 6 </w:t>
      </w:r>
      <w:r w:rsidR="001E39B8" w:rsidRPr="00EC718C">
        <w:t xml:space="preserve">na </w:t>
      </w:r>
      <w:r w:rsidR="003E36E0" w:rsidRPr="00EC718C">
        <w:t>vydanie opatrenia Nár</w:t>
      </w:r>
      <w:r w:rsidR="00450C4F" w:rsidRPr="00EC718C">
        <w:t>odnou bankou Slovenska o aspektoch</w:t>
      </w:r>
      <w:r w:rsidR="003E36E0" w:rsidRPr="00EC718C">
        <w:t xml:space="preserve"> elektronického podávania žiadostí, doplnenie splnomocňovacieho ustanovenia na ustanovenie podrobností o nezávislosti člena štatutárneho orgánu alebo dozornej rady banky</w:t>
      </w:r>
      <w:r w:rsidR="00D53086" w:rsidRPr="00EC718C">
        <w:t>)</w:t>
      </w:r>
      <w:r w:rsidR="00D805AE" w:rsidRPr="00EC718C">
        <w:t xml:space="preserve">. </w:t>
      </w:r>
      <w:r w:rsidR="004D222D" w:rsidRPr="00EC718C">
        <w:t xml:space="preserve">Ide </w:t>
      </w:r>
      <w:r w:rsidR="00D805AE" w:rsidRPr="00EC718C">
        <w:t>o úpravy technického charakteru, ktoré neprinášajú do praktického fungovania zásadné zmeny.</w:t>
      </w:r>
    </w:p>
    <w:p w14:paraId="08D11A0A" w14:textId="6E93A8B4" w:rsidR="00E51502" w:rsidRPr="00EC718C" w:rsidRDefault="00E51502" w:rsidP="00E51502">
      <w:pPr>
        <w:spacing w:after="120"/>
        <w:jc w:val="both"/>
        <w:rPr>
          <w:color w:val="000000"/>
          <w:lang w:eastAsia="sk-SK"/>
        </w:rPr>
      </w:pPr>
      <w:r w:rsidRPr="00EC718C">
        <w:rPr>
          <w:color w:val="000000"/>
          <w:lang w:eastAsia="sk-SK"/>
        </w:rPr>
        <w:tab/>
      </w:r>
      <w:r w:rsidR="00C66DC8" w:rsidRPr="00C66DC8">
        <w:rPr>
          <w:color w:val="000000"/>
          <w:lang w:eastAsia="sk-SK"/>
        </w:rPr>
        <w:t>Návrh zákona nie je predmetom vnútrokomunitárneho pripomienkového konania.</w:t>
      </w:r>
    </w:p>
    <w:p w14:paraId="58E0B31E" w14:textId="14063C6F" w:rsidR="007D4A94" w:rsidRDefault="005D1D48" w:rsidP="00E51502">
      <w:pPr>
        <w:spacing w:after="120"/>
        <w:jc w:val="both"/>
      </w:pPr>
      <w:r w:rsidRPr="00EC718C">
        <w:tab/>
      </w:r>
      <w:r w:rsidR="00F01722" w:rsidRPr="00EC718C">
        <w:t xml:space="preserve">Účinnosť </w:t>
      </w:r>
      <w:r w:rsidR="00F531EA" w:rsidRPr="00EC718C">
        <w:t>ustanovení týkajúcich sa krytých dlhopisov</w:t>
      </w:r>
      <w:r w:rsidR="007172D6" w:rsidRPr="00EC718C">
        <w:t xml:space="preserve"> </w:t>
      </w:r>
      <w:r w:rsidR="00F01722" w:rsidRPr="00EC718C">
        <w:t xml:space="preserve">sa navrhuje </w:t>
      </w:r>
      <w:r w:rsidR="007172D6" w:rsidRPr="00EC718C">
        <w:t xml:space="preserve">s dostatočne dlhou </w:t>
      </w:r>
      <w:r w:rsidR="00F007E1" w:rsidRPr="00EC718C">
        <w:t>legisvakačnou lehotou</w:t>
      </w:r>
      <w:r w:rsidR="007172D6" w:rsidRPr="00EC718C">
        <w:t xml:space="preserve"> a </w:t>
      </w:r>
      <w:r w:rsidR="007D4A94" w:rsidRPr="00EC718C">
        <w:t>v súlade s</w:t>
      </w:r>
      <w:r w:rsidR="00C84331" w:rsidRPr="00EC718C">
        <w:t xml:space="preserve">o smernicou </w:t>
      </w:r>
      <w:r w:rsidR="00B3646B" w:rsidRPr="00EC718C">
        <w:t>CBD</w:t>
      </w:r>
      <w:r w:rsidR="00067F37" w:rsidRPr="00EC718C">
        <w:t xml:space="preserve"> </w:t>
      </w:r>
      <w:r w:rsidR="007D4A94" w:rsidRPr="00EC718C">
        <w:t xml:space="preserve">na </w:t>
      </w:r>
      <w:r w:rsidR="00B3646B" w:rsidRPr="00EC718C">
        <w:t xml:space="preserve">8. júla 2022. </w:t>
      </w:r>
      <w:r w:rsidR="00F531EA" w:rsidRPr="00EC718C">
        <w:t xml:space="preserve">Pri ustanoveniach vyplývajúcich z aplikačnej praxe sa navrhuje účinnosť od </w:t>
      </w:r>
      <w:r w:rsidR="00EC718C" w:rsidRPr="00EC718C">
        <w:t xml:space="preserve">10. </w:t>
      </w:r>
      <w:r w:rsidR="00C67804">
        <w:t>decembra</w:t>
      </w:r>
      <w:r w:rsidR="00C67804" w:rsidRPr="00EC718C">
        <w:t xml:space="preserve"> </w:t>
      </w:r>
      <w:r w:rsidR="00EC718C" w:rsidRPr="00EC718C">
        <w:t>2021</w:t>
      </w:r>
      <w:r w:rsidR="00C67804">
        <w:t>, resp. 1. januára 2022</w:t>
      </w:r>
      <w:r w:rsidR="00F531EA" w:rsidRPr="00EC718C">
        <w:t>.</w:t>
      </w:r>
    </w:p>
    <w:p w14:paraId="1C18BC73" w14:textId="5D3EF746" w:rsidR="00896563" w:rsidRDefault="00896563" w:rsidP="00E51502">
      <w:pPr>
        <w:spacing w:after="120"/>
        <w:jc w:val="both"/>
      </w:pPr>
      <w:r>
        <w:tab/>
      </w:r>
      <w:r w:rsidRPr="005A6EBA">
        <w:t>Návrh zákona bol predmetom pripomienkového konania a</w:t>
      </w:r>
      <w:r>
        <w:t> </w:t>
      </w:r>
      <w:r w:rsidRPr="005A6EBA">
        <w:t>do ďalšieho legislatívneho procesu sa predkladá bez rozporov.</w:t>
      </w:r>
    </w:p>
    <w:sectPr w:rsidR="008965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6C516" w14:textId="77777777" w:rsidR="00993F17" w:rsidRDefault="00993F17" w:rsidP="00B81523">
      <w:r>
        <w:separator/>
      </w:r>
    </w:p>
  </w:endnote>
  <w:endnote w:type="continuationSeparator" w:id="0">
    <w:p w14:paraId="1674918A" w14:textId="77777777" w:rsidR="00993F17" w:rsidRDefault="00993F17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8964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99F040" w14:textId="77777777" w:rsidR="00B81523" w:rsidRPr="00B81523" w:rsidRDefault="00B81523">
        <w:pPr>
          <w:pStyle w:val="Pta"/>
          <w:jc w:val="right"/>
          <w:rPr>
            <w:sz w:val="22"/>
            <w:szCs w:val="22"/>
          </w:rPr>
        </w:pPr>
        <w:r w:rsidRPr="00B81523">
          <w:rPr>
            <w:sz w:val="22"/>
            <w:szCs w:val="22"/>
          </w:rPr>
          <w:fldChar w:fldCharType="begin"/>
        </w:r>
        <w:r w:rsidRPr="00B81523">
          <w:rPr>
            <w:sz w:val="22"/>
            <w:szCs w:val="22"/>
          </w:rPr>
          <w:instrText>PAGE   \* MERGEFORMAT</w:instrText>
        </w:r>
        <w:r w:rsidRPr="00B81523">
          <w:rPr>
            <w:sz w:val="22"/>
            <w:szCs w:val="22"/>
          </w:rPr>
          <w:fldChar w:fldCharType="separate"/>
        </w:r>
        <w:r w:rsidR="00B2604B">
          <w:rPr>
            <w:noProof/>
            <w:sz w:val="22"/>
            <w:szCs w:val="22"/>
          </w:rPr>
          <w:t>1</w:t>
        </w:r>
        <w:r w:rsidRPr="00B8152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9224E" w14:textId="77777777" w:rsidR="00993F17" w:rsidRDefault="00993F17" w:rsidP="00B81523">
      <w:r>
        <w:separator/>
      </w:r>
    </w:p>
  </w:footnote>
  <w:footnote w:type="continuationSeparator" w:id="0">
    <w:p w14:paraId="7B8B706E" w14:textId="77777777" w:rsidR="00993F17" w:rsidRDefault="00993F17" w:rsidP="00B8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48F"/>
    <w:multiLevelType w:val="hybridMultilevel"/>
    <w:tmpl w:val="94FC1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47640"/>
    <w:multiLevelType w:val="hybridMultilevel"/>
    <w:tmpl w:val="84BA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43BA"/>
    <w:multiLevelType w:val="hybridMultilevel"/>
    <w:tmpl w:val="052A6E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2AC8"/>
    <w:multiLevelType w:val="hybridMultilevel"/>
    <w:tmpl w:val="0944B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932EC"/>
    <w:multiLevelType w:val="hybridMultilevel"/>
    <w:tmpl w:val="81B452CC"/>
    <w:lvl w:ilvl="0" w:tplc="DBE8C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A7D40"/>
    <w:multiLevelType w:val="hybridMultilevel"/>
    <w:tmpl w:val="A808CD78"/>
    <w:lvl w:ilvl="0" w:tplc="C0DC55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6608"/>
    <w:multiLevelType w:val="hybridMultilevel"/>
    <w:tmpl w:val="2A58C7CC"/>
    <w:lvl w:ilvl="0" w:tplc="C1FEB84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E4"/>
    <w:rsid w:val="00017160"/>
    <w:rsid w:val="00032A1A"/>
    <w:rsid w:val="000520C1"/>
    <w:rsid w:val="00067F37"/>
    <w:rsid w:val="00116D11"/>
    <w:rsid w:val="00135F6F"/>
    <w:rsid w:val="00175C32"/>
    <w:rsid w:val="001D7558"/>
    <w:rsid w:val="001E39B8"/>
    <w:rsid w:val="001E7798"/>
    <w:rsid w:val="001F379D"/>
    <w:rsid w:val="00206816"/>
    <w:rsid w:val="00231B51"/>
    <w:rsid w:val="00245859"/>
    <w:rsid w:val="002A2B0F"/>
    <w:rsid w:val="002E1B7A"/>
    <w:rsid w:val="002E59A1"/>
    <w:rsid w:val="002F5D28"/>
    <w:rsid w:val="003558AF"/>
    <w:rsid w:val="00365DDD"/>
    <w:rsid w:val="00375E34"/>
    <w:rsid w:val="00394D27"/>
    <w:rsid w:val="003B181D"/>
    <w:rsid w:val="003B1F87"/>
    <w:rsid w:val="003C59DA"/>
    <w:rsid w:val="003E36E0"/>
    <w:rsid w:val="004002D9"/>
    <w:rsid w:val="00421396"/>
    <w:rsid w:val="00450C4F"/>
    <w:rsid w:val="00460D0D"/>
    <w:rsid w:val="00475FF6"/>
    <w:rsid w:val="00494441"/>
    <w:rsid w:val="004D222D"/>
    <w:rsid w:val="004F3E68"/>
    <w:rsid w:val="004F5C8A"/>
    <w:rsid w:val="005109CD"/>
    <w:rsid w:val="00574912"/>
    <w:rsid w:val="00575EE4"/>
    <w:rsid w:val="005802DD"/>
    <w:rsid w:val="005804BA"/>
    <w:rsid w:val="005A4D3F"/>
    <w:rsid w:val="005D1D48"/>
    <w:rsid w:val="005E09BD"/>
    <w:rsid w:val="006129A6"/>
    <w:rsid w:val="006422D7"/>
    <w:rsid w:val="0064248E"/>
    <w:rsid w:val="006F3606"/>
    <w:rsid w:val="006F7136"/>
    <w:rsid w:val="007172D6"/>
    <w:rsid w:val="00781B1B"/>
    <w:rsid w:val="007A3AC1"/>
    <w:rsid w:val="007D2F05"/>
    <w:rsid w:val="007D4A94"/>
    <w:rsid w:val="0081385A"/>
    <w:rsid w:val="008516AF"/>
    <w:rsid w:val="008524F4"/>
    <w:rsid w:val="0088709E"/>
    <w:rsid w:val="0089340F"/>
    <w:rsid w:val="00896563"/>
    <w:rsid w:val="00903077"/>
    <w:rsid w:val="00920E54"/>
    <w:rsid w:val="00931492"/>
    <w:rsid w:val="00956AEA"/>
    <w:rsid w:val="0096185C"/>
    <w:rsid w:val="00993F17"/>
    <w:rsid w:val="009B050E"/>
    <w:rsid w:val="009C6E43"/>
    <w:rsid w:val="009E5DDD"/>
    <w:rsid w:val="009F1E20"/>
    <w:rsid w:val="00A32F4F"/>
    <w:rsid w:val="00A346E4"/>
    <w:rsid w:val="00A64EAD"/>
    <w:rsid w:val="00A73789"/>
    <w:rsid w:val="00AB7EA8"/>
    <w:rsid w:val="00AD0161"/>
    <w:rsid w:val="00AE0106"/>
    <w:rsid w:val="00AE45EE"/>
    <w:rsid w:val="00B01010"/>
    <w:rsid w:val="00B2604B"/>
    <w:rsid w:val="00B347C8"/>
    <w:rsid w:val="00B3646B"/>
    <w:rsid w:val="00B53DDF"/>
    <w:rsid w:val="00B81523"/>
    <w:rsid w:val="00BD1598"/>
    <w:rsid w:val="00C20DAD"/>
    <w:rsid w:val="00C66DC8"/>
    <w:rsid w:val="00C67804"/>
    <w:rsid w:val="00C76B95"/>
    <w:rsid w:val="00C84331"/>
    <w:rsid w:val="00CC72BC"/>
    <w:rsid w:val="00D038D5"/>
    <w:rsid w:val="00D53086"/>
    <w:rsid w:val="00D60CAF"/>
    <w:rsid w:val="00D713C1"/>
    <w:rsid w:val="00D805AE"/>
    <w:rsid w:val="00DC5294"/>
    <w:rsid w:val="00DD4002"/>
    <w:rsid w:val="00DF5004"/>
    <w:rsid w:val="00E071E3"/>
    <w:rsid w:val="00E51502"/>
    <w:rsid w:val="00E85D53"/>
    <w:rsid w:val="00E95E5A"/>
    <w:rsid w:val="00EC718C"/>
    <w:rsid w:val="00ED5A22"/>
    <w:rsid w:val="00F007E1"/>
    <w:rsid w:val="00F01722"/>
    <w:rsid w:val="00F12203"/>
    <w:rsid w:val="00F200B8"/>
    <w:rsid w:val="00F3094B"/>
    <w:rsid w:val="00F46C74"/>
    <w:rsid w:val="00F531EA"/>
    <w:rsid w:val="00FB7CCE"/>
    <w:rsid w:val="00FD3080"/>
    <w:rsid w:val="4FAFB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2A0B"/>
  <w15:docId w15:val="{122CDE9A-7E20-4C1B-AEFE-7FFCD4EC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75E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5EE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575EE4"/>
    <w:pPr>
      <w:ind w:left="720"/>
      <w:contextualSpacing/>
    </w:pPr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575EE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8152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15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aliases w:val="Hlavní písmo"/>
    <w:basedOn w:val="Normlny"/>
    <w:link w:val="BezriadkovaniaChar"/>
    <w:uiPriority w:val="1"/>
    <w:qFormat/>
    <w:rsid w:val="00D805AE"/>
    <w:pPr>
      <w:suppressAutoHyphens/>
      <w:spacing w:before="80" w:after="200" w:line="276" w:lineRule="auto"/>
      <w:jc w:val="both"/>
    </w:pPr>
    <w:rPr>
      <w:rFonts w:ascii="Calibri" w:eastAsia="Droid Sans Fallback" w:hAnsi="Calibri"/>
      <w:sz w:val="22"/>
      <w:szCs w:val="22"/>
      <w:lang w:val="cs-CZ" w:eastAsia="en-US"/>
    </w:rPr>
  </w:style>
  <w:style w:type="character" w:customStyle="1" w:styleId="BezriadkovaniaChar">
    <w:name w:val="Bez riadkovania Char"/>
    <w:aliases w:val="Hlavní písmo Char"/>
    <w:link w:val="Bezriadkovania"/>
    <w:uiPriority w:val="1"/>
    <w:rsid w:val="00D805AE"/>
    <w:rPr>
      <w:rFonts w:ascii="Calibri" w:eastAsia="Droid Sans Fallback" w:hAnsi="Calibri" w:cs="Times New Roman"/>
      <w:lang w:val="cs-CZ"/>
    </w:rPr>
  </w:style>
  <w:style w:type="paragraph" w:customStyle="1" w:styleId="Default">
    <w:name w:val="Default"/>
    <w:rsid w:val="00F12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22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2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D22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22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22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22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22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wspan">
    <w:name w:val="awspan"/>
    <w:basedOn w:val="Predvolenpsmoodseku"/>
    <w:rsid w:val="0047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2_predkladacia_CBD"/>
    <f:field ref="objsubject" par="" edit="true" text=""/>
    <f:field ref="objcreatedby" par="" text="Poloma, Tomáš, Ing."/>
    <f:field ref="objcreatedat" par="" text="20.4.2021 15:49:59"/>
    <f:field ref="objchangedby" par="" text="Administrator, System"/>
    <f:field ref="objmodifiedat" par="" text="20.4.2021 15:49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worknbde</dc:creator>
  <cp:lastModifiedBy>Poloma Tomas</cp:lastModifiedBy>
  <cp:revision>2</cp:revision>
  <cp:lastPrinted>2021-06-01T08:45:00Z</cp:lastPrinted>
  <dcterms:created xsi:type="dcterms:W3CDTF">2021-06-01T11:23:00Z</dcterms:created>
  <dcterms:modified xsi:type="dcterms:W3CDTF">2021-06-01T11:23:00Z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align="center"&gt;&lt;strong&gt;Scenár 2: Verejnosť sa zúčastňuje na diskusii o tvorbe práv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Bankové a finančné inštitúcie_x000d_
Cenné papiere_x000d_
Poistenie a ochrana vkladov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Tomáš Poloma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Materiál sa predkladá na základe Plánu legislatívnych úloh vlády Slovenskej republiky na rok 2021_x000d_
</vt:lpwstr>
  </property>
  <property fmtid="{D5CDD505-2E9C-101B-9397-08002B2CF9AE}" pid="23" name="FSC#SKEDITIONSLOVLEX@103.510:plnynazovpredpis">
    <vt:lpwstr> Zákon,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MF/003875/2021-632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LP/2021/178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3 ods. 1 písm. b), čl. 4, čl. 26 ods. 2, čl. 49 až 66 Zmluvy o fungovaní Európskej únie (Ú. v. EÚ C 202, 7.6.2016) v platnom znení,_x000d_
protokol č. 4 o Štatúte Európskeho systému centrálnych bánk a Európskej centrálnej banky pripojený k Zmluve o fungovan</vt:lpwstr>
  </property>
  <property fmtid="{D5CDD505-2E9C-101B-9397-08002B2CF9AE}" pid="47" name="FSC#SKEDITIONSLOVLEX@103.510:AttrStrListDocPropSekundarneLegPravoPO">
    <vt:lpwstr>smernica Európskeho parlamentu a Rady (EÚ) 2019/2162 z 27. novembra 2019 o emisii krytých dlhopisov a verejnom dohľade nad krytými dlhopismi a ktorou sa menia smernice 2009/65/ES a 2014/59/EÚ (Ú. v. EÚ L 328, 18.12.2019), gestor: MF SR, spolugestor: NBS,_x000d_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Súdneho dvora vo veci C-452/04, Fidium Finanz AG proti Bundesanstalt für Finanzdienstleistungsaufsicht, [2006],_x000d_
Výrok rozhodnutia:  Vnútroštátna právna úprava, podľa ktorej členský štát na výkon činnosti poskytovania úverov v rámci podnikateľske</vt:lpwstr>
  </property>
  <property fmtid="{D5CDD505-2E9C-101B-9397-08002B2CF9AE}" pid="52" name="FSC#SKEDITIONSLOVLEX@103.510:AttrStrListDocPropLehotaPrebratieSmernice">
    <vt:lpwstr>Lehota na prebratie smernice (EÚ) 2019/2162 je stanovená do 8. júla 2021._x000d_
Lehota na prebratie smernice 2014/49/EÚ bola stanovená do 3. júla 2015 s výnimkou  článku 8 ods. 4 kde bola stanovená lehota do 31. mája 2016._x000d_
Lehota na prebranie smernice 2014/59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2013/36/EÚ v platnom znení bola prebratá do zákona č. 483/2001 Z. z. o bankách a o zmene a doplnení niektorých zákonov v znení neskorších predpisov, do zákona č. 566/2001 Z. z. o cenných papieroch a investičných službách a o zmene a doplnení niek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19. 3. 2021</vt:lpwstr>
  </property>
  <property fmtid="{D5CDD505-2E9C-101B-9397-08002B2CF9AE}" pid="59" name="FSC#SKEDITIONSLOVLEX@103.510:AttrDateDocPropUkonceniePKK">
    <vt:lpwstr>1. 4. 2021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&lt;p&gt;Navrhovaná právna úprava by mala mať prevažne pozitívny dopad na podnikateľské prostredie, najmä vďaka zvýšeniu dôvery investorov, čím sa zlepší prístupu k&amp;nbsp;financovaniu úverov zabezpečených nehnuteľnosťami prostredníctvom vydávania krytých dlhopis</vt:lpwstr>
  </property>
  <property fmtid="{D5CDD505-2E9C-101B-9397-08002B2CF9AE}" pid="66" name="FSC#SKEDITIONSLOVLEX@103.510:AttrStrListDocPropAltRiesenia">
    <vt:lpwstr>Alternatívne riešenia neboli zvažované. Nulový variant nie je možné realizovať, keďže ide o transpozíciu smernice v nutnom rozsahu a v prípade nesplnenia povinnosti transpozície Európska komisia začne voči Slovenskej republike konanie o porušení podľa Zml</vt:lpwstr>
  </property>
  <property fmtid="{D5CDD505-2E9C-101B-9397-08002B2CF9AE}" pid="67" name="FSC#SKEDITIONSLOVLEX@103.510:AttrStrListDocPropStanoviskoGest">
    <vt:lpwstr>&lt;p&gt;Stála pracovná komisia na posudzovanie vybraných vplyvov neuplatňuje k materiálu žiadne pripomienky ani odporúčania.&lt;/p&gt;&lt;p&gt;Stála pracovná komisia na posudzovanie vybraných vplyvov vyjadruje súhlasné stanovisko s&amp;nbsp;materiálom predloženým na predbežné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republiky_x000d_
guvernér Národnej banky Slovenska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referentovi</vt:lpwstr>
  </property>
  <property fmtid="{D5CDD505-2E9C-101B-9397-08002B2CF9AE}" pid="140" name="FSC#SKEDITIONSLOVLEX@103.510:funkciaPredDativ">
    <vt:lpwstr>referenta</vt:lpwstr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COO.2145.1000.3.4330815</vt:lpwstr>
  </property>
  <property fmtid="{D5CDD505-2E9C-101B-9397-08002B2CF9AE}" pid="152" name="FSC#FSCFOLIO@1.1001:docpropproject">
    <vt:lpwstr/>
  </property>
</Properties>
</file>