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B6567" w:rsidRDefault="00FB6567">
      <w:pPr>
        <w:jc w:val="center"/>
        <w:divId w:val="942106654"/>
        <w:rPr>
          <w:rFonts w:ascii="Times" w:hAnsi="Times" w:cs="Times"/>
          <w:sz w:val="25"/>
          <w:szCs w:val="25"/>
        </w:rPr>
      </w:pPr>
      <w:r>
        <w:rPr>
          <w:rFonts w:ascii="Times" w:hAnsi="Times" w:cs="Times"/>
          <w:sz w:val="25"/>
          <w:szCs w:val="25"/>
        </w:rPr>
        <w:t>Nariadenie vlády Slovenskej republiky, ktorým sa mení a dopĺňa nariadenie vlády Slovenskej republiky č. 43/2005 Z. z., ktorým sa ustanovujú podrobnosti o strategických hlukových mapách a akčných plánoch ochrany pred hlukom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B6567" w:rsidP="00FB6567">
            <w:pPr>
              <w:spacing w:after="0" w:line="240" w:lineRule="auto"/>
              <w:rPr>
                <w:rFonts w:ascii="Times New Roman" w:hAnsi="Times New Roman" w:cs="Calibri"/>
                <w:sz w:val="20"/>
                <w:szCs w:val="20"/>
              </w:rPr>
            </w:pPr>
            <w:r>
              <w:rPr>
                <w:rFonts w:ascii="Times" w:hAnsi="Times" w:cs="Times"/>
                <w:sz w:val="25"/>
                <w:szCs w:val="25"/>
              </w:rPr>
              <w:t>21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B6567" w:rsidP="00FB6567">
            <w:pPr>
              <w:spacing w:after="0" w:line="240" w:lineRule="auto"/>
              <w:rPr>
                <w:rFonts w:ascii="Times New Roman" w:hAnsi="Times New Roman" w:cs="Calibri"/>
                <w:sz w:val="20"/>
                <w:szCs w:val="20"/>
              </w:rPr>
            </w:pPr>
            <w:r>
              <w:rPr>
                <w:rFonts w:ascii="Times" w:hAnsi="Times" w:cs="Times"/>
                <w:sz w:val="25"/>
                <w:szCs w:val="25"/>
              </w:rPr>
              <w:t>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B6567" w:rsidP="00FB6567">
            <w:pPr>
              <w:spacing w:after="0" w:line="240" w:lineRule="auto"/>
              <w:rPr>
                <w:rFonts w:ascii="Times New Roman" w:hAnsi="Times New Roman" w:cs="Calibri"/>
                <w:sz w:val="20"/>
                <w:szCs w:val="20"/>
              </w:rPr>
            </w:pPr>
            <w:r>
              <w:rPr>
                <w:rFonts w:ascii="Times" w:hAnsi="Times" w:cs="Times"/>
                <w:sz w:val="25"/>
                <w:szCs w:val="25"/>
              </w:rPr>
              <w:t>19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B6567" w:rsidP="00FB6567">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B6567" w:rsidP="00FB6567">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B6567" w:rsidRDefault="00FB656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FB6567">
        <w:trPr>
          <w:divId w:val="17565889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Vôbec nezaslali</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x</w:t>
            </w:r>
          </w:p>
        </w:tc>
      </w:tr>
      <w:tr w:rsidR="00FB6567">
        <w:trPr>
          <w:divId w:val="1756588929"/>
          <w:jc w:val="center"/>
        </w:trPr>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B6567" w:rsidRDefault="00FB656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B6567" w:rsidRDefault="00FB656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Spôsob vyhodnotenia</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br/>
              <w:t>1.) V Prílohe č. 1a v tabuľke Akčné hodnoty hlukových indikátorov vo vonkajšom prostredí Ldvn a Lnoc, v časti vonkajšie prostredie pre železničné dráhy, v časti Ldvn navrhujeme prípustnú hodnotu zvýšiť zo „65“ na „70“ a v časti Lnoc navrhujeme prípustnú hodnotu zvýšiť z „55“ na „65“. 2.) V Prílohe č. 1a v tabuľke Akčné hodnoty hlukových indikátorov vo vonkajšom prostredí Ldvn a Lnoc, v časti zdroje hluku pre pozemné komunikácie odporúčame hodnoty upraviť tak, ako je uvedené v návrhu Prílohy č. 1aa. Odôvodnenie: Akčné hodnoty hlukových indikátorov podľa platného znenia nariadenia vlády SR č. 43/2005 Z. z. sú nižšie v porovnaní s hodnotami, ktoré sú ustanovené Smernicou 2002/49/EC Európskeho parlamentu a Rady, ktorá sa týka posudzovania a riadenia enviromentálneho hluku. Na základe skúsenosti zo spracovania Strategických hlukových máp a akčných plánov pre stav v roku 2006, 2011 a 2016 a s ohľadom na prípustné hodnoty určujúcich veličín pre popis tzv. „starej hlukovej záťaže“ z pôsobenia dopravy v legislatíve zaoberajúcej sa objektivizáciou a hodnotením hluku vo vonkajšom prostredí z pohľadu ochrany a podpory verejného zdravia (Vyhláška Ministerstva zdravotníctva SR č. 549/2007 Z. z., ktorou sa ustanovujú podrobnosti o prípustných hodnotách hluku, infrazvuku a vibrácií a o požiadavkách na objektivizáciu hluku, infrazvuku a vibrácií v životnom prostredí), sú v súčasnosti platné akčné hodnoty hlukových indikátorov nízke.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Z hľadiska zachovania ochrany verejného zdravia pred škodlivými účinkami environmentálneho hluku v životnom prostredí nepripúšťame zvýšenie akčných hodnôt hlukových indikátorov.</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názve návrhu nariadenia slová „NARIADENIA VLÁDY SLOVENSKEJ REPUBLIKY“ nahradiť slovami „NARIADENIE VLÁDY Slovenskej republiky“ v súlade s bodom 18 prílohy LPV a vypustiť slová „mení a“ ako nadbytočné, v čl. I úvodnej vete slová „nariadenia vlády č. 150/2018 Z. z.“ nahradiť slovami „nariadenia vlády Slovenskej republiky č. 150/2018 Z. z.“ a vypustiť slová „mení a“ ako nadbytočné, v čl. I bode 2 úvodnej vete slová „č. 1“ nahradiť slovami „č. 1a“, v bode 2 prílohe č. 1aa za označením bodov 2.1. až 2.3., 3.1., 3.2., 3.2.1. až 3.2.3. a 3.3. vypustiť bodku, v bode 3.2.1 za slovo „železničnej“ vložiť slovo „dopravy“, v bode 3.2.2. slovo „nasledujúceho“ nahradiť slovom „tohto“, skratku „napr.“ uviesť v plnom znení, v bodoch 3.2.3. a 3.3. vypustiť slovo „potom“ a dvojbodku ako nadbytočné, v bode 3.3. za slovo „cestnej“ vložiť slovo „dopravy“ a za slovo „železničnej“ vložiť slovo „dopravy“, v bode 4. tretej a štvrtej odrážke za slovo „smernice“ vložiť slová „Európskeho parlamentu a Rady“ a za slová „kap. 15/zv. 7“ vložiť bodkočiarku a slová „Ú. v. ES L 189, 18. 7. 2002“].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názvu vlastného materiálu</w:t>
            </w:r>
            <w:r>
              <w:rPr>
                <w:rFonts w:ascii="Times" w:hAnsi="Times" w:cs="Times"/>
                <w:sz w:val="25"/>
                <w:szCs w:val="25"/>
              </w:rPr>
              <w:br/>
              <w:t>Názov právneho predpisu odporúčame zosúladiť s bodom 18 prílohy č. 1 Legislatívnych pravidiel vlády SR tj. slová „NARIADENIA VLÁDY" nahradiť slovami „NARIADENIE VLÁDY"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časti Metódy posudzovania škodlivých účinkov bode 4 odporúčame zosúladiť citáciu smernice s bodom 62.5 prílohy č. 1 Legislatívnych pravidiel vlády SR tj. za slová „kap.15/zv. 7" vložiť slová „Ú. v. ES L 189, 18. 7. 2002".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čl. I</w:t>
            </w:r>
            <w:r>
              <w:rPr>
                <w:rFonts w:ascii="Times" w:hAnsi="Times" w:cs="Times"/>
                <w:sz w:val="25"/>
                <w:szCs w:val="25"/>
              </w:rPr>
              <w:br/>
              <w:t>V úvodnej vete odporúčame za slová „a nariadenia vlády" doplniť slová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Z dôvodu dosiahnutia súladu s Legislatívnymi pravidlami vlády Slovenskej republiky odporúčame predkladateľovi v úvodnej vete za slovami „a nariadenia vlády”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Z dôvodu precizovania textu odporúčame predkladateľovi nahradiť slová (v treťom odseku) „nebola súčasťou legislatívy“ slovami „nebola súčasťou právneho poriadku“; pojem „legislatíva“ vyjadruje zákonodarnú činnosť, zatiaľ čo „právny poriadok“ je súbor právnych noriem platných v spoločnosti, čo mal zrejme predkladateľ na mysli. Táto pripomienka sa primerane vzťahuje aj na Dôvodovú správu – všeobecnú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Z dôvodu precizovania textu odporúčame predkladateľovi prehodnotiť, či navrhovaná právna úprava nebude mať pozitívny vplyv na životné prostredie, a to najmä s ohľadom na text uvedený v Predkladacej správe a v Dôvodovej správe – všeobecnej časti, kde sa uvádza: „Vzťahy medzi dávkou a účinkom vychádzajú z daných usmernení, pričom sú prispôsobené technickému a vedeckému pokroku v oblasti environmentálneho hluku, čím sa predpokladá zlepšenie presnosti posudzovania škodlivých účinkov environmentálneho hluku z cestnej, železničnej a leteckej dopravy na zdravie obyvateľov“. Súčasne sa v Dôvodovej správe – osobitnej časti uvádza, že „výsledky posudzovania škodlivých účinkov hluku na obyvateľov sú podkladom pre povinné subjekty pri zhotovovaní strategických hlukových máp a akčných plánov ochrany pred hlukom“. Zdá sa, že z uvedeného vyplýva, že v konečnom dôsledku pôjde o pozitívny vplyv na životné prostredie, čo ale nie je nijako zohľadnené v Doložke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Neakceptovaná. Navrhovaná právna úprava nemení limitné hodnoty hluku v životnom prostredí, čím by bol zabezpečený pozitívny vplyv na životné prostredie. Preberanou smernicou sa len menia metódy posudzovania škodlivého účinku na obyvateľov, a teda sa predpokladá pozitívny vplyv na verejné zdravie, ktorý sa v Doložke vybraných vplyvov neposudzuje.</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Odporúčame za slová "nariadenia vlády" doplniť slová "Slovenskej republiky" a vypustiť slovo "mení", keďže predložený návrh nariadenia vlády Slovenskej republiky nemení text novelizovaného nariadenia vlády Slovenskej republiky, ale iba ho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br/>
              <w:t>Z legislatívno-technického hľadiska odporúčame v čl. I návrhu za slovami „a nariadenia vlády” vložiť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tabuľke zhody a k transpozícii smernice (EÚ) 2020.367:</w:t>
            </w:r>
            <w:r>
              <w:rPr>
                <w:rFonts w:ascii="Times" w:hAnsi="Times" w:cs="Times"/>
                <w:sz w:val="25"/>
                <w:szCs w:val="25"/>
              </w:rPr>
              <w:br/>
              <w:t>1. Žiadame predkladateľa uviesť záhlavie tabuľky zhody do súladu s prílohou č. 3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1 doložky zlučiteľnosti, žiadame v súlade s prílohou č. 2 k Legislatívnym pravidlám vlády Slovenskej republiky v platnom znení vyplniť predkladateľa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2 doložky zlučiteľnosti, žiadame v súlade s prílohou č. 2 k Legislatívnym pravidlám vlády Slovenskej republiky v platnom znení vyplniť názov návrhu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tabuľke zhody a k transpozícii smernice (EÚ) 2020.367:</w:t>
            </w:r>
            <w:r>
              <w:rPr>
                <w:rFonts w:ascii="Times" w:hAnsi="Times" w:cs="Times"/>
                <w:sz w:val="25"/>
                <w:szCs w:val="25"/>
              </w:rPr>
              <w:br/>
              <w:t>2. K preukazovaniu transpozície čl. 2 ods. 1 veta 3 smernice (EÚ) 2020/367 prostredníctvom prílohy č. 2 k nariadeniu č. 43/2005 Z. z. : v stĺpci 4 tabuľky zhody je uvedené nariadenie č. 43/2005 Z. z. v znení neskorších predpisov, pričom nové upravené znenie „Zoznamu preberaných právne záväzných aktov Európskej únie“, ktorým je transponovaný čl. 2 ods. 1 veta 3 smernice (EÚ) 2020/367, je upravené v návrhu novely a nie v platnom znení nariadenia č. 43/2005 Z. z.. Stĺpec 4 tabuľky zhody žiadame adekvátne vyplniť - v súlade s prílohou č. 3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Bod 3 doložky zlučiteľnosti, žiadame upraviť v súlade s prílohou č. 2 k Legislatívnym pravidlám vlády Slovenskej republiky v platnom znení - do bodu 3 písm. a) uviesť relevantné ustanovenia primárneho práva Európskej únie, do bodu 3 písm. b) právne akty sekundárneho práva Európskej únie a do bodu 3 písm. c)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tabuľke zhody a k transpozícii smernice (EÚ) 2020.367:</w:t>
            </w:r>
            <w:r>
              <w:rPr>
                <w:rFonts w:ascii="Times" w:hAnsi="Times" w:cs="Times"/>
                <w:sz w:val="25"/>
                <w:szCs w:val="25"/>
              </w:rPr>
              <w:br/>
              <w:t>3. K preukazovaniu transpozície prílohy k smernici (EÚ) 2020/367 prostredníctvom prílohy č. 2 bod 1 a prílohy č. 1aa k nariadeniu č. 43/2005 Z. z.: v stĺpci 4 tabuľky zhody je uvedené nariadenie č. 43/2005 Z. z. v znení neskorších predpisov, pričom nová Príloha č. 1aa ako aj odkaz na ňu v prílohe č. 1 bode 2 upravuje návrh novely nariadenia a nie nariadenie č. 43/2005 Z. z. samotné. Stĺpec 4 tabuľky zhody žiadame adekvátne vyplniť - v súlade s prílohou č. 3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b) žiadame doplniť smernicu Komisie (EÚ) 2020/367 zo 4. marca 2020, ktorou sa mení príloha III k smernici Európskeho parlamentu a Rady 2002/49/ES, pokiaľ ide o stanovenie metód posudzovania škodlivých účinkov environmentálneho hluku (Ú. v. EÚ L 67, 5.3.2020), vzhľadom na to , že upravuje problematiku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bode 4 písm. b) žiadame doplniť informáciu o prebiehajúcom konaní o porušení zmlúv č. 2016/2033. Zároveň bola v súvislosti s tým istým porušením proti Slovenskej republike 17. decembra 2020 podaná žaloba na Súdny dvor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K čl. I bod 2 návrhu nariadenia – v návrhu nariadenia sa za prílohu č. 1 sa vkladá príloha č. 1aa. Upozorňujeme, že v momentálne platnom znení nariadenia č. 43/2005 Z. z., za prílohou č. 1 nasleduje príloha č. 1a. Žiadame navrhovateľa, aby prehodnotil, či je zámerom predloženej novely, aby poradie príloh bolo nasledovné: príloha č. 1, príloha č. 1aa a za ňou potom nasledovala príloha č. 1a.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Akceptovaná. Poradie príloh vo vlastnom materiáli upravené.</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predkladacej a dôvodovej správe:</w:t>
            </w:r>
            <w:r>
              <w:rPr>
                <w:rFonts w:ascii="Times" w:hAnsi="Times" w:cs="Times"/>
                <w:sz w:val="25"/>
                <w:szCs w:val="25"/>
              </w:rPr>
              <w:br/>
              <w:t>Žiadame predkladateľa, aby pri citáciách právne záväzných aktov Európskej únie (tak pri úplnej ako aj skrátenej citácii) postupoval v súlade s bodmi 62.5 až 62.13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Text upravený.</w:t>
            </w:r>
          </w:p>
        </w:tc>
      </w:tr>
      <w:tr w:rsidR="00FB6567">
        <w:trPr>
          <w:divId w:val="98693652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b/>
                <w:bCs/>
                <w:sz w:val="25"/>
                <w:szCs w:val="25"/>
              </w:rPr>
              <w:t>k poznámke pod čiarou k odkazu 3</w:t>
            </w:r>
            <w:r>
              <w:rPr>
                <w:rFonts w:ascii="Times" w:hAnsi="Times" w:cs="Times"/>
                <w:sz w:val="25"/>
                <w:szCs w:val="25"/>
              </w:rPr>
              <w:br/>
              <w:t>Navrhujeme ju upraviť takto: „STN ISO 1996-2 Akustika. Opis, meranie a posudzovanie hluku vo vonkajšom prostredí. Časť 2: Určovanie hladín akustického tlaku (01 1621).“ Odôvodnenie: Dosiahnutie súladu s platnou sústavou slovenských technických noriem nakoľko „STN ISO 1996-2 Akustika. Popis a meranie hluku prostredia. Časť 2: Získavanie údajov súvisiacich s využitím územia,“ bola zrušená.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B6567" w:rsidRDefault="00FB6567">
            <w:pPr>
              <w:rPr>
                <w:rFonts w:ascii="Times" w:hAnsi="Times" w:cs="Times"/>
                <w:sz w:val="25"/>
                <w:szCs w:val="25"/>
              </w:rPr>
            </w:pPr>
            <w:r>
              <w:rPr>
                <w:rFonts w:ascii="Times" w:hAnsi="Times" w:cs="Times"/>
                <w:sz w:val="25"/>
                <w:szCs w:val="25"/>
              </w:rPr>
              <w:t>Poznámka po čiarou upravená.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B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7941">
      <w:bodyDiv w:val="1"/>
      <w:marLeft w:val="0"/>
      <w:marRight w:val="0"/>
      <w:marTop w:val="0"/>
      <w:marBottom w:val="0"/>
      <w:divBdr>
        <w:top w:val="none" w:sz="0" w:space="0" w:color="auto"/>
        <w:left w:val="none" w:sz="0" w:space="0" w:color="auto"/>
        <w:bottom w:val="none" w:sz="0" w:space="0" w:color="auto"/>
        <w:right w:val="none" w:sz="0" w:space="0" w:color="auto"/>
      </w:divBdr>
    </w:div>
    <w:div w:id="942106654">
      <w:bodyDiv w:val="1"/>
      <w:marLeft w:val="0"/>
      <w:marRight w:val="0"/>
      <w:marTop w:val="0"/>
      <w:marBottom w:val="0"/>
      <w:divBdr>
        <w:top w:val="none" w:sz="0" w:space="0" w:color="auto"/>
        <w:left w:val="none" w:sz="0" w:space="0" w:color="auto"/>
        <w:bottom w:val="none" w:sz="0" w:space="0" w:color="auto"/>
        <w:right w:val="none" w:sz="0" w:space="0" w:color="auto"/>
      </w:divBdr>
    </w:div>
    <w:div w:id="986936526">
      <w:bodyDiv w:val="1"/>
      <w:marLeft w:val="0"/>
      <w:marRight w:val="0"/>
      <w:marTop w:val="0"/>
      <w:marBottom w:val="0"/>
      <w:divBdr>
        <w:top w:val="none" w:sz="0" w:space="0" w:color="auto"/>
        <w:left w:val="none" w:sz="0" w:space="0" w:color="auto"/>
        <w:bottom w:val="none" w:sz="0" w:space="0" w:color="auto"/>
        <w:right w:val="none" w:sz="0" w:space="0" w:color="auto"/>
      </w:divBdr>
    </w:div>
    <w:div w:id="1369338076">
      <w:bodyDiv w:val="1"/>
      <w:marLeft w:val="0"/>
      <w:marRight w:val="0"/>
      <w:marTop w:val="0"/>
      <w:marBottom w:val="0"/>
      <w:divBdr>
        <w:top w:val="none" w:sz="0" w:space="0" w:color="auto"/>
        <w:left w:val="none" w:sz="0" w:space="0" w:color="auto"/>
        <w:bottom w:val="none" w:sz="0" w:space="0" w:color="auto"/>
        <w:right w:val="none" w:sz="0" w:space="0" w:color="auto"/>
      </w:divBdr>
    </w:div>
    <w:div w:id="1506433377">
      <w:bodyDiv w:val="1"/>
      <w:marLeft w:val="0"/>
      <w:marRight w:val="0"/>
      <w:marTop w:val="0"/>
      <w:marBottom w:val="0"/>
      <w:divBdr>
        <w:top w:val="none" w:sz="0" w:space="0" w:color="auto"/>
        <w:left w:val="none" w:sz="0" w:space="0" w:color="auto"/>
        <w:bottom w:val="none" w:sz="0" w:space="0" w:color="auto"/>
        <w:right w:val="none" w:sz="0" w:space="0" w:color="auto"/>
      </w:divBdr>
    </w:div>
    <w:div w:id="1518735280">
      <w:bodyDiv w:val="1"/>
      <w:marLeft w:val="0"/>
      <w:marRight w:val="0"/>
      <w:marTop w:val="0"/>
      <w:marBottom w:val="0"/>
      <w:divBdr>
        <w:top w:val="none" w:sz="0" w:space="0" w:color="auto"/>
        <w:left w:val="none" w:sz="0" w:space="0" w:color="auto"/>
        <w:bottom w:val="none" w:sz="0" w:space="0" w:color="auto"/>
        <w:right w:val="none" w:sz="0" w:space="0" w:color="auto"/>
      </w:divBdr>
    </w:div>
    <w:div w:id="1756588929">
      <w:bodyDiv w:val="1"/>
      <w:marLeft w:val="0"/>
      <w:marRight w:val="0"/>
      <w:marTop w:val="0"/>
      <w:marBottom w:val="0"/>
      <w:divBdr>
        <w:top w:val="none" w:sz="0" w:space="0" w:color="auto"/>
        <w:left w:val="none" w:sz="0" w:space="0" w:color="auto"/>
        <w:bottom w:val="none" w:sz="0" w:space="0" w:color="auto"/>
        <w:right w:val="none" w:sz="0" w:space="0" w:color="auto"/>
      </w:divBdr>
    </w:div>
    <w:div w:id="21135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5.2021 10:56:39"/>
    <f:field ref="objchangedby" par="" text="Administrator, System"/>
    <f:field ref="objmodifiedat" par="" text="25.5.2021 10:56: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2207</Words>
  <Characters>12586</Characters>
  <Application>Microsoft Office Word</Application>
  <DocSecurity>4</DocSecurity>
  <Lines>104</Lines>
  <Paragraphs>29</Paragraphs>
  <ScaleCrop>false</ScaleCrop>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2021-05-25T08:56:00Z</dcterms:created>
  <dcterms:modified xsi:type="dcterms:W3CDTF">2021-05-25T08:56:00Z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align="LEFT"&gt;&amp;nbsp;&lt;/p&gt;&lt;p&gt;&lt;b&gt;&lt;font size="3"&gt;SPRÁVA O ÚČASTI VEREJNOSTI NA TVORBE PRÁVNYCH PREDPISOV &lt;/font&gt;&lt;/b&gt;&lt;/p&gt;&lt;table border="1" cellpadding="7" cellspacing="0" dir="LTR" width="586"&gt;_x0009_&lt;tbody&gt;_x0009__x0009_&lt;tr&gt;_x0009__x0009__x0009_&lt;td colspan="10" height="24" valign="TOP"&gt;_x0009__x0009__x0009_&lt;p&gt;&lt;b&gt;&lt;font size="3"&gt;Návrh nariadenia vlády Slovenskej republiky, ktorým sa mení a dopĺňa nariadenie vlády Slovenskej republiky č. 43/2005 Z. z., ktorým sa ustanovujú podrobnosti o strategických hlukových mapách a akčných plánoch ochrany pred hlukom v znení neskorších predpisov &lt;/font&gt;&lt;font size="3"&gt;Správa o účasti verejnosti na tvorbe právneho predpisu &lt;/font&gt;&lt;/b&gt;&lt;/p&gt;_x0009__x0009__x0009_&lt;p&gt;&lt;font size="3"&gt;&lt;b&gt;Scenár 1: Verejnosť je informovaná o tvorbe právneho predpisu &lt;/b&gt;&lt;/font&gt;&lt;/p&gt;_x0009__x0009__x0009_&lt;/td&gt;_x0009__x0009_&lt;/tr&gt;_x0009__x0009_&lt;tr&gt;_x0009__x0009__x0009_&lt;td height="6" valign="TOP" width="20%"&gt;_x0009__x0009__x0009_&lt;p&gt;&lt;font size="3"&gt;&lt;b&gt;Fáza procesu &lt;/b&gt;&lt;/font&gt;&lt;/p&gt;_x0009__x0009__x0009_&lt;/td&gt;_x0009__x0009__x0009_&lt;td colspan="3" height="6" valign="TOP" width="20%"&gt;_x0009__x0009__x0009_&lt;p&gt;&lt;font size="3"&gt;&lt;b&gt;Subfáza &lt;/b&gt;&lt;/font&gt;&lt;/p&gt;_x0009__x0009__x0009_&lt;/td&gt;_x0009__x0009__x0009_&lt;td colspan="2" height="6" valign="TOP" width="20%"&gt;_x0009__x0009__x0009_&lt;p&gt;&lt;font size="3"&gt;&lt;b&gt;Kontrolná otázka &lt;/b&gt;&lt;/font&gt;&lt;/p&gt;_x0009__x0009__x0009_&lt;/td&gt;_x0009__x0009__x0009_&lt;td colspan="3" height="6" valign="TOP" width="20%"&gt;_x0009__x0009__x0009_&lt;p&gt;&lt;font size="3"&gt;&lt;b&gt;Á &lt;/b&gt;&lt;/font&gt;&lt;/p&gt;_x0009__x0009__x0009_&lt;/td&gt;_x0009__x0009__x0009_&lt;td height="6" valign="TOP" width="20%"&gt;_x0009__x0009__x0009_&lt;p&gt;&lt;font size="3"&gt;&lt;b&gt;N &lt;/b&gt;&lt;/font&gt;&lt;/p&gt;_x0009__x0009__x0009_&lt;/td&gt;_x0009__x0009_&lt;/tr&gt;_x0009__x0009_&lt;tr&gt;_x0009__x0009__x0009_&lt;td height="32" valign="TOP" width="20%"&gt;_x0009__x0009__x0009_&lt;p&gt;&lt;font size="3"&gt;&lt;b&gt;1. Príprava tvorby právneho predpisu &lt;/b&gt;&lt;/font&gt;&lt;/p&gt;_x0009__x0009__x0009_&lt;/td&gt;_x0009__x0009__x0009_&lt;td colspan="3" height="32" valign="TOP" width="20%"&gt;_x0009__x0009__x0009_&lt;p&gt;&lt;font face="Times New Roman,Times New Roman PSMT" size="3"&gt;&lt;font face="Times New Roman,Times New Roman PSMT" size="3"&gt;1.1 Identifikácia cieľa &lt;/font&gt;&lt;/font&gt;&lt;/p&gt;_x0009__x0009__x0009_&lt;/td&gt;_x0009__x0009__x0009_&lt;td colspan="2" height="32" valign="TOP" width="20%"&gt;_x0009__x0009__x0009_&lt;p&gt;&lt;font face="Times New Roman,Times New Roman PSMT" size="3"&gt;&lt;font face="Times New Roman,Times New Roman PSMT" size="3"&gt;Bol zadefinovaný cieľ účasti verejnosti na tvorbe právneho predpisu?&lt;/font&gt;&lt;/font&gt;&lt;font face="Times New Roman,Times New Roman PSMT" size="1"&gt;&lt;font face="Times New Roman,Times New Roman PSMT" size="1"&gt;1) &lt;/font&gt;&lt;/font&gt;&lt;/p&gt;_x0009__x0009__x0009_&lt;/td&gt;_x0009__x0009__x0009_&lt;td colspan="3" height="32" valign="TOP" width="20%"&gt;_x0009__x0009__x0009_&lt;p&gt;&lt;font size="3"&gt;☒ &lt;/font&gt;&lt;/p&gt;_x0009__x0009__x0009_&lt;/td&gt;_x0009__x0009__x0009_&lt;td height="32" valign="TOP" width="20%"&gt;_x0009__x0009__x0009_&lt;p&gt;&lt;font size="3"&gt;☐ &lt;/font&gt;&lt;/p&gt;_x0009__x0009__x0009_&lt;/td&gt;_x0009__x0009_&lt;/tr&gt;_x0009__x0009_&lt;tr&gt;_x0009__x0009__x0009_&lt;td colspan="2" height="15" valign="TOP" width="25%"&gt;_x0009__x0009__x0009_&lt;p&gt;&lt;font face="Times New Roman,Times New Roman PSMT" size="3"&gt;&lt;font face="Times New Roman,Times New Roman PSMT" size="3"&gt;1.2 Identifikácia problému a alternatív &lt;/font&gt;&lt;/font&gt;&lt;/p&gt;_x0009__x0009__x0009_&lt;/td&gt;_x0009__x0009__x0009_&lt;td colspan="3" height="15" valign="TOP" width="25%"&gt;_x0009__x0009__x0009_&lt;p&gt;&lt;font face="Times New Roman,Times New Roman PSMT" size="3"&gt;&lt;font face="Times New Roman,Times New Roman PSMT" size="3"&gt;Bola vykonaná identifikácia problému a alternatív riešení?&lt;/font&gt;&lt;/font&gt;&lt;font face="Times New Roman,Times New Roman PSMT" size="1"&gt;&lt;font face="Times New Roman,Times New Roman PSMT" size="1"&gt;2) &lt;/font&gt;&lt;/font&gt;&lt;/p&gt;_x0009__x0009__x0009_&lt;/td&gt;_x0009__x0009__x0009_&lt;td colspan="3" height="15" valign="TOP" width="25%"&gt;_x0009__x0009__x0009_&lt;p&gt;&lt;font size="3"&gt;☐ &lt;/font&gt;&lt;/p&gt;_x0009__x0009__x0009_&lt;/td&gt;_x0009__x0009__x0009_&lt;td colspan="2" height="15" valign="TOP" width="25%"&gt;_x0009__x0009__x0009_&lt;p&gt;&lt;font size="3"&gt;☒ &lt;/font&gt;&lt;/p&gt;_x0009__x0009__x0009_&lt;/td&gt;_x0009__x0009_&lt;/tr&gt;_x0009__x0009_&lt;tr&gt;_x0009__x0009__x0009_&lt;td height="132" valign="TOP" width="20%"&gt;_x0009__x0009__x0009_&lt;p&gt;&lt;font size="3"&gt;&lt;b&gt;2. Informova-nie verejnosti o tvorbe právneho predpisu &lt;/b&gt;&lt;/font&gt;&lt;/p&gt;_x0009__x0009__x0009_&lt;/td&gt;_x0009__x0009__x0009_&lt;td colspan="3" height="132" valign="TOP" width="20%"&gt;_x0009__x0009__x0009_&lt;p&gt;&lt;font face="Times New Roman,Times New Roman PSMT" size="3"&gt;&lt;font face="Times New Roman,Times New Roman PSMT" size="3"&gt;2.1 Rozsah informácií &lt;/font&gt;&lt;/font&gt;&lt;/p&gt;_x0009__x0009__x0009_&lt;/td&gt;_x0009__x0009__x0009_&lt;td colspan="2" height="132" valign="TOP" width="20%"&gt;_x0009__x0009__x0009_&lt;p&gt;&lt;font face="Times New Roman,Times New Roman PSMT" size="3"&gt;&lt;font face="Times New Roman,Times New Roman PSMT" size="3"&gt;Boli verejnosti poskytnuté informácie o probléme, ktorý má predmetný právny predpis riešiť? &lt;/font&gt;&lt;/font&gt;&lt;/p&gt;_x0009__x0009__x0009_&lt;/td&gt;_x0009__x0009__x0009_&lt;td colspan="3" height="132" valign="TOP" width="20%"&gt;_x0009__x0009__x0009_&lt;p&gt;&lt;font size="3"&gt;☒ &lt;/font&gt;&lt;/p&gt;_x0009__x0009__x0009_&lt;/td&gt;_x0009__x0009__x0009_&lt;td height="132" valign="TOP" width="20%"&gt;_x0009__x0009__x0009_&lt;p&gt;&lt;font size="3"&gt;☐ &lt;/font&gt;&lt;/p&gt;_x0009__x0009__x0009_&lt;/td&gt;_x0009__x0009_&lt;/tr&gt;_x0009__x0009_&lt;tr&gt;_x0009__x0009__x0009_&lt;td colspan="3" height="23" valign="TOP" width="33%"&gt;_x0009__x0009__x0009_&lt;p&gt;&lt;font face="Times New Roman,Times New Roman PSMT" size="3"&gt;&lt;font face="Times New Roman,Times New Roman PSMT" size="3"&gt;Boli verejnosti poskytnuté informácie o cieli účasti verejnosti na tvorbe právneho predpisu spolu s časovým rámcom jeho tvorby? &lt;/font&gt;&lt;/font&gt;&lt;/p&gt;_x0009__x0009__x0009_&lt;/td&gt;_x0009__x0009__x0009_&lt;td colspan="4" height="23" valign="TOP" width="33%"&gt;_x0009__x0009__x0009_&lt;p&gt;&lt;font size="3"&gt;☒ &lt;/font&gt;&lt;/p&gt;_x0009__x0009__x0009_&lt;/td&gt;_x0009__x0009__x0009_&lt;td colspan="3" height="23" valign="TOP" width="33%"&gt;_x0009__x0009__x0009_&lt;p&gt;&lt;font size="3"&gt;☐ &lt;/font&gt;&lt;/p&gt;_x0009__x0009__x0009_&lt;/td&gt;_x0009__x0009_&lt;/tr&gt;_x0009__x0009_&lt;tr&gt;_x0009__x0009__x0009_&lt;td colspan="3" height="23" valign="TOP" width="33%"&gt;_x0009__x0009__x0009_&lt;p&gt;&lt;font face="Times New Roman,Times New Roman PSMT" size="3"&gt;&lt;font face="Times New Roman,Times New Roman PSMT" size="3"&gt;Boli verejnosti poskytnuté informácie o plánovanom procese tvorby právneho predpisu? &lt;/font&gt;&lt;/font&gt;&lt;/p&gt;_x0009__x0009__x0009_&lt;/td&gt;_x0009__x0009__x0009_&lt;td colspan="4" height="23" valign="TOP" width="33%"&gt;_x0009__x0009__x0009_&lt;p&gt;&lt;font size="3"&gt;☒ &lt;/font&gt;&lt;/p&gt;_x0009__x0009__x0009_&lt;/td&gt;_x0009__x0009__x0009_&lt;td colspan="3" height="23" valign="TOP" width="33%"&gt;_x0009__x0009__x0009_&lt;p&gt;&lt;font size="3"&gt;☐ &lt;/font&gt;&lt;/p&gt;_x0009__x0009__x0009_&lt;/td&gt;_x0009__x0009_&lt;/tr&gt;_x0009__x0009_&lt;tr&gt;_x0009__x0009__x0009_&lt;td colspan="2" height="41" valign="TOP" width="25%"&gt;_x0009__x0009__x0009_&lt;p&gt;&lt;font face="Times New Roman,Times New Roman PSMT" size="3"&gt;&lt;font face="Times New Roman,Times New Roman PSMT" size="3"&gt;2.2 Kontinuita informovania &lt;/font&gt;&lt;/font&gt;&lt;/p&gt;_x0009__x0009__x0009_&lt;/td&gt;_x0009__x0009__x0009_&lt;td colspan="3" height="41" valign="TOP" width="25%"&gt;_x0009__x0009__x0009_&lt;p&gt;&lt;font face="Times New Roman,Times New Roman PSMT" size="3"&gt;&lt;font face="Times New Roman,Times New Roman PSMT" size="3"&gt;Boli verejnosti poskytnuté relevantné informácie pred začatím tvorby právneho predpisu? &lt;/font&gt;&lt;/font&gt;&lt;/p&gt;_x0009__x0009__x0009_&lt;/td&gt;_x0009__x0009__x0009_&lt;td colspan="3" height="41" valign="TOP" width="25%"&gt;_x0009__x0009__x0009_&lt;p&gt;&lt;font size="3"&gt;☒ &lt;/font&gt;&lt;/p&gt;_x0009__x0009__x0009_&lt;/td&gt;_x0009__x0009__x0009_&lt;td colspan="2" height="41" valign="TOP" width="25%"&gt;_x0009__x0009__x0009_&lt;p&gt;&lt;font size="3"&gt;☐ &lt;/font&gt;&lt;/p&gt;_x0009__x0009__x0009_&lt;/td&gt;_x0009__x0009_&lt;/tr&gt;_x0009__x0009_&lt;tr&gt;_x0009__x0009__x0009_&lt;td colspan="3" height="15" valign="TOP" width="33%"&gt;_x0009__x0009__x0009_&lt;p&gt;&lt;font face="Times New Roman,Times New Roman PSMT" size="3"&gt;&lt;font face="Times New Roman,Times New Roman PSMT" size="3"&gt;Boli verejnosti poskytnuté relevantné informácie počas tvorby právneho predpisu? &lt;/font&gt;&lt;/font&gt;&lt;/p&gt;_x0009__x0009__x0009_&lt;/td&gt;_x0009__x0009__x0009_&lt;td colspan="4" height="15" valign="TOP" width="33%"&gt;_x0009__x0009__x0009_&lt;p&gt;&lt;font size="3"&gt;☒ &lt;/font&gt;&lt;/p&gt;_x0009__x0009__x0009_&lt;/td&gt;_x0009__x0009__x0009_&lt;td colspan="3" height="15" valign="TOP" width="33%"&gt;_x0009__x0009__x0009_&lt;p&gt;&lt;font size="3"&gt;☐ &lt;/font&gt;&lt;/p&gt;_x0009__x0009__x0009_&lt;/td&gt;_x0009__x0009_&lt;/tr&gt;_x0009__x0009_&lt;tr&gt;_x0009__x0009__x0009_&lt;td colspan="3" height="23" valign="TOP" width="33%"&gt;_x0009__x0009__x0009_&lt;p&gt;&lt;font face="Times New Roman,Times New Roman PSMT" size="3"&gt;&lt;font face="Times New Roman,Times New Roman PSMT" size="3"&gt;Boli verejnosti poskytnuté relevantné informácie aj po ukončení tvorby právneho predpisu? &lt;/font&gt;&lt;/font&gt;&lt;/p&gt;_x0009__x0009__x0009_&lt;/td&gt;_x0009__x0009__x0009_&lt;td colspan="4" height="23" valign="TOP" width="33%"&gt;_x0009__x0009__x0009_&lt;p&gt;&lt;font size="3"&gt;☒ &lt;/font&gt;&lt;/p&gt;_x0009__x0009__x0009_&lt;/td&gt;_x0009__x0009__x0009_&lt;td colspan="3" height="23" valign="TOP" width="33%"&gt;_x0009__x0009__x0009_&lt;p&gt;&lt;font size="3"&gt;☐ &lt;/font&gt;&lt;/p&gt;_x0009__x0009__x0009_&lt;/td&gt;_x0009__x0009_&lt;/tr&gt;_x0009__x0009_&lt;tr&gt;_x0009__x0009__x0009_&lt;td colspan="2" height="32" valign="TOP" width="25%"&gt;_x0009__x0009__x0009_&lt;p&gt;&lt;font face="Times New Roman,Times New Roman PSMT" size="3"&gt;&lt;font face="Times New Roman,Times New Roman PSMT" size="3"&gt;2.3 Kvalita a včasnosť informácií &lt;/font&gt;&lt;/font&gt;&lt;/p&gt;_x0009__x0009__x0009_&lt;/td&gt;_x0009__x0009__x0009_&lt;td colspan="3" height="32" valign="TOP" width="25%"&gt;_x0009__x0009__x0009_&lt;p&gt;&lt;font face="Times New Roman,Times New Roman PSMT" size="3"&gt;&lt;font face="Times New Roman,Times New Roman PSMT" size="3"&gt;Boli relevantné informácie o tvorbe právneho predpisu verejnosti poskytnuté včas? &lt;/font&gt;&lt;/font&gt;&lt;/p&gt;_x0009__x0009__x0009_&lt;/td&gt;_x0009__x0009__x0009_&lt;td colspan="3" height="32" valign="TOP" width="25%"&gt;_x0009__x0009__x0009_&lt;p&gt;&lt;font size="3"&gt;☒ &lt;/font&gt;&lt;/p&gt;_x0009__x0009__x0009_&lt;/td&gt;_x0009__x0009__x0009_&lt;td colspan="2" height="32" valign="TOP" width="25%"&gt;_x0009__x0009__x0009_&lt;p&gt;&lt;font size="3"&gt;☐ &lt;/font&gt;&lt;/p&gt;_x0009__x0009__x0009_&lt;/td&gt;_x0009__x0009_&lt;/tr&gt;_x0009__x0009_&lt;tr&gt;_x0009__x0009__x0009_&lt;td colspan="3" height="31" valign="TOP" width="33%"&gt;_x0009__x0009__x0009_&lt;p&gt;&lt;font face="Times New Roman,Times New Roman PSMT" size="3"&gt;&lt;font face="Times New Roman,Times New Roman PSMT" size="3"&gt;Boli relevantné informácie o tvorbe právneho predpisu a o samotnom právnom predpise poskytnuté vo vyhovujúcej technickej kvalite?&lt;/font&gt;&lt;/font&gt;&lt;font face="Times New Roman,Times New Roman PSMT" size="1"&gt;&lt;font face="Times New Roman,Times New Roman PSMT" size="1"&gt;3) &lt;/font&gt;&lt;/font&gt;&lt;/p&gt;_x0009__x0009__x0009_&lt;/td&gt;_x0009__x0009__x0009_&lt;td colspan="4" height="31" valign="TOP" width="33%"&gt;_x0009__x0009__x0009_&lt;p&gt;&lt;font size="3"&gt;☐ &lt;/font&gt;&lt;/p&gt;_x0009__x0009__x0009_&lt;/td&gt;_x0009__x0009__x0009_&lt;td colspan="3" height="31" valign="TOP" width="33%"&gt;_x0009__x0009__x0009_&lt;p&gt;&lt;font size="3"&gt;☒ &lt;/font&gt;&lt;/p&gt;_x0009__x0009__x0009_&lt;/td&gt;_x0009__x0009_&lt;/tr&gt;_x0009__x0009_&lt;tr&gt;_x0009__x0009__x0009_&lt;td colspan="2" height="23" valign="TOP" width="25%"&gt;_x0009__x0009__x0009_&lt;p&gt;&lt;font face="Times New Roman,Times New Roman PSMT" size="3"&gt;&lt;font face="Times New Roman,Times New Roman PSMT" size="3"&gt;2.4 Adresnosť informácií &lt;/font&gt;&lt;/font&gt;&lt;/p&gt;_x0009__x0009__x0009_&lt;/td&gt;_x0009__x0009__x0009_&lt;td colspan="3" height="23" valign="TOP" width="25%"&gt;_x0009__x0009__x0009_&lt;p&gt;&lt;font face="Times New Roman,Times New Roman PSMT" size="3"&gt;&lt;font face="Times New Roman,Times New Roman PSMT" size="3"&gt;Boli zvolené komunikačné kanály dostatočné vzhľadom na prenos relevantných informácií o právnom predpise smerom k verejnosti? &lt;/font&gt;&lt;/font&gt;&lt;/p&gt;_x0009__x0009__x0009_&lt;/td&gt;_x0009__x0009__x0009_&lt;td colspan="3" height="23" valign="TOP" width="25%"&gt;_x0009__x0009__x0009_&lt;p&gt;&lt;font size="3"&gt;☒ &lt;/font&gt;&lt;/p&gt;_x0009__x0009__x0009_&lt;/td&gt;_x0009__x0009__x0009_&lt;td colspan="2" height="23" valign="TOP" width="25%"&gt;_x0009__x0009__x0009_&lt;p&gt;&lt;font size="3"&gt;☐ &lt;/font&gt;&lt;/p&gt;_x0009__x0009__x0009_&lt;/td&gt;_x0009__x0009_&lt;/tr&gt;_x0009_&lt;/tbody&gt;&lt;/table&gt;&lt;table border="1" cellpadding="7" cellspacing="0" dir="LTR" width="585"&gt;_x0009_&lt;tbody&gt;_x0009__x0009_&lt;tr&gt;_x0009__x0009__x0009_&lt;td height="45" valign="TOP" width="20%"&gt;_x0009__x0009__x0009_&lt;p&gt;&lt;font size="3"&gt;&lt;b&gt;3. Vyhodnote-nie procesu tvorby právneho predpisu &lt;/b&gt;&lt;/font&gt;&lt;/p&gt;_x0009__x0009__x0009_&lt;/td&gt;_x0009__x0009__x0009_&lt;td colspan="2" height="45" valign="TOP" width="20%"&gt;_x0009__x0009__x0009_&lt;p&gt;&lt;font face="Generic1-Regular,Times New Roman PSMT" size="3"&gt;&lt;font face="Generic1-Regular,Times New Roman PSMT" size="3"&gt;3.1 Hodnotenie procesu &lt;/font&gt;&lt;/font&gt;&lt;/p&gt;_x0009__x0009__x0009_&lt;/td&gt;_x0009__x0009__x0009_&lt;td height="45" valign="TOP" width="20%"&gt;_x0009__x0009__x0009_&lt;p&gt;&lt;font face="Generic1-Regular,Times New Roman PSMT" size="3"&gt;&lt;font face="Generic1-Regular,Times New Roman PSMT" size="3"&gt;Bolo vykonané hodnotenie procesu tvorby právneho predpisu? &lt;/font&gt;&lt;/font&gt;&lt;/p&gt;_x0009__x0009__x0009_&lt;/td&gt;_x0009__x0009__x0009_&lt;td colspan="2" height="45" valign="TOP" width="20%"&gt;_x0009__x0009__x0009_&lt;p&gt;&lt;font size="3"&gt;☐ &lt;/font&gt;&lt;/p&gt;_x0009__x0009__x0009_&lt;/td&gt;_x0009__x0009__x0009_&lt;td height="45" valign="TOP" width="20%"&gt;_x0009__x0009__x0009_&lt;p&gt;&lt;font size="3"&gt;☒ &lt;/font&gt;&lt;/p&gt;_x0009__x0009__x0009_&lt;/td&gt;_x0009__x0009_&lt;/tr&gt;_x0009__x0009_&lt;tr&gt;_x0009__x0009__x0009_&lt;td colspan="2" height="15" valign="TOP" width="33%"&gt;_x0009__x0009__x0009_&lt;p&gt;&lt;font face="Generic1-Regular,Times New Roman PSMT" size="3"&gt;&lt;font face="Generic1-Regular,Times New Roman PSMT" size="3"&gt;Bola zverejnená hodnotiaca správa procesu tvorby právneho predpisu?&lt;/font&gt;&lt;/font&gt;&lt;font face="Generic1-Regular,Times New Roman PSMT" size="1"&gt;&lt;font face="Generic1-Regular,Times New Roman PSMT" size="1"&gt;4) &lt;/font&gt;&lt;/font&gt;&lt;/p&gt;_x0009__x0009__x0009_&lt;/td&gt;_x0009__x0009__x0009_&lt;td colspan="3" height="15" valign="TOP" width="33%"&gt;_x0009__x0009__x0009_&lt;p&gt;&lt;font size="3"&gt;☐ &lt;/font&gt;&lt;/p&gt;_x0009__x0009__x0009_&lt;/td&gt;_x0009__x0009__x0009_&lt;td colspan="2" height="15" valign="TOP" width="33%"&gt;_x0009__x0009__x0009_&lt;p&gt;&lt;font size="3"&gt;☒ &lt;/font&gt;&lt;/p&gt;_x0009__x0009__x0009_&lt;/td&gt;_x0009__x0009_&lt;/tr&gt;_x0009__x0009_&lt;tr&gt;_x0009__x0009__x0009_&lt;td colspan="2" height="15" valign="TOP" width="33%"&gt;_x0009__x0009__x0009_&lt;p&gt;&lt;font face="Generic1-Regular,Times New Roman PSMT" size="3"&gt;&lt;font face="Generic1-Regular,Times New Roman PSMT" size="3"&gt;Bol splnený cieľ účasti verejnosti na tvorbe právneho predpisu? &lt;/font&gt;&lt;/font&gt;&lt;/p&gt;_x0009__x0009__x0009_&lt;/td&gt;_x0009__x0009__x0009_&lt;td colspan="3" height="15" valign="TOP" width="33%"&gt;_x0009__x0009__x0009_&lt;p&gt;&lt;font size="3"&gt;☒ &lt;/font&gt;&lt;/p&gt;_x0009__x0009__x0009_&lt;/td&gt;_x0009__x0009__x0009_&lt;td colspan="2" height="15" valign="TOP" width="33%"&gt;_x0009__x0009__x0009_&lt;p&gt;&lt;font size="3"&gt;☐ &lt;/font&gt;&lt;/p&gt;_x0009__x0009__x0009_&lt;/td&gt;_x0009__x0009_&lt;/tr&gt;_x0009_&lt;/tbody&gt;&lt;/table&gt;&lt;p&gt;&lt;font size="3"&gt;Verejnosť bola o príprave návrhu nariadenia vlády Slovenskej republiky, ktorým sa mení a dopĺňa nariadenie vlády Slovenskej republiky č. 43/2005 Z. z., ktorým sa ustanovujú podrobnosti o strategických hlukových mapách a akčných plánoch ochrany pred hlukom v znení neskorších predpisov (ďalej „návrh nariadenia vlády“) informovaná prostredníctvom predbežnej informácie č. PI/2021/47 zverejnenej na portáli právnych predpisov Slov-Lex. Pripomienkové konanie prebiehalo od 22.02.2021 do 26.02.2021. K predbežnej informácii k návrhu nariadenia vlády nevzniesla verejnosť pripomienky. &lt;/font&gt;&lt;/p&gt;&lt;p&gt;&lt;font size="3"&gt;Odborná verejnosť bola do prípravy predloženého návrhu nariadenia vlády zapojená aj prostredníctvom konzultácie s dotknutými subjektmi, ktorú zabezpečilo Ministerstvo hospodárstva SR podľa Jednotnej metodiky na posudzovanie vybraných vplyvov. Konzultácie prebiehali od 22.02.2021 do 26.02.2021 s odôvodnením, že ďalší priestor na pripomienkovanie poskytne medzirezortné pripomienkové konanie. &lt;/font&gt;&lt;/p&gt;&lt;p&gt;&lt;font size="3"&gt;Počas konzultácií s dotknutými subjektmi si ani jeden oslovený subjekt nevyžiadal podrobnejšie informácie o pripravovanom návrhu nariadenia vlády a nepredložil ani jednu pripomienku k návrhu nariadenia vlády. &lt;/font&gt;&lt;/p&gt;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Veronika Vincová</vt:lpwstr>
  </property>
  <property name="FSC#SKEDITIONSLOVLEX@103.510:zodppredkladatel" pid="11" fmtid="{D5CDD505-2E9C-101B-9397-08002B2CF9AE}">
    <vt:lpwstr>Vladimír Lengvarský</vt:lpwstr>
  </property>
  <property name="FSC#SKEDITIONSLOVLEX@103.510:dalsipredkladatel" pid="12" fmtid="{D5CDD505-2E9C-101B-9397-08002B2CF9AE}">
    <vt:lpwstr/>
  </property>
  <property name="FSC#SKEDITIONSLOVLEX@103.510:nazovpredpis" pid="13" fmtid="{D5CDD505-2E9C-101B-9397-08002B2CF9AE}">
    <vt:lpwstr>, ktorým sa mení a dopĺňa nariadenie vlády Slovenskej republiky č. 43/2005 Z. z., ktorým sa ustanovujú podrobnosti o strategických hlukových mapách a akčných plánoch ochrany pred hlukom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Smernica Komisie (EÚ) 2020/367 zo 4. marca 2020, ktorou sa mení príloha III k smernici Európskeho parlamentu a Rady 2002/49/ES, pokiaľ ide o stanovenie metód posudzovania škodlivých účinkov environmentálneho hluku</vt:lpwstr>
  </property>
  <property name="FSC#SKEDITIONSLOVLEX@103.510:plnynazovpredpis" pid="22" fmtid="{D5CDD505-2E9C-101B-9397-08002B2CF9AE}">
    <vt:lpwstr> Nariadenie vlády  Slovenskej republiky, ktorým sa mení a dopĺňa nariadenie vlády Slovenskej republiky č. 43/2005 Z. z., ktorým sa ustanovujú podrobnosti o strategických hlukových mapách a akčných plánoch ochrany pred hlukom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S11473-2021-OL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LP/2021/198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v Zmluve o fungovaní Európskej únie - Hlava XIV – Verejné zdravie (čl. 168);</vt:lpwstr>
  </property>
  <property name="FSC#SKEDITIONSLOVLEX@103.510:AttrStrListDocPropSekundarneLegPravoPO" pid="46" fmtid="{D5CDD505-2E9C-101B-9397-08002B2CF9AE}">
    <vt:lpwstr>- Smernica Európskeho parlamentu a Rady 2002/49/ES z 25. júna 2002, ktorá sa týka posudzovania a riadenia environmentálneho hluku (Mimoriadne vydanie Ú. v. EÚ, kap. 15/zv. 7) v platnom znení, gestor Ministerstvo zdravotníctva Slovenskej republiky,_x000d__x000a_- Smernica Komisie (EÚ) 2015/996 z 19. mája 2015, ktorou sa ustanovujú spoločné metódy posudzovania hluku podľa smernice Európskeho parlamentu a Rady 2002/49/ES (Ú. v. EÚ L 168, 1.7.2015), gestor Ministerstvo zdravotníctva Slovenskej republiky,</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smernica Komisie (EÚ) 2020/367 zo 4. marca 2020, ktorou sa mení príloha III k smernici Európskeho parlamentu a Rady 2002/49/ES, pokiaľ ide o stanovenie metód posudzovania škodlivých účinkov environmentálneho hluku: 31. decembra 2021,</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Nie je vedené konanie;</vt:lpwstr>
  </property>
  <property name="FSC#SKEDITIONSLOVLEX@103.510:AttrStrListDocPropInfoUzPreberanePP" pid="54" fmtid="{D5CDD505-2E9C-101B-9397-08002B2CF9AE}">
    <vt:lpwstr>Zákon č. 2/2005 Z. z. o posudzovaní a kontrole hluku vo vonkajšom prostredí a o zmene zákona NR SR č. 272/1994 Z. z. o ochrane zdravia ľudí v znení neskorších predpisov v znení neskorších predpisov._x000d__x000a_Nariadenie vlády Slovenskej republiky č. 43/2005, ktorým sa ustanovujú podrobnosti o strategických hlukových mapách a akčných plánoch ochrany pred hlukom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31. decembra 2021</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vt:lpwstr>
  </property>
  <property name="FSC#SKEDITIONSLOVLEX@103.510:funkciaZodpPredAkuzativ" pid="141" fmtid="{D5CDD505-2E9C-101B-9397-08002B2CF9AE}">
    <vt:lpwstr>ministra</vt:lpwstr>
  </property>
  <property name="FSC#SKEDITIONSLOVLEX@103.510:funkciaZodpPredDativ" pid="142" fmtid="{D5CDD505-2E9C-101B-9397-08002B2CF9AE}">
    <vt:lpwstr>ministrovi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Vladimír Lengvarský_x000d__x000a_minister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justify;"&gt;&amp;nbsp;&lt;/p&gt;&lt;p style="text-align: justify;"&gt;&lt;font size="3"&gt;Návrhom nariadenia vlády Slovenskej republiky, ktorým sa mení a dopĺňa nariadenie vlády Slovenskej republiky č. 43/2005 Z. z., ktorým sa ustanovujú podrobnosti o strategických hlukových mapách a akčných plánoch ochrany pred hlukom v znení neskorších predpisov (ďalej len „návrh nariadenia vlády“) sa do právneho poriadku Slovenskej republiky preberá smernica Komisie (EÚ) 2020/367 zo 4. marca 2020, ktorou sa mení príloha III k smernici Európskeho parlamentu a Rady 2002/49/ES, pokiaľ ide o stanovenie metód posudzovania škodlivých účinkov environmentálneho hluku (ďalej len „smernica Komisie (EÚ) 2020/367“). &lt;/font&gt;&lt;/p&gt;&lt;p style="text-align: justify;"&gt;&lt;font size="3"&gt;Do návrhu nariadenia vlády sa transponuje text prílohy III k smernici Európskeho parlamentu a Rady 2002/49/ES, pokiaľ ide o stanovenie metód posudzovania škodlivých účinkov environmentálneho hluku (ďalej len „príloha III smernice“), ktorej znenie sa mení v smernici Komisie (EÚ) 2020/367. Príloha III smernice sa týka vzťahov medzi dávkou a účinkom, a zároveň aj nových metód posudzovania škodlivých účinkov environmentálneho hluku na zdravie. Zavedenie nových metód posudzovania škodlivých účinkov environmentálneho hluku na zdravie zohľadňuje usmernenia Svetovej zdravotníckej organizácie (WHO) týkajúce sa environmentálneho hluku, v ktorých sa opisuje vzťah medzi dávkou a účinkom v súvislosti so škodlivými účinkami spôsobenými vystavením environmentálnemu hluku. Vzťahy medzi dávkou a účinkom vychádzajú z daných usmernení, pričom sú prispôsobené technickému a vedeckému pokroku v oblasti environmentálneho hluku, čím sa predpokladá zlepšenie presnosti posudzovania škodlivých účinkov environmentálneho hluku z cestnej, železničnej a leteckej dopravy na zdravie obyvateľov. &lt;/font&gt;&lt;/p&gt;&lt;p style="text-align: justify;"&gt;&lt;font size="3"&gt;Do návrhu nariadenia vlády sa v prílohe č. 1 v bode 2 „Metódy posudzovania škodlivých účinkov hluku na obyvateľstvo“ dopĺňa odkaz na prílohu č. 1aa, v ktorej sa uvádza text prílohy III smernice, ktorá doteraz nebola súčasťou legislatívy Slovenskej republiky a zároveň sa dopĺňa smernica Komisie (EÚ) 2020/367 zo 4. marca 2020, ktorou sa mení príloha III k smernici Európskeho parlamentu a Rady 2002/49/ES, pokiaľ ide o stanovenie metód posudzovania škodlivých účinkov environmentálneho hluku (Ú. v. EÚ L 67, 5.3.2020) do „Zoznamu preberaných právne záväzných aktov Európskej únie“ do prílohy č. 2. &lt;/font&gt;&lt;/p&gt;&lt;p style="text-align: justify;"&gt;&lt;font size="3"&gt;Predložený návrh nariadenia vlády nemá sociálne vplyvy, vplyv na rozpočet verejnej správy, vplyv na životné prostredie, vplyv na informatizáciu spoločnosti, vplyv na podnikateľské prostredie, vplyv na manželstvo, rodičovstvo a rodinu, ani vplyv na služby verejnej správy pre občana. &lt;/font&gt;&lt;/p&gt;&lt;p style="text-align: justify;"&gt;&lt;font size="3"&gt;Navrhuje sa dátum nadobudnutia účinnosti nariadenia vlády dňom 15. decembra 2021, čím sa zabezpečí dostatočný časový priestor na notifikáciu a na efektívny legislatívny proces (s transponovaním smernice). &lt;/font&gt;&lt;/p&gt;&lt;p style="text-align: justify;"&gt;&lt;font size="3"&gt;Nie je dôvod nesprístupňovania návrhu nariadenia vlády. &lt;/font&gt;&lt;/p&gt;&lt;p style="text-align: justify;"&gt;&lt;font size="3"&gt;Návrh nariadenia vlády nie je predmetom vnútrokomunitárneho pripomienkového konania. &lt;/font&gt;&lt;/p&gt;&lt;p style="text-align: justify;"&gt;&lt;font size="3"&gt;Návrh nariadenia vlády sa predkladá do medzirezortného pripomienkového konania. &lt;/font&gt;&lt;/p&gt;</vt:lpwstr>
  </property>
  <property name="FSC#COOSYSTEM@1.1:Container" pid="149" fmtid="{D5CDD505-2E9C-101B-9397-08002B2CF9AE}">
    <vt:lpwstr>COO.2145.1000.3.4379945</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25. 5. 2021</vt:lpwstr>
  </property>
</Properties>
</file>