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0CD36" w14:textId="77777777" w:rsidR="00622B6B" w:rsidRPr="006C6991" w:rsidRDefault="00622B6B" w:rsidP="00622B6B">
      <w:pPr>
        <w:spacing w:before="120" w:after="0"/>
        <w:jc w:val="center"/>
        <w:rPr>
          <w:rFonts w:ascii="Times New Roman" w:hAnsi="Times New Roman"/>
        </w:rPr>
      </w:pPr>
      <w:bookmarkStart w:id="0" w:name="_GoBack"/>
      <w:bookmarkEnd w:id="0"/>
      <w:r w:rsidRPr="006C6991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14:paraId="645D369B" w14:textId="77777777" w:rsidR="00622B6B" w:rsidRPr="006C6991" w:rsidRDefault="00622B6B" w:rsidP="00622B6B">
      <w:pPr>
        <w:spacing w:before="120" w:after="0"/>
        <w:jc w:val="center"/>
        <w:rPr>
          <w:rFonts w:ascii="Times New Roman" w:hAnsi="Times New Roman"/>
        </w:rPr>
      </w:pPr>
      <w:r w:rsidRPr="006C6991">
        <w:rPr>
          <w:rFonts w:ascii="Times New Roman" w:hAnsi="Times New Roman"/>
          <w:b/>
          <w:bCs/>
          <w:color w:val="000000"/>
        </w:rPr>
        <w:t>vybraných vplyvov</w:t>
      </w:r>
    </w:p>
    <w:p w14:paraId="6704B5AB" w14:textId="77777777" w:rsidR="00622B6B" w:rsidRPr="006C6991" w:rsidRDefault="00622B6B" w:rsidP="00622B6B">
      <w:pPr>
        <w:spacing w:before="120" w:after="0"/>
        <w:jc w:val="both"/>
        <w:rPr>
          <w:rFonts w:ascii="Times New Roman" w:hAnsi="Times New Roman"/>
          <w:color w:val="000000"/>
        </w:rPr>
      </w:pPr>
    </w:p>
    <w:p w14:paraId="3ABA4766" w14:textId="58F5D661" w:rsidR="00622B6B" w:rsidRPr="006C6991" w:rsidRDefault="00622B6B" w:rsidP="00622B6B">
      <w:pPr>
        <w:spacing w:before="120" w:after="0"/>
        <w:jc w:val="both"/>
        <w:rPr>
          <w:rFonts w:ascii="Times New Roman" w:hAnsi="Times New Roman"/>
        </w:rPr>
      </w:pPr>
      <w:r w:rsidRPr="001420A5">
        <w:rPr>
          <w:rFonts w:ascii="Times New Roman" w:hAnsi="Times New Roman"/>
          <w:b/>
          <w:bCs/>
          <w:color w:val="000000"/>
        </w:rPr>
        <w:t xml:space="preserve">A.1. Názov materiálu: </w:t>
      </w:r>
      <w:r w:rsidR="00905577">
        <w:rPr>
          <w:rFonts w:ascii="Times New Roman" w:hAnsi="Times New Roman"/>
          <w:color w:val="000000"/>
        </w:rPr>
        <w:t>Návrh ústavného zákona o primeranom hmotnom zabezpečení v starobe</w:t>
      </w:r>
    </w:p>
    <w:p w14:paraId="1751EB93" w14:textId="77777777" w:rsidR="00622B6B" w:rsidRPr="006C6991" w:rsidRDefault="00622B6B" w:rsidP="00622B6B">
      <w:pPr>
        <w:spacing w:before="120" w:after="0"/>
        <w:jc w:val="both"/>
        <w:rPr>
          <w:rFonts w:ascii="Times New Roman" w:hAnsi="Times New Roman"/>
        </w:rPr>
      </w:pPr>
      <w:r w:rsidRPr="006C6991">
        <w:rPr>
          <w:rFonts w:ascii="Times New Roman" w:hAnsi="Times New Roman"/>
          <w:b/>
          <w:bCs/>
          <w:color w:val="000000"/>
        </w:rPr>
        <w:t xml:space="preserve">Termín začatia a ukončenia PPK: </w:t>
      </w:r>
      <w:r w:rsidRPr="006C6991">
        <w:rPr>
          <w:rFonts w:ascii="Times New Roman" w:hAnsi="Times New Roman"/>
          <w:i/>
          <w:iCs/>
          <w:color w:val="000000"/>
        </w:rPr>
        <w:t>bezpredmetné</w:t>
      </w:r>
    </w:p>
    <w:p w14:paraId="3CC71FDF" w14:textId="77777777" w:rsidR="00622B6B" w:rsidRPr="006C6991" w:rsidRDefault="00622B6B" w:rsidP="00622B6B">
      <w:pPr>
        <w:spacing w:before="120" w:after="0"/>
        <w:jc w:val="both"/>
        <w:rPr>
          <w:rFonts w:ascii="Times New Roman" w:hAnsi="Times New Roman"/>
        </w:rPr>
      </w:pPr>
      <w:r w:rsidRPr="006C6991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W w:w="5000" w:type="pct"/>
        <w:tblInd w:w="1" w:type="dxa"/>
        <w:tblCellMar>
          <w:left w:w="0" w:type="dxa"/>
          <w:right w:w="22" w:type="dxa"/>
        </w:tblCellMar>
        <w:tblLook w:val="04A0" w:firstRow="1" w:lastRow="0" w:firstColumn="1" w:lastColumn="0" w:noHBand="0" w:noVBand="1"/>
      </w:tblPr>
      <w:tblGrid>
        <w:gridCol w:w="5526"/>
        <w:gridCol w:w="1192"/>
        <w:gridCol w:w="1183"/>
        <w:gridCol w:w="1201"/>
      </w:tblGrid>
      <w:tr w:rsidR="00622B6B" w:rsidRPr="006C6991" w14:paraId="30930EE6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E1E9411" w14:textId="77777777" w:rsidR="00622B6B" w:rsidRPr="006C6991" w:rsidRDefault="00622B6B" w:rsidP="002B03A5">
            <w:pPr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62312CA" w14:textId="77777777" w:rsidR="00622B6B" w:rsidRPr="006C6991" w:rsidRDefault="00622B6B" w:rsidP="002B03A5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A949536" w14:textId="77777777" w:rsidR="00622B6B" w:rsidRPr="006C6991" w:rsidRDefault="00622B6B" w:rsidP="002B03A5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12D43E9" w14:textId="77777777" w:rsidR="00622B6B" w:rsidRPr="006C6991" w:rsidRDefault="00622B6B" w:rsidP="002B03A5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 w:rsidR="00622B6B" w:rsidRPr="006C6991" w14:paraId="04E78E86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4AF4B73" w14:textId="77777777" w:rsidR="00622B6B" w:rsidRPr="006C6991" w:rsidRDefault="00622B6B" w:rsidP="002B03A5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3EE2F9B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  <w:r w:rsidRPr="006C699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3A502F6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C6F4CF0" w14:textId="4D0B2DC8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  <w:r w:rsidRPr="006C6991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622B6B" w:rsidRPr="006C6991" w14:paraId="353F8A67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2535D8E" w14:textId="77777777" w:rsidR="00622B6B" w:rsidRPr="006C6991" w:rsidRDefault="00622B6B" w:rsidP="002B03A5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338F73E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B71B329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3F2D0C3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2B6B" w:rsidRPr="006C6991" w14:paraId="0394AA68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1AD68C8" w14:textId="77777777" w:rsidR="00622B6B" w:rsidRPr="006C6991" w:rsidRDefault="00622B6B" w:rsidP="002B03A5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499B8EA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  <w:r w:rsidRPr="006C699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857D74E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CEB8D33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2B6B" w:rsidRPr="006C6991" w14:paraId="777B8836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95A1931" w14:textId="77777777" w:rsidR="00622B6B" w:rsidRPr="006C6991" w:rsidRDefault="00622B6B" w:rsidP="002B03A5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0855C99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  <w:r w:rsidRPr="006C699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73E0D5B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293499A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2B6B" w:rsidRPr="006C6991" w14:paraId="12CD9455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92575B4" w14:textId="77777777" w:rsidR="00622B6B" w:rsidRPr="006C6991" w:rsidRDefault="00622B6B" w:rsidP="002B03A5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D215E6C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4301B84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49C7F54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2B6B" w:rsidRPr="006C6991" w14:paraId="0A7C6DD2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3C03A0C" w14:textId="77777777" w:rsidR="00622B6B" w:rsidRPr="006C6991" w:rsidRDefault="00622B6B" w:rsidP="002B03A5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07FCEE7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231472A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783E888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2B6B" w:rsidRPr="006C6991" w14:paraId="549CBAD4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28DBE8B" w14:textId="77777777" w:rsidR="00622B6B" w:rsidRPr="006C6991" w:rsidRDefault="00622B6B" w:rsidP="002B03A5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2D3CF9B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2D069D7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07932BF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2B6B" w:rsidRPr="006C6991" w14:paraId="7B7DFD3A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BB83102" w14:textId="77777777" w:rsidR="00622B6B" w:rsidRPr="006C6991" w:rsidRDefault="00622B6B" w:rsidP="002B03A5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43CD2FA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C766B9B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6C699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60AE848" w14:textId="77777777" w:rsidR="00622B6B" w:rsidRPr="006C6991" w:rsidRDefault="00622B6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6DDB" w:rsidRPr="006C6991" w14:paraId="5C70D08F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B688991" w14:textId="77777777" w:rsidR="009C6DDB" w:rsidRPr="006C6991" w:rsidRDefault="009C6DDB" w:rsidP="002B03A5">
            <w:pPr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6C6991">
              <w:rPr>
                <w:rFonts w:ascii="Times New Roman" w:hAnsi="Times New Roman"/>
                <w:color w:val="000000"/>
              </w:rPr>
              <w:t>6. Vplyv na manželstvo, rodičovstvo a rodinu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4723DF0" w14:textId="77777777" w:rsidR="009C6DDB" w:rsidRPr="006C6991" w:rsidRDefault="009C6DD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  <w:r w:rsidRPr="006C699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DBF1E38" w14:textId="77777777" w:rsidR="009C6DDB" w:rsidRPr="006C6991" w:rsidRDefault="009C6DD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7F711BF" w14:textId="77777777" w:rsidR="009C6DDB" w:rsidRPr="006C6991" w:rsidRDefault="009C6DDB" w:rsidP="002B03A5">
            <w:pPr>
              <w:spacing w:before="12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EFDE7AC" w14:textId="77777777" w:rsidR="009C6DDB" w:rsidRPr="006C6991" w:rsidRDefault="009C6DDB" w:rsidP="009C6DDB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1DAD96A4" w14:textId="77777777" w:rsidR="009C6DDB" w:rsidRPr="006C6991" w:rsidRDefault="00622B6B" w:rsidP="009C6DDB">
      <w:pPr>
        <w:spacing w:after="0"/>
        <w:jc w:val="both"/>
        <w:rPr>
          <w:rStyle w:val="Nadpis1Char"/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r w:rsidRPr="006C6991">
        <w:rPr>
          <w:rFonts w:ascii="Times New Roman" w:hAnsi="Times New Roman"/>
          <w:b/>
          <w:bCs/>
          <w:color w:val="000000"/>
        </w:rPr>
        <w:t>A.3. Poznámky</w:t>
      </w:r>
    </w:p>
    <w:p w14:paraId="2778CD73" w14:textId="738F3B27" w:rsidR="009C6DDB" w:rsidRPr="00A86166" w:rsidRDefault="00905577" w:rsidP="009C6DDB">
      <w:pPr>
        <w:pStyle w:val="NormlB"/>
        <w:spacing w:before="0" w:after="0"/>
        <w:rPr>
          <w:rFonts w:ascii="Times New Roman" w:hAnsi="Times New Roman" w:cs="Times New Roman"/>
          <w:b w:val="0"/>
          <w:color w:val="auto"/>
          <w:sz w:val="22"/>
        </w:rPr>
      </w:pPr>
      <w:r w:rsidRPr="00A86166">
        <w:rPr>
          <w:rFonts w:ascii="Times New Roman" w:hAnsi="Times New Roman" w:cs="Times New Roman"/>
          <w:b w:val="0"/>
          <w:color w:val="auto"/>
          <w:sz w:val="22"/>
        </w:rPr>
        <w:t>Návrh ú</w:t>
      </w:r>
      <w:r w:rsidR="009C6DDB" w:rsidRPr="00A86166">
        <w:rPr>
          <w:rFonts w:ascii="Times New Roman" w:hAnsi="Times New Roman" w:cs="Times New Roman"/>
          <w:b w:val="0"/>
          <w:color w:val="auto"/>
          <w:sz w:val="22"/>
        </w:rPr>
        <w:t>stavn</w:t>
      </w:r>
      <w:r w:rsidR="001D51F8" w:rsidRPr="00A86166">
        <w:rPr>
          <w:rFonts w:ascii="Times New Roman" w:hAnsi="Times New Roman" w:cs="Times New Roman"/>
          <w:b w:val="0"/>
          <w:color w:val="auto"/>
          <w:sz w:val="22"/>
        </w:rPr>
        <w:t>ého</w:t>
      </w:r>
      <w:r w:rsidR="009C6DDB" w:rsidRPr="00A86166">
        <w:rPr>
          <w:rFonts w:ascii="Times New Roman" w:hAnsi="Times New Roman" w:cs="Times New Roman"/>
          <w:b w:val="0"/>
          <w:color w:val="auto"/>
          <w:sz w:val="22"/>
        </w:rPr>
        <w:t xml:space="preserve"> zákon</w:t>
      </w:r>
      <w:r w:rsidRPr="00A86166">
        <w:rPr>
          <w:rFonts w:ascii="Times New Roman" w:hAnsi="Times New Roman" w:cs="Times New Roman"/>
          <w:b w:val="0"/>
          <w:color w:val="auto"/>
          <w:sz w:val="22"/>
        </w:rPr>
        <w:t>a</w:t>
      </w:r>
      <w:r w:rsidR="009C6DDB" w:rsidRPr="00A86166">
        <w:rPr>
          <w:rFonts w:ascii="Times New Roman" w:hAnsi="Times New Roman" w:cs="Times New Roman"/>
          <w:b w:val="0"/>
          <w:color w:val="auto"/>
          <w:sz w:val="22"/>
        </w:rPr>
        <w:t xml:space="preserve"> o</w:t>
      </w:r>
      <w:r w:rsidRPr="00A86166">
        <w:rPr>
          <w:rFonts w:ascii="Times New Roman" w:hAnsi="Times New Roman" w:cs="Times New Roman"/>
          <w:b w:val="0"/>
          <w:color w:val="auto"/>
          <w:sz w:val="22"/>
        </w:rPr>
        <w:t> primeranom hmotnom zabezpečení v starobe (ďalej len „ústavný zákon“)</w:t>
      </w:r>
      <w:r w:rsidR="009C6DDB" w:rsidRPr="00A86166">
        <w:rPr>
          <w:rFonts w:ascii="Times New Roman" w:hAnsi="Times New Roman" w:cs="Times New Roman"/>
          <w:b w:val="0"/>
          <w:color w:val="auto"/>
          <w:sz w:val="22"/>
        </w:rPr>
        <w:t xml:space="preserve"> bol vypracovaný v súlade s Programovým vyhlásením vlády SR na roky 2020-2024, v ktorom sa vláda SR zaviazala prijať komplexnú reformu všetkých pilierov dôchodkového systému. Jeho cieľom je zlepšiť udržateľnosť prvého priebežne financovaného dôchodkového piliera, zefektívnenie II. kapitalizačného piliera, ako i celkovú transparentnosť a stabilitu dôchodkového systému. V nadväznosti na uvedené bola v decembri 2020 prijatá zmena Ústavy SR</w:t>
      </w:r>
      <w:r w:rsidR="009C6DDB" w:rsidRPr="00A86166">
        <w:rPr>
          <w:rStyle w:val="Odkaznapoznmkupodiarou"/>
          <w:rFonts w:ascii="Times New Roman" w:hAnsi="Times New Roman" w:cs="Times New Roman"/>
          <w:b w:val="0"/>
          <w:color w:val="auto"/>
          <w:sz w:val="22"/>
        </w:rPr>
        <w:footnoteReference w:id="1"/>
      </w:r>
      <w:r w:rsidR="009C6DDB" w:rsidRPr="00A86166">
        <w:rPr>
          <w:rFonts w:ascii="Times New Roman" w:hAnsi="Times New Roman" w:cs="Times New Roman"/>
          <w:b w:val="0"/>
          <w:color w:val="auto"/>
          <w:sz w:val="22"/>
        </w:rPr>
        <w:t>, v rámci ktorej došlo s účinnosťou od 1. 1. 2023 k </w:t>
      </w:r>
      <w:r w:rsidR="00A86166" w:rsidRPr="00A86166">
        <w:rPr>
          <w:rFonts w:ascii="Times New Roman" w:hAnsi="Times New Roman" w:cs="Times New Roman"/>
          <w:b w:val="0"/>
          <w:color w:val="auto"/>
          <w:sz w:val="22"/>
        </w:rPr>
        <w:t xml:space="preserve">vypusteniu </w:t>
      </w:r>
      <w:r w:rsidR="009C6DDB" w:rsidRPr="00A86166">
        <w:rPr>
          <w:rFonts w:ascii="Times New Roman" w:hAnsi="Times New Roman" w:cs="Times New Roman"/>
          <w:b w:val="0"/>
          <w:color w:val="auto"/>
          <w:sz w:val="22"/>
        </w:rPr>
        <w:t xml:space="preserve">stropu na dôchodkový vek z Ústavy SR. </w:t>
      </w:r>
    </w:p>
    <w:p w14:paraId="606E6D46" w14:textId="77777777" w:rsidR="009C6DDB" w:rsidRPr="00A86166" w:rsidRDefault="009C6DDB" w:rsidP="009C6DDB">
      <w:pPr>
        <w:spacing w:after="0"/>
        <w:rPr>
          <w:rFonts w:ascii="Times New Roman" w:hAnsi="Times New Roman"/>
        </w:rPr>
      </w:pPr>
    </w:p>
    <w:p w14:paraId="0762EEA0" w14:textId="13C8C15F" w:rsidR="009C6DDB" w:rsidRPr="00A86166" w:rsidRDefault="0071339B" w:rsidP="009C6DDB">
      <w:pPr>
        <w:spacing w:after="0"/>
        <w:rPr>
          <w:rFonts w:ascii="Times New Roman" w:hAnsi="Times New Roman"/>
        </w:rPr>
      </w:pPr>
      <w:r w:rsidRPr="00A86166">
        <w:rPr>
          <w:rFonts w:ascii="Times New Roman" w:hAnsi="Times New Roman"/>
        </w:rPr>
        <w:t>Posudzované o</w:t>
      </w:r>
      <w:r w:rsidR="006C6991" w:rsidRPr="00A86166">
        <w:rPr>
          <w:rFonts w:ascii="Times New Roman" w:hAnsi="Times New Roman"/>
        </w:rPr>
        <w:t>patrenia</w:t>
      </w:r>
      <w:r w:rsidR="009C6DDB" w:rsidRPr="00A86166">
        <w:rPr>
          <w:rFonts w:ascii="Times New Roman" w:hAnsi="Times New Roman"/>
        </w:rPr>
        <w:t>:</w:t>
      </w:r>
    </w:p>
    <w:p w14:paraId="79691B95" w14:textId="77777777" w:rsidR="009C6DDB" w:rsidRPr="00920435" w:rsidRDefault="009C6DDB" w:rsidP="009C6DDB">
      <w:pPr>
        <w:pStyle w:val="Odsekzoznamu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2"/>
        </w:rPr>
      </w:pPr>
      <w:r w:rsidRPr="00920435">
        <w:rPr>
          <w:rFonts w:ascii="Times New Roman" w:hAnsi="Times New Roman" w:cs="Times New Roman"/>
          <w:color w:val="auto"/>
          <w:sz w:val="22"/>
        </w:rPr>
        <w:t>Naviazanie dôchodkového veku na strednú dĺžku života</w:t>
      </w:r>
    </w:p>
    <w:p w14:paraId="50540A74" w14:textId="77777777" w:rsidR="009C6DDB" w:rsidRPr="00920435" w:rsidRDefault="009C6DDB" w:rsidP="009C6DDB">
      <w:pPr>
        <w:pStyle w:val="Odsekzoznamu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2"/>
        </w:rPr>
      </w:pPr>
      <w:r w:rsidRPr="00920435">
        <w:rPr>
          <w:rFonts w:ascii="Times New Roman" w:hAnsi="Times New Roman" w:cs="Times New Roman"/>
          <w:color w:val="auto"/>
          <w:sz w:val="22"/>
        </w:rPr>
        <w:t>Odchod do dôchodku za 40 odpracovaných rokov</w:t>
      </w:r>
    </w:p>
    <w:p w14:paraId="4321F090" w14:textId="77777777" w:rsidR="009C6DDB" w:rsidRPr="00920435" w:rsidRDefault="009C6DDB" w:rsidP="009C6DDB">
      <w:pPr>
        <w:pStyle w:val="Odsekzoznamu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2"/>
        </w:rPr>
      </w:pPr>
      <w:r w:rsidRPr="00920435">
        <w:rPr>
          <w:rFonts w:ascii="Times New Roman" w:hAnsi="Times New Roman" w:cs="Times New Roman"/>
          <w:color w:val="auto"/>
          <w:sz w:val="22"/>
        </w:rPr>
        <w:t>Asignácia odvodov</w:t>
      </w:r>
      <w:r w:rsidR="001D51F8" w:rsidRPr="00920435">
        <w:rPr>
          <w:rFonts w:ascii="Times New Roman" w:hAnsi="Times New Roman" w:cs="Times New Roman"/>
          <w:color w:val="auto"/>
          <w:sz w:val="22"/>
        </w:rPr>
        <w:t xml:space="preserve"> – rodičovský bonus</w:t>
      </w:r>
    </w:p>
    <w:p w14:paraId="081697C9" w14:textId="77777777" w:rsidR="009C6DDB" w:rsidRPr="00920435" w:rsidRDefault="009C6DDB" w:rsidP="009C6DDB">
      <w:pPr>
        <w:pStyle w:val="Odsekzoznamu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2"/>
        </w:rPr>
      </w:pPr>
      <w:r w:rsidRPr="00920435">
        <w:rPr>
          <w:rFonts w:ascii="Times New Roman" w:hAnsi="Times New Roman" w:cs="Times New Roman"/>
          <w:color w:val="auto"/>
          <w:sz w:val="22"/>
        </w:rPr>
        <w:t>Automatický vstup do II. piliera</w:t>
      </w:r>
    </w:p>
    <w:p w14:paraId="3FFB2921" w14:textId="77777777" w:rsidR="00E17E65" w:rsidRDefault="00E17E65" w:rsidP="009C6DDB">
      <w:pPr>
        <w:pStyle w:val="Nadpis2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1659B2D" w14:textId="77777777" w:rsidR="009C6DDB" w:rsidRPr="006C6991" w:rsidRDefault="009C6DDB" w:rsidP="009C6DDB">
      <w:pPr>
        <w:pStyle w:val="Nadpis2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C6991">
        <w:rPr>
          <w:rFonts w:ascii="Times New Roman" w:hAnsi="Times New Roman" w:cs="Times New Roman"/>
          <w:b/>
          <w:color w:val="auto"/>
          <w:sz w:val="22"/>
          <w:szCs w:val="22"/>
        </w:rPr>
        <w:t>1) Naviazanie dôchodkového veku na strednú dĺžku života</w:t>
      </w:r>
    </w:p>
    <w:p w14:paraId="51FECC10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36E75CED" w14:textId="006DE56B" w:rsidR="009C6DDB" w:rsidRPr="00920435" w:rsidRDefault="009C6DDB" w:rsidP="006C6991">
      <w:pPr>
        <w:spacing w:after="0"/>
        <w:jc w:val="both"/>
        <w:rPr>
          <w:rFonts w:ascii="Times New Roman" w:hAnsi="Times New Roman"/>
        </w:rPr>
      </w:pPr>
      <w:r w:rsidRPr="006C6991">
        <w:rPr>
          <w:rFonts w:ascii="Times New Roman" w:hAnsi="Times New Roman"/>
        </w:rPr>
        <w:t xml:space="preserve">Hlavným opatrením, ktoré prispeje k zlepšeniu dlhodobej udržateľnosti dôchodkového systému je opätovné naviazanie dôchodkového veku na strednú dĺžku života. V súčasnosti je dôchodkový vek </w:t>
      </w:r>
      <w:r w:rsidRPr="00A86166">
        <w:rPr>
          <w:rFonts w:ascii="Times New Roman" w:hAnsi="Times New Roman"/>
        </w:rPr>
        <w:lastRenderedPageBreak/>
        <w:t xml:space="preserve">definovaný v prílohe č. 3a a v prílohe č. 3b zákona č.461/2003 Z. z. o sociálnom poistení v znení neskorších predpisov (ďalej len </w:t>
      </w:r>
      <w:r w:rsidR="00C13604" w:rsidRPr="00A86166">
        <w:rPr>
          <w:rFonts w:ascii="Times New Roman" w:hAnsi="Times New Roman"/>
        </w:rPr>
        <w:t>„</w:t>
      </w:r>
      <w:r w:rsidRPr="00A86166">
        <w:rPr>
          <w:rFonts w:ascii="Times New Roman" w:hAnsi="Times New Roman"/>
        </w:rPr>
        <w:t>zákon o sociálnom poistení</w:t>
      </w:r>
      <w:r w:rsidR="00C13604" w:rsidRPr="00A86166">
        <w:rPr>
          <w:rFonts w:ascii="Times New Roman" w:hAnsi="Times New Roman"/>
        </w:rPr>
        <w:t>“</w:t>
      </w:r>
      <w:r w:rsidRPr="00A86166">
        <w:rPr>
          <w:rFonts w:ascii="Times New Roman" w:hAnsi="Times New Roman"/>
        </w:rPr>
        <w:t xml:space="preserve">), pričom rast dôchodkového veku sa zastaví v roku 2030 na úrovni 64 rokov. Predpokladáme, že pri automatickom predlžovaní bude zachovaná zásada </w:t>
      </w:r>
      <w:r w:rsidRPr="00920435">
        <w:rPr>
          <w:rFonts w:ascii="Times New Roman" w:hAnsi="Times New Roman"/>
        </w:rPr>
        <w:t>rovnakého dôchodkového veku v rámci kalendárneho ročníka,</w:t>
      </w:r>
      <w:r w:rsidRPr="00A86166">
        <w:rPr>
          <w:rFonts w:ascii="Times New Roman" w:hAnsi="Times New Roman"/>
        </w:rPr>
        <w:t xml:space="preserve"> t. j.</w:t>
      </w:r>
      <w:r w:rsidR="00CA3860" w:rsidRPr="00A86166">
        <w:rPr>
          <w:rFonts w:ascii="Times New Roman" w:hAnsi="Times New Roman"/>
        </w:rPr>
        <w:t>,</w:t>
      </w:r>
      <w:r w:rsidRPr="00A86166">
        <w:rPr>
          <w:rFonts w:ascii="Times New Roman" w:hAnsi="Times New Roman"/>
        </w:rPr>
        <w:t xml:space="preserve"> aby osoby narodené v rovnakom roku mali rovnaký dôchodkový vek ako tomu bolo dodnes.</w:t>
      </w:r>
      <w:r w:rsidRPr="00920435">
        <w:rPr>
          <w:rFonts w:ascii="Times New Roman" w:hAnsi="Times New Roman"/>
        </w:rPr>
        <w:t xml:space="preserve"> </w:t>
      </w:r>
      <w:r w:rsidRPr="00A86166">
        <w:rPr>
          <w:rFonts w:ascii="Times New Roman" w:hAnsi="Times New Roman"/>
        </w:rPr>
        <w:t>Zároveň vychádzame z predpokladu, že dôchodkový vek bude automaticky zvyšovaný</w:t>
      </w:r>
      <w:r w:rsidRPr="00920435">
        <w:rPr>
          <w:rFonts w:ascii="Times New Roman" w:hAnsi="Times New Roman"/>
        </w:rPr>
        <w:t xml:space="preserve"> na mesačnej báze, t. j. o mesiace. </w:t>
      </w:r>
      <w:r w:rsidRPr="00A86166">
        <w:rPr>
          <w:rFonts w:ascii="Times New Roman" w:hAnsi="Times New Roman"/>
        </w:rPr>
        <w:t xml:space="preserve">Na základe uvedeného a s prihliadnutím na vývoj strednej dĺžky života v dôchodkovom veku vypočítanej z poslednej demografickej prognózy Eurostatu EUROPOP2019 odhadujeme v najbližších rokoch tempo rastu dôchodkového veku </w:t>
      </w:r>
      <w:r w:rsidRPr="00920435">
        <w:rPr>
          <w:rFonts w:ascii="Times New Roman" w:hAnsi="Times New Roman"/>
        </w:rPr>
        <w:t>na úrovni dvoch mesiacov ročne.</w:t>
      </w:r>
    </w:p>
    <w:p w14:paraId="64E4C524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376BD623" w14:textId="22484FEF" w:rsidR="009C6DDB" w:rsidRPr="00A86166" w:rsidRDefault="009C6DDB" w:rsidP="006C6991">
      <w:pPr>
        <w:spacing w:after="0"/>
        <w:jc w:val="both"/>
        <w:rPr>
          <w:rFonts w:ascii="Times New Roman" w:hAnsi="Times New Roman"/>
        </w:rPr>
      </w:pPr>
      <w:r w:rsidRPr="00A86166">
        <w:rPr>
          <w:rFonts w:ascii="Times New Roman" w:hAnsi="Times New Roman"/>
        </w:rPr>
        <w:t xml:space="preserve">V dlhodobom horizonte očakávame zníženie výdavkov na dôchodky </w:t>
      </w:r>
      <w:r w:rsidRPr="00920435">
        <w:rPr>
          <w:rFonts w:ascii="Times New Roman" w:hAnsi="Times New Roman"/>
        </w:rPr>
        <w:t>o približne 2,3 p. b. HDP v roku 2070</w:t>
      </w:r>
      <w:r w:rsidRPr="00A86166">
        <w:rPr>
          <w:rFonts w:ascii="Times New Roman" w:hAnsi="Times New Roman"/>
        </w:rPr>
        <w:t xml:space="preserve">, čo môžeme označiť ako signifikantný vplyv na posilnenie dlhodobej udržateľnosti dôchodkového systému. </w:t>
      </w:r>
    </w:p>
    <w:p w14:paraId="3F02D14F" w14:textId="77777777" w:rsidR="009C6DDB" w:rsidRPr="006C6991" w:rsidRDefault="009C6DDB" w:rsidP="009C6DDB">
      <w:pPr>
        <w:spacing w:after="0"/>
        <w:jc w:val="both"/>
        <w:rPr>
          <w:rFonts w:ascii="Times New Roman" w:hAnsi="Times New Roman"/>
        </w:rPr>
      </w:pPr>
    </w:p>
    <w:p w14:paraId="6A24A04F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  <w:r w:rsidRPr="006C6991">
        <w:rPr>
          <w:rFonts w:ascii="Times New Roman" w:hAnsi="Times New Roman"/>
        </w:rPr>
        <w:t xml:space="preserve">Ďalšie predpoklady použité v prognóze: </w:t>
      </w:r>
    </w:p>
    <w:p w14:paraId="1A26E406" w14:textId="5E11D91E" w:rsidR="009C6DDB" w:rsidRPr="006C6991" w:rsidRDefault="009C6DDB" w:rsidP="009C6DDB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auto"/>
          <w:sz w:val="22"/>
        </w:rPr>
      </w:pPr>
      <w:r w:rsidRPr="006C6991">
        <w:rPr>
          <w:rFonts w:ascii="Times New Roman" w:hAnsi="Times New Roman" w:cs="Times New Roman"/>
          <w:color w:val="auto"/>
          <w:sz w:val="22"/>
        </w:rPr>
        <w:t xml:space="preserve">Pokračovanie rovnakého mechanizmu, ktorý bol súčasťou § 65a zákona o sociálnom poistení s účinnosťou do 31. 12. 2018; </w:t>
      </w:r>
    </w:p>
    <w:p w14:paraId="61066E2E" w14:textId="77777777" w:rsidR="009C6DDB" w:rsidRPr="006C6991" w:rsidRDefault="009C6DDB" w:rsidP="009C6DDB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auto"/>
          <w:sz w:val="22"/>
        </w:rPr>
      </w:pPr>
      <w:r w:rsidRPr="006C6991">
        <w:rPr>
          <w:rFonts w:ascii="Times New Roman" w:hAnsi="Times New Roman" w:cs="Times New Roman"/>
          <w:color w:val="auto"/>
          <w:sz w:val="22"/>
        </w:rPr>
        <w:t>Dôchodkový vek sa každoročne automaticky zvyšuje medziročným rozdielom 5-ročného kĺzavého priemeru strednej dĺžky života bez rozlíšenia pohlavia, zaokrúhleným na celé mesiace;</w:t>
      </w:r>
    </w:p>
    <w:p w14:paraId="4EBDB6CC" w14:textId="7AC27680" w:rsidR="009C6DDB" w:rsidRPr="006C6991" w:rsidRDefault="009C6DDB" w:rsidP="009C6DDB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auto"/>
          <w:sz w:val="22"/>
        </w:rPr>
      </w:pPr>
      <w:r w:rsidRPr="006C6991">
        <w:rPr>
          <w:rFonts w:ascii="Times New Roman" w:hAnsi="Times New Roman" w:cs="Times New Roman"/>
          <w:color w:val="auto"/>
          <w:sz w:val="22"/>
        </w:rPr>
        <w:t>Dôchodkový vek pred naviazaním na rast podľa SDŽ vychádza z</w:t>
      </w:r>
      <w:r w:rsidR="006D0FE7">
        <w:rPr>
          <w:rFonts w:ascii="Times New Roman" w:hAnsi="Times New Roman" w:cs="Times New Roman"/>
          <w:color w:val="auto"/>
          <w:sz w:val="22"/>
        </w:rPr>
        <w:t xml:space="preserve"> aktuálnej </w:t>
      </w:r>
      <w:r w:rsidRPr="006C6991">
        <w:rPr>
          <w:rFonts w:ascii="Times New Roman" w:hAnsi="Times New Roman" w:cs="Times New Roman"/>
          <w:color w:val="auto"/>
          <w:sz w:val="22"/>
        </w:rPr>
        <w:t>prílohy</w:t>
      </w:r>
      <w:r w:rsidR="00C13604">
        <w:rPr>
          <w:rFonts w:ascii="Times New Roman" w:hAnsi="Times New Roman" w:cs="Times New Roman"/>
          <w:color w:val="auto"/>
          <w:sz w:val="22"/>
        </w:rPr>
        <w:t xml:space="preserve"> č. 3a k zákonu o sociálnom poistení.</w:t>
      </w:r>
    </w:p>
    <w:p w14:paraId="5F1A9303" w14:textId="77777777" w:rsidR="009C6DDB" w:rsidRPr="006C6991" w:rsidRDefault="009C6DDB" w:rsidP="009C6DDB">
      <w:pPr>
        <w:pStyle w:val="Odsekzoznamu"/>
        <w:spacing w:before="0" w:after="0"/>
        <w:rPr>
          <w:rFonts w:ascii="Times New Roman" w:hAnsi="Times New Roman" w:cs="Times New Roman"/>
          <w:color w:val="auto"/>
          <w:sz w:val="22"/>
        </w:rPr>
      </w:pPr>
    </w:p>
    <w:p w14:paraId="1986D14E" w14:textId="77777777" w:rsidR="009C6DDB" w:rsidRPr="006C6991" w:rsidRDefault="009C6DDB" w:rsidP="006C6991">
      <w:pPr>
        <w:pStyle w:val="Nadpis3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991">
        <w:rPr>
          <w:rFonts w:ascii="Times New Roman" w:hAnsi="Times New Roman" w:cs="Times New Roman"/>
          <w:color w:val="auto"/>
          <w:sz w:val="22"/>
          <w:szCs w:val="22"/>
        </w:rPr>
        <w:t xml:space="preserve">Tabuľka 1: Vplyv naviazania dôchodkového veku na strednú dĺžku života na výdavky dôchodkového systému </w:t>
      </w:r>
    </w:p>
    <w:tbl>
      <w:tblPr>
        <w:tblStyle w:val="Mriekatabuky"/>
        <w:tblW w:w="9100" w:type="dxa"/>
        <w:jc w:val="center"/>
        <w:tblLook w:val="04A0" w:firstRow="1" w:lastRow="0" w:firstColumn="1" w:lastColumn="0" w:noHBand="0" w:noVBand="1"/>
      </w:tblPr>
      <w:tblGrid>
        <w:gridCol w:w="1560"/>
        <w:gridCol w:w="616"/>
        <w:gridCol w:w="616"/>
        <w:gridCol w:w="616"/>
        <w:gridCol w:w="670"/>
        <w:gridCol w:w="670"/>
        <w:gridCol w:w="670"/>
        <w:gridCol w:w="670"/>
        <w:gridCol w:w="670"/>
        <w:gridCol w:w="616"/>
        <w:gridCol w:w="616"/>
        <w:gridCol w:w="616"/>
        <w:gridCol w:w="616"/>
      </w:tblGrid>
      <w:tr w:rsidR="009C6DDB" w:rsidRPr="006C6991" w14:paraId="598380CB" w14:textId="77777777" w:rsidTr="00413624">
        <w:trPr>
          <w:trHeight w:val="300"/>
          <w:jc w:val="center"/>
        </w:trPr>
        <w:tc>
          <w:tcPr>
            <w:tcW w:w="1560" w:type="dxa"/>
            <w:noWrap/>
            <w:hideMark/>
          </w:tcPr>
          <w:p w14:paraId="6418506F" w14:textId="77777777" w:rsidR="009C6DDB" w:rsidRPr="00CA3860" w:rsidRDefault="009C6DDB" w:rsidP="009C6D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13D2ADE2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589" w:type="dxa"/>
            <w:noWrap/>
            <w:hideMark/>
          </w:tcPr>
          <w:p w14:paraId="14657EBC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589" w:type="dxa"/>
            <w:noWrap/>
            <w:hideMark/>
          </w:tcPr>
          <w:p w14:paraId="14BBBEA7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670" w:type="dxa"/>
            <w:noWrap/>
            <w:hideMark/>
          </w:tcPr>
          <w:p w14:paraId="018DC3AB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2030</w:t>
            </w:r>
          </w:p>
        </w:tc>
        <w:tc>
          <w:tcPr>
            <w:tcW w:w="670" w:type="dxa"/>
            <w:noWrap/>
            <w:hideMark/>
          </w:tcPr>
          <w:p w14:paraId="36983709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2035</w:t>
            </w:r>
          </w:p>
        </w:tc>
        <w:tc>
          <w:tcPr>
            <w:tcW w:w="670" w:type="dxa"/>
            <w:noWrap/>
            <w:hideMark/>
          </w:tcPr>
          <w:p w14:paraId="08842BCA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2040</w:t>
            </w:r>
          </w:p>
        </w:tc>
        <w:tc>
          <w:tcPr>
            <w:tcW w:w="670" w:type="dxa"/>
            <w:noWrap/>
            <w:hideMark/>
          </w:tcPr>
          <w:p w14:paraId="5190A951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2045</w:t>
            </w:r>
          </w:p>
        </w:tc>
        <w:tc>
          <w:tcPr>
            <w:tcW w:w="670" w:type="dxa"/>
            <w:noWrap/>
            <w:hideMark/>
          </w:tcPr>
          <w:p w14:paraId="35BC6676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2050</w:t>
            </w:r>
          </w:p>
        </w:tc>
        <w:tc>
          <w:tcPr>
            <w:tcW w:w="658" w:type="dxa"/>
          </w:tcPr>
          <w:p w14:paraId="17B39523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2055</w:t>
            </w:r>
          </w:p>
        </w:tc>
        <w:tc>
          <w:tcPr>
            <w:tcW w:w="600" w:type="dxa"/>
          </w:tcPr>
          <w:p w14:paraId="5F6D1224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2060</w:t>
            </w:r>
          </w:p>
        </w:tc>
        <w:tc>
          <w:tcPr>
            <w:tcW w:w="581" w:type="dxa"/>
          </w:tcPr>
          <w:p w14:paraId="765DD248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2065</w:t>
            </w:r>
          </w:p>
        </w:tc>
        <w:tc>
          <w:tcPr>
            <w:tcW w:w="581" w:type="dxa"/>
          </w:tcPr>
          <w:p w14:paraId="085900E2" w14:textId="77777777" w:rsidR="009C6DDB" w:rsidRPr="00CA3860" w:rsidRDefault="009C6DDB" w:rsidP="009C6D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2070</w:t>
            </w:r>
          </w:p>
        </w:tc>
      </w:tr>
      <w:tr w:rsidR="009C6DDB" w:rsidRPr="006C6991" w14:paraId="4A41C2F9" w14:textId="77777777" w:rsidTr="00413624">
        <w:trPr>
          <w:trHeight w:val="300"/>
          <w:jc w:val="center"/>
        </w:trPr>
        <w:tc>
          <w:tcPr>
            <w:tcW w:w="1560" w:type="dxa"/>
            <w:noWrap/>
            <w:vAlign w:val="bottom"/>
            <w:hideMark/>
          </w:tcPr>
          <w:p w14:paraId="24F0C969" w14:textId="77777777" w:rsidR="009C6DDB" w:rsidRPr="00920435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2043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Vplyv na bilanciu v p. b. HDP</w:t>
            </w:r>
          </w:p>
        </w:tc>
        <w:tc>
          <w:tcPr>
            <w:tcW w:w="592" w:type="dxa"/>
            <w:noWrap/>
          </w:tcPr>
          <w:p w14:paraId="446B7692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589" w:type="dxa"/>
            <w:noWrap/>
          </w:tcPr>
          <w:p w14:paraId="69B08612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589" w:type="dxa"/>
            <w:noWrap/>
          </w:tcPr>
          <w:p w14:paraId="341441DF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670" w:type="dxa"/>
            <w:noWrap/>
          </w:tcPr>
          <w:p w14:paraId="082FDFFB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-0,2</w:t>
            </w:r>
          </w:p>
        </w:tc>
        <w:tc>
          <w:tcPr>
            <w:tcW w:w="670" w:type="dxa"/>
            <w:noWrap/>
          </w:tcPr>
          <w:p w14:paraId="2FB05D1A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670" w:type="dxa"/>
            <w:noWrap/>
          </w:tcPr>
          <w:p w14:paraId="1BF07BC6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-1,1</w:t>
            </w:r>
          </w:p>
        </w:tc>
        <w:tc>
          <w:tcPr>
            <w:tcW w:w="670" w:type="dxa"/>
            <w:noWrap/>
          </w:tcPr>
          <w:p w14:paraId="73C91FC9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-1,6</w:t>
            </w:r>
          </w:p>
        </w:tc>
        <w:tc>
          <w:tcPr>
            <w:tcW w:w="670" w:type="dxa"/>
            <w:noWrap/>
          </w:tcPr>
          <w:p w14:paraId="05D55F74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-1,9</w:t>
            </w:r>
          </w:p>
        </w:tc>
        <w:tc>
          <w:tcPr>
            <w:tcW w:w="658" w:type="dxa"/>
          </w:tcPr>
          <w:p w14:paraId="65BB9B50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-2,1</w:t>
            </w:r>
          </w:p>
        </w:tc>
        <w:tc>
          <w:tcPr>
            <w:tcW w:w="600" w:type="dxa"/>
          </w:tcPr>
          <w:p w14:paraId="6942326A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-2,1</w:t>
            </w:r>
          </w:p>
        </w:tc>
        <w:tc>
          <w:tcPr>
            <w:tcW w:w="581" w:type="dxa"/>
          </w:tcPr>
          <w:p w14:paraId="2B94EAFE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A3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-2,0</w:t>
            </w:r>
          </w:p>
        </w:tc>
        <w:tc>
          <w:tcPr>
            <w:tcW w:w="581" w:type="dxa"/>
          </w:tcPr>
          <w:p w14:paraId="0B07EDFD" w14:textId="77777777" w:rsidR="009C6DDB" w:rsidRPr="00CA3860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3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-2,3</w:t>
            </w:r>
          </w:p>
        </w:tc>
      </w:tr>
    </w:tbl>
    <w:p w14:paraId="57E1AFE9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0826553D" w14:textId="77777777" w:rsidR="009C6DDB" w:rsidRPr="00CA3860" w:rsidRDefault="009C6DDB" w:rsidP="009C6DDB">
      <w:pPr>
        <w:spacing w:after="0"/>
        <w:rPr>
          <w:rFonts w:ascii="Times New Roman" w:hAnsi="Times New Roman"/>
          <w:sz w:val="20"/>
          <w:szCs w:val="20"/>
        </w:rPr>
      </w:pPr>
      <w:r w:rsidRPr="00CA3860">
        <w:rPr>
          <w:rFonts w:ascii="Times New Roman" w:hAnsi="Times New Roman"/>
          <w:sz w:val="20"/>
          <w:szCs w:val="20"/>
        </w:rPr>
        <w:t>Zdroj: IFP; (-) záporná hodnota predstavuje úsporu</w:t>
      </w:r>
    </w:p>
    <w:p w14:paraId="4FC96083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7B886AF0" w14:textId="77777777" w:rsidR="009C6DDB" w:rsidRPr="006C6991" w:rsidRDefault="009C6DDB" w:rsidP="00CA3860">
      <w:pPr>
        <w:pStyle w:val="Nadpis3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991">
        <w:rPr>
          <w:rFonts w:ascii="Times New Roman" w:hAnsi="Times New Roman" w:cs="Times New Roman"/>
          <w:color w:val="auto"/>
          <w:sz w:val="22"/>
          <w:szCs w:val="22"/>
        </w:rPr>
        <w:t>Graf 1: Vplyv naviazania dôchodkového veku na strednú dĺžku života (scenár 100% zmeny strednej dĺžky života)</w:t>
      </w:r>
    </w:p>
    <w:p w14:paraId="3B7B61DD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  <w:r w:rsidRPr="006C6991">
        <w:rPr>
          <w:rFonts w:ascii="Times New Roman" w:hAnsi="Times New Roman"/>
          <w:noProof/>
          <w:lang w:eastAsia="sk-SK"/>
        </w:rPr>
        <w:drawing>
          <wp:inline distT="0" distB="0" distL="0" distR="0" wp14:anchorId="7B596D62" wp14:editId="30C63327">
            <wp:extent cx="5990590" cy="2482850"/>
            <wp:effectExtent l="0" t="0" r="10160" b="1270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662BB0" w14:textId="77777777" w:rsidR="009C6DDB" w:rsidRPr="00CA3860" w:rsidRDefault="009C6DDB" w:rsidP="009C6DDB">
      <w:pPr>
        <w:spacing w:after="0"/>
        <w:rPr>
          <w:rFonts w:ascii="Times New Roman" w:hAnsi="Times New Roman"/>
          <w:sz w:val="20"/>
          <w:szCs w:val="20"/>
        </w:rPr>
      </w:pPr>
      <w:r w:rsidRPr="00CA3860">
        <w:rPr>
          <w:rFonts w:ascii="Times New Roman" w:hAnsi="Times New Roman"/>
          <w:sz w:val="20"/>
          <w:szCs w:val="20"/>
        </w:rPr>
        <w:t>Zdroj: IFP</w:t>
      </w:r>
    </w:p>
    <w:p w14:paraId="75A6AE97" w14:textId="77777777" w:rsidR="006C6991" w:rsidRPr="006C6991" w:rsidRDefault="006C6991" w:rsidP="009C6DDB">
      <w:pPr>
        <w:pStyle w:val="Nadpis2"/>
        <w:spacing w:before="0"/>
        <w:rPr>
          <w:rFonts w:ascii="Times New Roman" w:hAnsi="Times New Roman" w:cs="Times New Roman"/>
          <w:sz w:val="22"/>
          <w:szCs w:val="22"/>
        </w:rPr>
      </w:pPr>
    </w:p>
    <w:p w14:paraId="1684C4C7" w14:textId="77777777" w:rsidR="009C6DDB" w:rsidRPr="006C6991" w:rsidRDefault="009C6DDB" w:rsidP="009C6DDB">
      <w:pPr>
        <w:pStyle w:val="Nadpis2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C6991">
        <w:rPr>
          <w:rFonts w:ascii="Times New Roman" w:hAnsi="Times New Roman" w:cs="Times New Roman"/>
          <w:b/>
          <w:color w:val="auto"/>
          <w:sz w:val="22"/>
          <w:szCs w:val="22"/>
        </w:rPr>
        <w:t>2) Odchod do dôchodku za 40 odpracovaných rokov</w:t>
      </w:r>
    </w:p>
    <w:p w14:paraId="7E7DCBBF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3AFE6D33" w14:textId="7216D074" w:rsidR="009C6DDB" w:rsidRPr="00A86166" w:rsidRDefault="009C6DDB" w:rsidP="006C6991">
      <w:pPr>
        <w:spacing w:after="0"/>
        <w:jc w:val="both"/>
        <w:rPr>
          <w:rFonts w:ascii="Times New Roman" w:hAnsi="Times New Roman"/>
        </w:rPr>
      </w:pPr>
      <w:r w:rsidRPr="00A86166">
        <w:rPr>
          <w:rFonts w:ascii="Times New Roman" w:hAnsi="Times New Roman"/>
        </w:rPr>
        <w:t>Ústavný zákon navrhuje aj alternatívnu možnosť odchodu do</w:t>
      </w:r>
      <w:r w:rsidR="00905577" w:rsidRPr="00A86166">
        <w:rPr>
          <w:rFonts w:ascii="Times New Roman" w:hAnsi="Times New Roman"/>
        </w:rPr>
        <w:t xml:space="preserve"> predčasného</w:t>
      </w:r>
      <w:r w:rsidRPr="00A86166">
        <w:rPr>
          <w:rFonts w:ascii="Times New Roman" w:hAnsi="Times New Roman"/>
        </w:rPr>
        <w:t xml:space="preserve"> starobného dôchodku. Okrem možnosti odchodu do starobného dôchodku po splnení vekovej podmienky a </w:t>
      </w:r>
      <w:r w:rsidR="00905577" w:rsidRPr="00A86166">
        <w:rPr>
          <w:rFonts w:ascii="Times New Roman" w:hAnsi="Times New Roman"/>
        </w:rPr>
        <w:t>dosiahnutia</w:t>
      </w:r>
      <w:r w:rsidRPr="00A86166">
        <w:rPr>
          <w:rFonts w:ascii="Times New Roman" w:hAnsi="Times New Roman"/>
        </w:rPr>
        <w:t xml:space="preserve"> najmenej 15 rokov obdobia dôchodkového poistenia, by na základe ústavného zákona, mohli poistenci odchádzať </w:t>
      </w:r>
      <w:r w:rsidR="00905577" w:rsidRPr="00A86166">
        <w:rPr>
          <w:rFonts w:ascii="Times New Roman" w:hAnsi="Times New Roman"/>
        </w:rPr>
        <w:t xml:space="preserve">skôr </w:t>
      </w:r>
      <w:r w:rsidRPr="00A86166">
        <w:rPr>
          <w:rFonts w:ascii="Times New Roman" w:hAnsi="Times New Roman"/>
        </w:rPr>
        <w:t xml:space="preserve">do dôchodku aj po odpracovaní stanoveného počtu rokov. V tomto prípade možno predpokladať časový posun v realizovaných výdavkoch, pričom ale v dôsledku princípu aktuárnej neutrality nebude mať uvedená zmena vplyv na celkový objem výdavkov na dôchodky a dlhodobú udržateľnosť dôchodkového systému. V dôsledku tohto opatrenia možno však očakávať mierny pokles pracovnej sily, čo má negatívny vplyv na príjmy Sociálnej poisťovne a následne aj mierny pokles HDP. </w:t>
      </w:r>
    </w:p>
    <w:p w14:paraId="4DB01F75" w14:textId="77777777" w:rsidR="006C6991" w:rsidRPr="00A86166" w:rsidRDefault="006C6991" w:rsidP="009C6DDB">
      <w:pPr>
        <w:spacing w:after="0"/>
        <w:rPr>
          <w:rFonts w:ascii="Times New Roman" w:hAnsi="Times New Roman"/>
        </w:rPr>
      </w:pPr>
    </w:p>
    <w:p w14:paraId="78B3B4DA" w14:textId="77777777" w:rsidR="009C6DDB" w:rsidRPr="00A86166" w:rsidRDefault="009C6DDB" w:rsidP="006C6991">
      <w:pPr>
        <w:spacing w:after="0"/>
        <w:jc w:val="both"/>
        <w:rPr>
          <w:rFonts w:ascii="Times New Roman" w:hAnsi="Times New Roman"/>
        </w:rPr>
      </w:pPr>
      <w:r w:rsidRPr="00A86166">
        <w:rPr>
          <w:rFonts w:ascii="Times New Roman" w:hAnsi="Times New Roman"/>
        </w:rPr>
        <w:t xml:space="preserve">V dlhodobom horizonte očakávame mierny pokles príjmov na úrovni </w:t>
      </w:r>
      <w:r w:rsidRPr="00920435">
        <w:rPr>
          <w:rFonts w:ascii="Times New Roman" w:hAnsi="Times New Roman"/>
        </w:rPr>
        <w:t>približne 0,1 p. b. HDP</w:t>
      </w:r>
      <w:r w:rsidRPr="00A86166">
        <w:rPr>
          <w:rFonts w:ascii="Times New Roman" w:hAnsi="Times New Roman"/>
        </w:rPr>
        <w:t xml:space="preserve">, čo môžeme označiť ako veľmi mierny negatívny vplyv na bilanciu dôchodkového systému. </w:t>
      </w:r>
    </w:p>
    <w:p w14:paraId="212DF7DF" w14:textId="77777777" w:rsidR="006C6991" w:rsidRPr="00A86166" w:rsidRDefault="006C6991" w:rsidP="009C6DDB">
      <w:pPr>
        <w:spacing w:after="0"/>
        <w:rPr>
          <w:rFonts w:ascii="Times New Roman" w:hAnsi="Times New Roman"/>
        </w:rPr>
      </w:pPr>
    </w:p>
    <w:p w14:paraId="7B8AF668" w14:textId="77777777" w:rsidR="009C6DDB" w:rsidRPr="00A86166" w:rsidRDefault="009C6DDB" w:rsidP="009C6DDB">
      <w:pPr>
        <w:spacing w:after="0"/>
        <w:rPr>
          <w:rFonts w:ascii="Times New Roman" w:hAnsi="Times New Roman"/>
        </w:rPr>
      </w:pPr>
      <w:r w:rsidRPr="00A86166">
        <w:rPr>
          <w:rFonts w:ascii="Times New Roman" w:hAnsi="Times New Roman"/>
        </w:rPr>
        <w:t xml:space="preserve">Predpoklady použité pri kvantifikácii: </w:t>
      </w:r>
    </w:p>
    <w:p w14:paraId="1D1BF02A" w14:textId="77777777" w:rsidR="009C6DDB" w:rsidRPr="00A86166" w:rsidRDefault="009C6DDB" w:rsidP="009C6DDB">
      <w:pPr>
        <w:spacing w:after="0"/>
        <w:rPr>
          <w:rFonts w:ascii="Times New Roman" w:hAnsi="Times New Roman"/>
        </w:rPr>
      </w:pPr>
    </w:p>
    <w:p w14:paraId="53D942D0" w14:textId="77777777" w:rsidR="009C6DDB" w:rsidRPr="00A86166" w:rsidRDefault="009C6DDB" w:rsidP="009C6DDB">
      <w:pPr>
        <w:pStyle w:val="Odsekzoznamu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  <w:sz w:val="22"/>
        </w:rPr>
      </w:pPr>
      <w:r w:rsidRPr="00A86166">
        <w:rPr>
          <w:rFonts w:ascii="Times New Roman" w:hAnsi="Times New Roman" w:cs="Times New Roman"/>
          <w:color w:val="auto"/>
          <w:sz w:val="22"/>
        </w:rPr>
        <w:t xml:space="preserve">HDP je upravené o pokles jednotlivcov z pracovnej sily, ktorí sa rozhodnú odísť z pracovného trhu skôr. </w:t>
      </w:r>
    </w:p>
    <w:p w14:paraId="50E5114F" w14:textId="77777777" w:rsidR="009C6DDB" w:rsidRPr="00A86166" w:rsidRDefault="009C6DDB" w:rsidP="009C6DDB">
      <w:pPr>
        <w:pStyle w:val="Odsekzoznamu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  <w:sz w:val="22"/>
        </w:rPr>
      </w:pPr>
      <w:r w:rsidRPr="00A86166">
        <w:rPr>
          <w:rFonts w:ascii="Times New Roman" w:hAnsi="Times New Roman" w:cs="Times New Roman"/>
          <w:color w:val="auto"/>
          <w:sz w:val="22"/>
        </w:rPr>
        <w:t xml:space="preserve">Vďaka aktuárnemu princípu by celkový objem výdavkov na dôchodky nemala táto zmena výraznejšie ovplyvniť. </w:t>
      </w:r>
    </w:p>
    <w:p w14:paraId="3CDC781C" w14:textId="7E904F79" w:rsidR="00905577" w:rsidRPr="00A86166" w:rsidRDefault="009C6DDB" w:rsidP="006C6991">
      <w:pPr>
        <w:pStyle w:val="Odsekzoznamu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  <w:sz w:val="22"/>
        </w:rPr>
      </w:pPr>
      <w:r w:rsidRPr="00A86166">
        <w:rPr>
          <w:rFonts w:ascii="Times New Roman" w:hAnsi="Times New Roman" w:cs="Times New Roman"/>
          <w:color w:val="auto"/>
          <w:sz w:val="22"/>
        </w:rPr>
        <w:t>Kalkulácia zároveň predpokladá už zavedené naviazanie rastu dôchodkového veku na rast strednej dĺžky života, t. j. jedná sa  o dodatočný vplyv k zavedeniu rastu DV so SDŽ a nie oproti súčasnému právnemu stavu. V porovnaní so súčasným právnym stavom by bol efekt nižší, nakoľko by túto možnosť mohlo využiť menej ľudí</w:t>
      </w:r>
      <w:r w:rsidR="00905577" w:rsidRPr="00A86166">
        <w:rPr>
          <w:rFonts w:ascii="Times New Roman" w:hAnsi="Times New Roman" w:cs="Times New Roman"/>
          <w:color w:val="auto"/>
          <w:sz w:val="22"/>
        </w:rPr>
        <w:t>.</w:t>
      </w:r>
    </w:p>
    <w:p w14:paraId="70F8AAAD" w14:textId="77777777" w:rsidR="00905577" w:rsidRDefault="00905577" w:rsidP="006C6991">
      <w:pPr>
        <w:pStyle w:val="Nadpis3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B8AD41" w14:textId="77777777" w:rsidR="009C6DDB" w:rsidRPr="006C6991" w:rsidRDefault="009C6DDB" w:rsidP="006C6991">
      <w:pPr>
        <w:pStyle w:val="Nadpis3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991">
        <w:rPr>
          <w:rFonts w:ascii="Times New Roman" w:hAnsi="Times New Roman" w:cs="Times New Roman"/>
          <w:color w:val="auto"/>
          <w:sz w:val="22"/>
          <w:szCs w:val="22"/>
        </w:rPr>
        <w:t>Tabuľka 2: Vplyv odchodu do dôchodku za 40 odpracovaných rokov vrátane naviazanie dôchodkového veku na strednú dĺžku života na bilanciu dôchodkového systému</w:t>
      </w:r>
    </w:p>
    <w:p w14:paraId="5DDB5A92" w14:textId="77777777" w:rsidR="009C6DDB" w:rsidRPr="006C6991" w:rsidRDefault="009C6DDB" w:rsidP="006C6991">
      <w:pPr>
        <w:spacing w:after="0"/>
        <w:jc w:val="both"/>
        <w:rPr>
          <w:rFonts w:ascii="Times New Roman" w:hAnsi="Times New Roman"/>
        </w:rPr>
      </w:pPr>
    </w:p>
    <w:tbl>
      <w:tblPr>
        <w:tblStyle w:val="Mriekatabuky"/>
        <w:tblW w:w="9100" w:type="dxa"/>
        <w:jc w:val="center"/>
        <w:tblLook w:val="04A0" w:firstRow="1" w:lastRow="0" w:firstColumn="1" w:lastColumn="0" w:noHBand="0" w:noVBand="1"/>
      </w:tblPr>
      <w:tblGrid>
        <w:gridCol w:w="1560"/>
        <w:gridCol w:w="616"/>
        <w:gridCol w:w="616"/>
        <w:gridCol w:w="616"/>
        <w:gridCol w:w="670"/>
        <w:gridCol w:w="670"/>
        <w:gridCol w:w="670"/>
        <w:gridCol w:w="670"/>
        <w:gridCol w:w="670"/>
        <w:gridCol w:w="616"/>
        <w:gridCol w:w="616"/>
        <w:gridCol w:w="616"/>
        <w:gridCol w:w="616"/>
      </w:tblGrid>
      <w:tr w:rsidR="009C6DDB" w:rsidRPr="006C6991" w14:paraId="0C30B8BA" w14:textId="77777777" w:rsidTr="00413624">
        <w:trPr>
          <w:trHeight w:val="300"/>
          <w:jc w:val="center"/>
        </w:trPr>
        <w:tc>
          <w:tcPr>
            <w:tcW w:w="1560" w:type="dxa"/>
            <w:noWrap/>
            <w:hideMark/>
          </w:tcPr>
          <w:p w14:paraId="432E8993" w14:textId="77777777" w:rsidR="009C6DDB" w:rsidRPr="00E17E65" w:rsidRDefault="009C6DDB" w:rsidP="009C6D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17E6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6B60B3E0" w14:textId="77777777" w:rsidR="009C6DDB" w:rsidRPr="00E17E65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17E6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589" w:type="dxa"/>
            <w:noWrap/>
            <w:hideMark/>
          </w:tcPr>
          <w:p w14:paraId="77E192A8" w14:textId="77777777" w:rsidR="009C6DDB" w:rsidRPr="00E17E65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17E6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589" w:type="dxa"/>
            <w:noWrap/>
            <w:hideMark/>
          </w:tcPr>
          <w:p w14:paraId="23C421A8" w14:textId="77777777" w:rsidR="009C6DDB" w:rsidRPr="00E17E65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17E6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670" w:type="dxa"/>
            <w:noWrap/>
            <w:hideMark/>
          </w:tcPr>
          <w:p w14:paraId="364BEFCA" w14:textId="77777777" w:rsidR="009C6DDB" w:rsidRPr="00E17E65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17E6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2030</w:t>
            </w:r>
          </w:p>
        </w:tc>
        <w:tc>
          <w:tcPr>
            <w:tcW w:w="670" w:type="dxa"/>
            <w:noWrap/>
            <w:hideMark/>
          </w:tcPr>
          <w:p w14:paraId="1A3AF658" w14:textId="77777777" w:rsidR="009C6DDB" w:rsidRPr="00E17E65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17E6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2035</w:t>
            </w:r>
          </w:p>
        </w:tc>
        <w:tc>
          <w:tcPr>
            <w:tcW w:w="670" w:type="dxa"/>
            <w:noWrap/>
            <w:hideMark/>
          </w:tcPr>
          <w:p w14:paraId="63095F44" w14:textId="77777777" w:rsidR="009C6DDB" w:rsidRPr="00E17E65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17E6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2040</w:t>
            </w:r>
          </w:p>
        </w:tc>
        <w:tc>
          <w:tcPr>
            <w:tcW w:w="670" w:type="dxa"/>
            <w:noWrap/>
            <w:hideMark/>
          </w:tcPr>
          <w:p w14:paraId="7998909C" w14:textId="77777777" w:rsidR="009C6DDB" w:rsidRPr="00E17E65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17E6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2045</w:t>
            </w:r>
          </w:p>
        </w:tc>
        <w:tc>
          <w:tcPr>
            <w:tcW w:w="670" w:type="dxa"/>
            <w:noWrap/>
            <w:hideMark/>
          </w:tcPr>
          <w:p w14:paraId="6CF0B9DD" w14:textId="77777777" w:rsidR="009C6DDB" w:rsidRPr="00E17E65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17E6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2050</w:t>
            </w:r>
          </w:p>
        </w:tc>
        <w:tc>
          <w:tcPr>
            <w:tcW w:w="658" w:type="dxa"/>
          </w:tcPr>
          <w:p w14:paraId="6A17439A" w14:textId="77777777" w:rsidR="009C6DDB" w:rsidRPr="00E17E65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17E6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2055</w:t>
            </w:r>
          </w:p>
        </w:tc>
        <w:tc>
          <w:tcPr>
            <w:tcW w:w="600" w:type="dxa"/>
          </w:tcPr>
          <w:p w14:paraId="19894F94" w14:textId="77777777" w:rsidR="009C6DDB" w:rsidRPr="00E17E65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17E6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2060</w:t>
            </w:r>
          </w:p>
        </w:tc>
        <w:tc>
          <w:tcPr>
            <w:tcW w:w="581" w:type="dxa"/>
          </w:tcPr>
          <w:p w14:paraId="43BE9212" w14:textId="77777777" w:rsidR="009C6DDB" w:rsidRPr="00E17E65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17E6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2065</w:t>
            </w:r>
          </w:p>
        </w:tc>
        <w:tc>
          <w:tcPr>
            <w:tcW w:w="581" w:type="dxa"/>
          </w:tcPr>
          <w:p w14:paraId="00F683F3" w14:textId="77777777" w:rsidR="009C6DDB" w:rsidRPr="00E17E65" w:rsidRDefault="009C6DDB" w:rsidP="009C6D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17E6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2070</w:t>
            </w:r>
          </w:p>
        </w:tc>
      </w:tr>
      <w:tr w:rsidR="009C6DDB" w:rsidRPr="006C6991" w14:paraId="52D1F9FE" w14:textId="77777777" w:rsidTr="00413624">
        <w:trPr>
          <w:trHeight w:val="300"/>
          <w:jc w:val="center"/>
        </w:trPr>
        <w:tc>
          <w:tcPr>
            <w:tcW w:w="1560" w:type="dxa"/>
            <w:noWrap/>
            <w:vAlign w:val="bottom"/>
            <w:hideMark/>
          </w:tcPr>
          <w:p w14:paraId="442B7AEF" w14:textId="77777777" w:rsidR="009C6DDB" w:rsidRPr="00920435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2043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Vplyv na bilanciu v p. b. HDP</w:t>
            </w:r>
          </w:p>
        </w:tc>
        <w:tc>
          <w:tcPr>
            <w:tcW w:w="592" w:type="dxa"/>
            <w:noWrap/>
          </w:tcPr>
          <w:p w14:paraId="5317ED1D" w14:textId="77777777" w:rsidR="009C6DDB" w:rsidRPr="00E17E65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89" w:type="dxa"/>
            <w:noWrap/>
          </w:tcPr>
          <w:p w14:paraId="57F0623A" w14:textId="77777777" w:rsidR="009C6DDB" w:rsidRPr="00E17E65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89" w:type="dxa"/>
            <w:noWrap/>
          </w:tcPr>
          <w:p w14:paraId="3BF52C1A" w14:textId="77777777" w:rsidR="009C6DDB" w:rsidRPr="00E17E65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0" w:type="dxa"/>
            <w:noWrap/>
          </w:tcPr>
          <w:p w14:paraId="47A9C3E7" w14:textId="77777777" w:rsidR="009C6DDB" w:rsidRPr="00E17E65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70" w:type="dxa"/>
            <w:noWrap/>
          </w:tcPr>
          <w:p w14:paraId="56CD4251" w14:textId="77777777" w:rsidR="009C6DDB" w:rsidRPr="00E17E65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70" w:type="dxa"/>
            <w:noWrap/>
          </w:tcPr>
          <w:p w14:paraId="1B760F9E" w14:textId="77777777" w:rsidR="009C6DDB" w:rsidRPr="00E17E65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70" w:type="dxa"/>
            <w:noWrap/>
          </w:tcPr>
          <w:p w14:paraId="1B41F359" w14:textId="77777777" w:rsidR="009C6DDB" w:rsidRPr="00E17E65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70" w:type="dxa"/>
            <w:noWrap/>
          </w:tcPr>
          <w:p w14:paraId="4C2153BB" w14:textId="77777777" w:rsidR="009C6DDB" w:rsidRPr="00E17E65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58" w:type="dxa"/>
          </w:tcPr>
          <w:p w14:paraId="359601D4" w14:textId="77777777" w:rsidR="009C6DDB" w:rsidRPr="00E17E65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00" w:type="dxa"/>
          </w:tcPr>
          <w:p w14:paraId="56D0F423" w14:textId="77777777" w:rsidR="009C6DDB" w:rsidRPr="00E17E65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81" w:type="dxa"/>
          </w:tcPr>
          <w:p w14:paraId="2932BF8D" w14:textId="77777777" w:rsidR="009C6DDB" w:rsidRPr="00E17E65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81" w:type="dxa"/>
          </w:tcPr>
          <w:p w14:paraId="1AEB6016" w14:textId="77777777" w:rsidR="009C6DDB" w:rsidRPr="00E17E65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</w:tr>
    </w:tbl>
    <w:p w14:paraId="5C70627C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5E7F0763" w14:textId="77777777" w:rsidR="009C6DDB" w:rsidRPr="00905577" w:rsidRDefault="009C6DDB" w:rsidP="009C6DDB">
      <w:pPr>
        <w:spacing w:after="0"/>
        <w:rPr>
          <w:rFonts w:ascii="Times New Roman" w:hAnsi="Times New Roman"/>
          <w:sz w:val="20"/>
          <w:szCs w:val="20"/>
        </w:rPr>
      </w:pPr>
      <w:r w:rsidRPr="00905577">
        <w:rPr>
          <w:rFonts w:ascii="Times New Roman" w:hAnsi="Times New Roman"/>
          <w:sz w:val="20"/>
          <w:szCs w:val="20"/>
        </w:rPr>
        <w:t>Zdroj: IFP; (-) záporná hodnota predstavuje úsporu</w:t>
      </w:r>
    </w:p>
    <w:p w14:paraId="4A4B40B9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43FED84B" w14:textId="77777777" w:rsidR="009C6DDB" w:rsidRPr="006C6991" w:rsidRDefault="009C6DDB" w:rsidP="009C6DDB">
      <w:pPr>
        <w:pStyle w:val="Nadpis2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C6991">
        <w:rPr>
          <w:rFonts w:ascii="Times New Roman" w:hAnsi="Times New Roman" w:cs="Times New Roman"/>
          <w:b/>
          <w:color w:val="auto"/>
          <w:sz w:val="22"/>
          <w:szCs w:val="22"/>
        </w:rPr>
        <w:t>3) Asignácia odvodov – rodičovský bonus</w:t>
      </w:r>
    </w:p>
    <w:p w14:paraId="22BC7BFB" w14:textId="77777777" w:rsidR="009C6DDB" w:rsidRPr="006C6991" w:rsidRDefault="009C6DDB" w:rsidP="009C6DDB">
      <w:pPr>
        <w:spacing w:after="0"/>
        <w:ind w:firstLine="708"/>
        <w:jc w:val="both"/>
        <w:rPr>
          <w:rFonts w:ascii="Times New Roman" w:hAnsi="Times New Roman"/>
        </w:rPr>
      </w:pPr>
    </w:p>
    <w:p w14:paraId="33ED11A5" w14:textId="0981CDE6" w:rsidR="009C6DDB" w:rsidRPr="006C6991" w:rsidRDefault="009C6DDB" w:rsidP="006C6991">
      <w:pPr>
        <w:spacing w:after="0"/>
        <w:jc w:val="both"/>
        <w:rPr>
          <w:rFonts w:ascii="Times New Roman" w:hAnsi="Times New Roman"/>
        </w:rPr>
      </w:pPr>
      <w:r w:rsidRPr="006C6991">
        <w:rPr>
          <w:rFonts w:ascii="Times New Roman" w:hAnsi="Times New Roman"/>
        </w:rPr>
        <w:t xml:space="preserve">Uvedené opatrenie predstavuje možnosť detí asignovať rodičom časť svojich odvodov (tzv. rodičovský bonus). V prípade, že by deti prispievali každému rodičovi sumou zodpovedajúcou 2,5 % vymeriavacieho základu na starobné  poistenie, t. j. ak má poistenec dvoch rodičov poberajúcich starobný dôchodok môže im spolu prispieť sumou </w:t>
      </w:r>
      <w:r w:rsidRPr="00A86166">
        <w:rPr>
          <w:rFonts w:ascii="Times New Roman" w:hAnsi="Times New Roman"/>
        </w:rPr>
        <w:t xml:space="preserve">zodpovedajúcou 5 % vymeriavacieho základu na starobné dôchodkové poistenie, výpadok príjmov Sociálnej poisťovne by predstavoval počas celej prognózy v priemere </w:t>
      </w:r>
      <w:r w:rsidRPr="00920435">
        <w:rPr>
          <w:rFonts w:ascii="Times New Roman" w:hAnsi="Times New Roman"/>
        </w:rPr>
        <w:t>približne 0,65 p. b. HDP na celom horizonte prognózy</w:t>
      </w:r>
      <w:r w:rsidRPr="00A86166">
        <w:rPr>
          <w:rFonts w:ascii="Times New Roman" w:hAnsi="Times New Roman"/>
        </w:rPr>
        <w:t>.</w:t>
      </w:r>
      <w:r w:rsidRPr="006C6991">
        <w:rPr>
          <w:rFonts w:ascii="Times New Roman" w:hAnsi="Times New Roman"/>
        </w:rPr>
        <w:t xml:space="preserve"> </w:t>
      </w:r>
    </w:p>
    <w:p w14:paraId="28CAA908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01C35354" w14:textId="77777777" w:rsidR="009C6DDB" w:rsidRPr="006C6991" w:rsidRDefault="009C6DDB" w:rsidP="009C6DDB">
      <w:pPr>
        <w:pStyle w:val="Nadpis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6C6991">
        <w:rPr>
          <w:rFonts w:ascii="Times New Roman" w:hAnsi="Times New Roman" w:cs="Times New Roman"/>
          <w:color w:val="auto"/>
          <w:sz w:val="22"/>
          <w:szCs w:val="22"/>
        </w:rPr>
        <w:t xml:space="preserve">Tabuľka 3: Vplyv rodičovského bonusu (asignácia) na bilanciu dôchodkového systému </w:t>
      </w:r>
    </w:p>
    <w:p w14:paraId="3D607291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tbl>
      <w:tblPr>
        <w:tblStyle w:val="Mriekatabuky"/>
        <w:tblW w:w="9052" w:type="dxa"/>
        <w:jc w:val="center"/>
        <w:tblLook w:val="04A0" w:firstRow="1" w:lastRow="0" w:firstColumn="1" w:lastColumn="0" w:noHBand="0" w:noVBand="1"/>
      </w:tblPr>
      <w:tblGrid>
        <w:gridCol w:w="1561"/>
        <w:gridCol w:w="592"/>
        <w:gridCol w:w="589"/>
        <w:gridCol w:w="589"/>
        <w:gridCol w:w="670"/>
        <w:gridCol w:w="670"/>
        <w:gridCol w:w="670"/>
        <w:gridCol w:w="670"/>
        <w:gridCol w:w="670"/>
        <w:gridCol w:w="619"/>
        <w:gridCol w:w="590"/>
        <w:gridCol w:w="581"/>
        <w:gridCol w:w="581"/>
      </w:tblGrid>
      <w:tr w:rsidR="009C6DDB" w:rsidRPr="006C6991" w14:paraId="2F7CABA6" w14:textId="77777777" w:rsidTr="00413624">
        <w:trPr>
          <w:trHeight w:val="300"/>
          <w:jc w:val="center"/>
        </w:trPr>
        <w:tc>
          <w:tcPr>
            <w:tcW w:w="1561" w:type="dxa"/>
            <w:noWrap/>
            <w:hideMark/>
          </w:tcPr>
          <w:p w14:paraId="3817EF3C" w14:textId="77777777" w:rsidR="009C6DDB" w:rsidRPr="001D51F8" w:rsidRDefault="009C6DDB" w:rsidP="009C6DD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09419104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2023</w:t>
            </w:r>
          </w:p>
        </w:tc>
        <w:tc>
          <w:tcPr>
            <w:tcW w:w="589" w:type="dxa"/>
            <w:noWrap/>
            <w:hideMark/>
          </w:tcPr>
          <w:p w14:paraId="3364ED1E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2024</w:t>
            </w:r>
          </w:p>
        </w:tc>
        <w:tc>
          <w:tcPr>
            <w:tcW w:w="589" w:type="dxa"/>
            <w:noWrap/>
            <w:hideMark/>
          </w:tcPr>
          <w:p w14:paraId="41E9673F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2025</w:t>
            </w:r>
          </w:p>
        </w:tc>
        <w:tc>
          <w:tcPr>
            <w:tcW w:w="670" w:type="dxa"/>
            <w:noWrap/>
            <w:hideMark/>
          </w:tcPr>
          <w:p w14:paraId="322AC370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2030</w:t>
            </w:r>
          </w:p>
        </w:tc>
        <w:tc>
          <w:tcPr>
            <w:tcW w:w="670" w:type="dxa"/>
            <w:noWrap/>
            <w:hideMark/>
          </w:tcPr>
          <w:p w14:paraId="2D987A94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2035</w:t>
            </w:r>
          </w:p>
        </w:tc>
        <w:tc>
          <w:tcPr>
            <w:tcW w:w="670" w:type="dxa"/>
            <w:noWrap/>
            <w:hideMark/>
          </w:tcPr>
          <w:p w14:paraId="4DA33FE7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2040</w:t>
            </w:r>
          </w:p>
        </w:tc>
        <w:tc>
          <w:tcPr>
            <w:tcW w:w="670" w:type="dxa"/>
            <w:noWrap/>
            <w:hideMark/>
          </w:tcPr>
          <w:p w14:paraId="0AD76D58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2045</w:t>
            </w:r>
          </w:p>
        </w:tc>
        <w:tc>
          <w:tcPr>
            <w:tcW w:w="670" w:type="dxa"/>
            <w:noWrap/>
            <w:hideMark/>
          </w:tcPr>
          <w:p w14:paraId="058A7614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2050</w:t>
            </w:r>
          </w:p>
        </w:tc>
        <w:tc>
          <w:tcPr>
            <w:tcW w:w="619" w:type="dxa"/>
          </w:tcPr>
          <w:p w14:paraId="2BE09E15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2055</w:t>
            </w:r>
          </w:p>
        </w:tc>
        <w:tc>
          <w:tcPr>
            <w:tcW w:w="590" w:type="dxa"/>
          </w:tcPr>
          <w:p w14:paraId="631D43AC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2060</w:t>
            </w:r>
          </w:p>
        </w:tc>
        <w:tc>
          <w:tcPr>
            <w:tcW w:w="581" w:type="dxa"/>
          </w:tcPr>
          <w:p w14:paraId="74BA1897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2065</w:t>
            </w:r>
          </w:p>
        </w:tc>
        <w:tc>
          <w:tcPr>
            <w:tcW w:w="581" w:type="dxa"/>
          </w:tcPr>
          <w:p w14:paraId="224E4368" w14:textId="77777777" w:rsidR="009C6DDB" w:rsidRPr="001D51F8" w:rsidRDefault="009C6DDB" w:rsidP="009C6DD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2070</w:t>
            </w:r>
          </w:p>
        </w:tc>
      </w:tr>
      <w:tr w:rsidR="009C6DDB" w:rsidRPr="006C6991" w14:paraId="02EDEAA2" w14:textId="77777777" w:rsidTr="00413624">
        <w:trPr>
          <w:trHeight w:val="300"/>
          <w:jc w:val="center"/>
        </w:trPr>
        <w:tc>
          <w:tcPr>
            <w:tcW w:w="1561" w:type="dxa"/>
            <w:noWrap/>
            <w:vAlign w:val="bottom"/>
            <w:hideMark/>
          </w:tcPr>
          <w:p w14:paraId="5CD1C1FD" w14:textId="77777777" w:rsidR="009C6DDB" w:rsidRPr="00920435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2043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lastRenderedPageBreak/>
              <w:t>Vplyv na bilanciu v p. b. HDP</w:t>
            </w:r>
          </w:p>
        </w:tc>
        <w:tc>
          <w:tcPr>
            <w:tcW w:w="592" w:type="dxa"/>
            <w:noWrap/>
          </w:tcPr>
          <w:p w14:paraId="760BFA12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89" w:type="dxa"/>
            <w:noWrap/>
          </w:tcPr>
          <w:p w14:paraId="44858BB6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89" w:type="dxa"/>
            <w:noWrap/>
          </w:tcPr>
          <w:p w14:paraId="524D92AB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70" w:type="dxa"/>
            <w:noWrap/>
          </w:tcPr>
          <w:p w14:paraId="050083E4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70" w:type="dxa"/>
            <w:noWrap/>
          </w:tcPr>
          <w:p w14:paraId="7FD0662A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70" w:type="dxa"/>
            <w:noWrap/>
          </w:tcPr>
          <w:p w14:paraId="78EC5D21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70" w:type="dxa"/>
            <w:noWrap/>
          </w:tcPr>
          <w:p w14:paraId="1EBDAF34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70" w:type="dxa"/>
            <w:noWrap/>
          </w:tcPr>
          <w:p w14:paraId="6DF72D3D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619" w:type="dxa"/>
          </w:tcPr>
          <w:p w14:paraId="3E8F64B6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90" w:type="dxa"/>
          </w:tcPr>
          <w:p w14:paraId="1E177528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81" w:type="dxa"/>
          </w:tcPr>
          <w:p w14:paraId="04F64D9C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81" w:type="dxa"/>
          </w:tcPr>
          <w:p w14:paraId="780C177C" w14:textId="77777777" w:rsidR="009C6DDB" w:rsidRPr="001D51F8" w:rsidRDefault="009C6DDB" w:rsidP="009C6D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</w:tbl>
    <w:p w14:paraId="7C4F029E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7E246953" w14:textId="77777777" w:rsidR="009C6DDB" w:rsidRPr="001D51F8" w:rsidRDefault="009C6DDB" w:rsidP="009C6DDB">
      <w:pPr>
        <w:spacing w:after="0"/>
        <w:rPr>
          <w:rFonts w:ascii="Times New Roman" w:hAnsi="Times New Roman"/>
          <w:sz w:val="20"/>
          <w:szCs w:val="20"/>
        </w:rPr>
      </w:pPr>
      <w:r w:rsidRPr="001D51F8">
        <w:rPr>
          <w:rFonts w:ascii="Times New Roman" w:hAnsi="Times New Roman"/>
          <w:sz w:val="20"/>
          <w:szCs w:val="20"/>
        </w:rPr>
        <w:t>Zdroj: MPSVR SR; (-) záporná hodnota predstavuje úsporu</w:t>
      </w:r>
    </w:p>
    <w:p w14:paraId="55E984B8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7A957283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  <w:r w:rsidRPr="006C6991">
        <w:rPr>
          <w:rFonts w:ascii="Times New Roman" w:hAnsi="Times New Roman"/>
        </w:rPr>
        <w:t>Predpoklady použité pri kvantifikácii:</w:t>
      </w:r>
    </w:p>
    <w:p w14:paraId="52570C77" w14:textId="24861D52" w:rsidR="009C6DDB" w:rsidRPr="006C6991" w:rsidRDefault="009C6DDB" w:rsidP="009C6DDB">
      <w:pPr>
        <w:pStyle w:val="Odsekzoznamu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2"/>
        </w:rPr>
      </w:pPr>
      <w:r w:rsidRPr="006C6991">
        <w:rPr>
          <w:rFonts w:ascii="Times New Roman" w:hAnsi="Times New Roman" w:cs="Times New Roman"/>
          <w:color w:val="auto"/>
          <w:sz w:val="22"/>
        </w:rPr>
        <w:t xml:space="preserve">Nárok na príplatok k dôchodku má každý starobný dôchodca a invalidný dôchodca po dovŕšení dôchodkového veku, ktorý má pracujúce dieťa, ktoré platí poistné na </w:t>
      </w:r>
      <w:r w:rsidR="001D51F8">
        <w:rPr>
          <w:rFonts w:ascii="Times New Roman" w:hAnsi="Times New Roman" w:cs="Times New Roman"/>
          <w:color w:val="auto"/>
          <w:sz w:val="22"/>
        </w:rPr>
        <w:t>starobné</w:t>
      </w:r>
      <w:r w:rsidRPr="006C6991">
        <w:rPr>
          <w:rFonts w:ascii="Times New Roman" w:hAnsi="Times New Roman" w:cs="Times New Roman"/>
          <w:color w:val="auto"/>
          <w:sz w:val="22"/>
        </w:rPr>
        <w:t xml:space="preserve"> poistenie (vrátane tzv. poistencov štátu).</w:t>
      </w:r>
    </w:p>
    <w:p w14:paraId="70861B40" w14:textId="481F9912" w:rsidR="009C6DDB" w:rsidRPr="006C6991" w:rsidRDefault="009C6DDB" w:rsidP="009C6DDB">
      <w:pPr>
        <w:pStyle w:val="Odsekzoznamu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2"/>
        </w:rPr>
      </w:pPr>
      <w:r w:rsidRPr="006C6991">
        <w:rPr>
          <w:rFonts w:ascii="Times New Roman" w:hAnsi="Times New Roman" w:cs="Times New Roman"/>
          <w:color w:val="auto"/>
          <w:sz w:val="22"/>
        </w:rPr>
        <w:t xml:space="preserve">Príplatok sa predpokladá vo výške 2,5 % vymeriavacieho základu na starobné  poistenie pre každého rodiča. </w:t>
      </w:r>
    </w:p>
    <w:p w14:paraId="63D06746" w14:textId="77777777" w:rsidR="009C6DDB" w:rsidRPr="00920435" w:rsidRDefault="009C6DDB" w:rsidP="009C6DDB">
      <w:pPr>
        <w:pStyle w:val="Odsekzoznamu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2"/>
        </w:rPr>
      </w:pPr>
      <w:r w:rsidRPr="006C6991">
        <w:rPr>
          <w:rFonts w:ascii="Times New Roman" w:hAnsi="Times New Roman" w:cs="Times New Roman"/>
          <w:color w:val="auto"/>
          <w:sz w:val="22"/>
        </w:rPr>
        <w:t>Náklady na asignáciu rastú spolu s rastom priemernej mzdy v hospodárstve, vplyvom vývoja počtu prispievateľov do dôchodkového systému a vplyvov vývoja počtu starobných dôchodcov.</w:t>
      </w:r>
    </w:p>
    <w:p w14:paraId="0D7A7E78" w14:textId="0AE16231" w:rsidR="00A86166" w:rsidRPr="006C6991" w:rsidRDefault="00A86166" w:rsidP="009C6DDB">
      <w:pPr>
        <w:pStyle w:val="Odsekzoznamu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Predpokladá sa, že možnosť detí asignovať rodičov časť odvodov bude využitá na 100%. </w:t>
      </w:r>
    </w:p>
    <w:p w14:paraId="4D16E08A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01B0EE7F" w14:textId="77777777" w:rsidR="009C6DDB" w:rsidRPr="006C6991" w:rsidRDefault="009C6DDB" w:rsidP="009C6DDB">
      <w:pPr>
        <w:pStyle w:val="Nadpis2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C6991">
        <w:rPr>
          <w:rFonts w:ascii="Times New Roman" w:hAnsi="Times New Roman" w:cs="Times New Roman"/>
          <w:b/>
          <w:color w:val="auto"/>
          <w:sz w:val="22"/>
          <w:szCs w:val="22"/>
        </w:rPr>
        <w:t>4) Automatický vstup II. pilier</w:t>
      </w:r>
    </w:p>
    <w:p w14:paraId="7BBA21E0" w14:textId="77777777" w:rsidR="009C6DDB" w:rsidRPr="006C6991" w:rsidRDefault="009C6DDB" w:rsidP="009C6DDB">
      <w:pPr>
        <w:spacing w:after="0"/>
        <w:ind w:firstLine="708"/>
        <w:jc w:val="both"/>
        <w:rPr>
          <w:rFonts w:ascii="Times New Roman" w:hAnsi="Times New Roman"/>
        </w:rPr>
      </w:pPr>
    </w:p>
    <w:p w14:paraId="2EB280DF" w14:textId="7F402FE9" w:rsidR="009C6DDB" w:rsidRPr="006C6991" w:rsidRDefault="009C6DDB" w:rsidP="006C6991">
      <w:pPr>
        <w:spacing w:after="0"/>
        <w:jc w:val="both"/>
        <w:rPr>
          <w:rFonts w:ascii="Times New Roman" w:hAnsi="Times New Roman"/>
        </w:rPr>
      </w:pPr>
      <w:r w:rsidRPr="006C6991">
        <w:rPr>
          <w:rFonts w:ascii="Times New Roman" w:hAnsi="Times New Roman"/>
        </w:rPr>
        <w:t>Ústavný zákon navrhuje ustanovenie automatického vstupu do II. piliera pre všetkých poistencov ktorým vznikne od 1.</w:t>
      </w:r>
      <w:r w:rsidR="001D51F8">
        <w:rPr>
          <w:rFonts w:ascii="Times New Roman" w:hAnsi="Times New Roman"/>
        </w:rPr>
        <w:t xml:space="preserve"> </w:t>
      </w:r>
      <w:r w:rsidRPr="006C6991">
        <w:rPr>
          <w:rFonts w:ascii="Times New Roman" w:hAnsi="Times New Roman"/>
        </w:rPr>
        <w:t>1.</w:t>
      </w:r>
      <w:r w:rsidR="001D51F8">
        <w:rPr>
          <w:rFonts w:ascii="Times New Roman" w:hAnsi="Times New Roman"/>
        </w:rPr>
        <w:t xml:space="preserve"> </w:t>
      </w:r>
      <w:r w:rsidRPr="006C6991">
        <w:rPr>
          <w:rFonts w:ascii="Times New Roman" w:hAnsi="Times New Roman"/>
        </w:rPr>
        <w:t xml:space="preserve">2023 účasť na starobnom dôchodkovom zabezpečení. V roku 2020 dosahoval pomer aktívnych sporiteľov v II. pilieri, to znamená sporiteľov s minimálne jedným pripísaným príspevkom na celkovom počte poistencov Sociálnej poisťovne úroveň približne 58 %. V súčasnosti vstupuje do II. piliera približne len 30 % pracujúcich. Po skúsenosti z minulosti by obnovenie automatického vstupu do II. piliera malo zvýšiť participáciu nových kohort pracujúcich a počtu sporiteľov na celkovom počte prispievateľov sa bude postupne zvyšovať. Na konci horizontu dlhodobej predikcie, t. j. v roku 2070 dosiahne pomer medzi aktívnymi sporiteľmi a poistencami hodnotu takmer  90 %. </w:t>
      </w:r>
    </w:p>
    <w:p w14:paraId="1106A42F" w14:textId="77777777" w:rsidR="009C6DDB" w:rsidRPr="006C6991" w:rsidRDefault="009C6DDB" w:rsidP="009C6DDB">
      <w:pPr>
        <w:spacing w:after="0"/>
        <w:ind w:firstLine="708"/>
        <w:jc w:val="both"/>
        <w:rPr>
          <w:rFonts w:ascii="Times New Roman" w:hAnsi="Times New Roman"/>
        </w:rPr>
      </w:pPr>
    </w:p>
    <w:p w14:paraId="46D56941" w14:textId="77777777" w:rsidR="009C6DDB" w:rsidRPr="00A86166" w:rsidRDefault="009C6DDB" w:rsidP="006C6991">
      <w:pPr>
        <w:spacing w:after="0"/>
        <w:jc w:val="both"/>
        <w:rPr>
          <w:rFonts w:ascii="Times New Roman" w:hAnsi="Times New Roman"/>
        </w:rPr>
      </w:pPr>
      <w:r w:rsidRPr="006C6991">
        <w:rPr>
          <w:rFonts w:ascii="Times New Roman" w:hAnsi="Times New Roman"/>
        </w:rPr>
        <w:t>Zavedenie automatického vstupu bude mať vplyv na príjmy aj výdavky Sociálnej poisťovne. Celkové príjmy Sociálnej poisťovne budú v dôsledku zavedenia automatického vstupu postupne klesať na celom horizonte prognózy v porovnaní so základným scenárom nezmenených politík. Naopak ustanovenie povinného vstupu bude z dlhodobého hľadiska znamenať aj nižšie výdavky v súvislosti s vyplácaním starobných dôchodkov</w:t>
      </w:r>
      <w:r w:rsidR="001D51F8">
        <w:rPr>
          <w:rFonts w:ascii="Times New Roman" w:hAnsi="Times New Roman"/>
        </w:rPr>
        <w:t xml:space="preserve"> z I. piliera</w:t>
      </w:r>
      <w:r w:rsidRPr="006C6991">
        <w:rPr>
          <w:rFonts w:ascii="Times New Roman" w:hAnsi="Times New Roman"/>
        </w:rPr>
        <w:t xml:space="preserve">. Tento efekt sa však začne prejavovať až po roku 2062 a v prípade kombinácie s naviazaním dôchodkového veku na strednú dĺžku života sa pozitívny vplyv automatického vstupu poistencov do II. piliera začne prejavovať v plnej miere až po roku 2070. </w:t>
      </w:r>
      <w:r w:rsidRPr="00A86166">
        <w:rPr>
          <w:rFonts w:ascii="Times New Roman" w:hAnsi="Times New Roman"/>
        </w:rPr>
        <w:t>Na konci horizontu projekcie, t.  j. v roku 2070 predpokladáme pokles celkových výdavkov na dôchodky o približne </w:t>
      </w:r>
      <w:r w:rsidRPr="00920435">
        <w:rPr>
          <w:rFonts w:ascii="Times New Roman" w:hAnsi="Times New Roman"/>
        </w:rPr>
        <w:t>0,3 p. b. HDP</w:t>
      </w:r>
      <w:r w:rsidRPr="00A86166">
        <w:rPr>
          <w:rFonts w:ascii="Times New Roman" w:hAnsi="Times New Roman"/>
        </w:rPr>
        <w:t xml:space="preserve"> a pokles príjmov dôchodkového systému o približne </w:t>
      </w:r>
      <w:r w:rsidRPr="00920435">
        <w:rPr>
          <w:rFonts w:ascii="Times New Roman" w:hAnsi="Times New Roman"/>
        </w:rPr>
        <w:t>0,9 p. b. HDP</w:t>
      </w:r>
      <w:r w:rsidRPr="00A86166">
        <w:rPr>
          <w:rFonts w:ascii="Times New Roman" w:hAnsi="Times New Roman"/>
        </w:rPr>
        <w:t xml:space="preserve"> v porovnaní so základným scenárom.  </w:t>
      </w:r>
    </w:p>
    <w:p w14:paraId="0433B5B6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4ECECB74" w14:textId="77777777" w:rsidR="009C6DDB" w:rsidRPr="006C6991" w:rsidRDefault="009C6DDB" w:rsidP="00FC4EC4">
      <w:pPr>
        <w:pStyle w:val="Nadpis3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991">
        <w:rPr>
          <w:rFonts w:ascii="Times New Roman" w:hAnsi="Times New Roman" w:cs="Times New Roman"/>
          <w:color w:val="auto"/>
          <w:sz w:val="22"/>
          <w:szCs w:val="22"/>
        </w:rPr>
        <w:t>Tabuľka 4: Vývoj počtu sporiteľov po zavedení automatického vstupu v porovnaní so scenárom nezmenených politík (v tis. osôb)</w:t>
      </w:r>
    </w:p>
    <w:p w14:paraId="6E5FEDCA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tbl>
      <w:tblPr>
        <w:tblStyle w:val="Mriekatabuky"/>
        <w:tblW w:w="9450" w:type="dxa"/>
        <w:jc w:val="center"/>
        <w:tblLook w:val="04A0" w:firstRow="1" w:lastRow="0" w:firstColumn="1" w:lastColumn="0" w:noHBand="0" w:noVBand="1"/>
      </w:tblPr>
      <w:tblGrid>
        <w:gridCol w:w="1276"/>
        <w:gridCol w:w="763"/>
        <w:gridCol w:w="802"/>
        <w:gridCol w:w="709"/>
        <w:gridCol w:w="709"/>
        <w:gridCol w:w="709"/>
        <w:gridCol w:w="850"/>
        <w:gridCol w:w="709"/>
        <w:gridCol w:w="700"/>
        <w:gridCol w:w="700"/>
        <w:gridCol w:w="823"/>
        <w:gridCol w:w="700"/>
      </w:tblGrid>
      <w:tr w:rsidR="009C6DDB" w:rsidRPr="006C6991" w14:paraId="5D86A1E0" w14:textId="77777777" w:rsidTr="00413624">
        <w:trPr>
          <w:trHeight w:val="300"/>
          <w:jc w:val="center"/>
        </w:trPr>
        <w:tc>
          <w:tcPr>
            <w:tcW w:w="1276" w:type="dxa"/>
            <w:noWrap/>
            <w:hideMark/>
          </w:tcPr>
          <w:p w14:paraId="7132579D" w14:textId="77777777" w:rsidR="009C6DDB" w:rsidRPr="000A49E2" w:rsidRDefault="009C6DDB" w:rsidP="009C6DDB">
            <w:pPr>
              <w:spacing w:after="0" w:line="240" w:lineRule="auto"/>
              <w:rPr>
                <w:rFonts w:ascii="Times New Roman" w:hAnsi="Times New Roman"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  <w:lang w:eastAsia="sk-SK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33581E58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  <w:t>2023</w:t>
            </w:r>
          </w:p>
        </w:tc>
        <w:tc>
          <w:tcPr>
            <w:tcW w:w="802" w:type="dxa"/>
            <w:noWrap/>
            <w:hideMark/>
          </w:tcPr>
          <w:p w14:paraId="5690D6A1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  <w:t>2025</w:t>
            </w:r>
          </w:p>
        </w:tc>
        <w:tc>
          <w:tcPr>
            <w:tcW w:w="709" w:type="dxa"/>
            <w:noWrap/>
            <w:hideMark/>
          </w:tcPr>
          <w:p w14:paraId="0D86D554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  <w:t>2030</w:t>
            </w:r>
          </w:p>
        </w:tc>
        <w:tc>
          <w:tcPr>
            <w:tcW w:w="709" w:type="dxa"/>
            <w:noWrap/>
            <w:hideMark/>
          </w:tcPr>
          <w:p w14:paraId="08B2AE24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  <w:t>2035</w:t>
            </w:r>
          </w:p>
        </w:tc>
        <w:tc>
          <w:tcPr>
            <w:tcW w:w="709" w:type="dxa"/>
            <w:noWrap/>
            <w:hideMark/>
          </w:tcPr>
          <w:p w14:paraId="49CF5E83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  <w:t>2040</w:t>
            </w:r>
          </w:p>
        </w:tc>
        <w:tc>
          <w:tcPr>
            <w:tcW w:w="850" w:type="dxa"/>
            <w:noWrap/>
            <w:hideMark/>
          </w:tcPr>
          <w:p w14:paraId="3369B3B6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  <w:t>2045</w:t>
            </w:r>
          </w:p>
        </w:tc>
        <w:tc>
          <w:tcPr>
            <w:tcW w:w="709" w:type="dxa"/>
            <w:noWrap/>
            <w:hideMark/>
          </w:tcPr>
          <w:p w14:paraId="79202B13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  <w:t>2050</w:t>
            </w:r>
          </w:p>
        </w:tc>
        <w:tc>
          <w:tcPr>
            <w:tcW w:w="700" w:type="dxa"/>
          </w:tcPr>
          <w:p w14:paraId="62216F90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  <w:t>2055</w:t>
            </w:r>
          </w:p>
        </w:tc>
        <w:tc>
          <w:tcPr>
            <w:tcW w:w="700" w:type="dxa"/>
          </w:tcPr>
          <w:p w14:paraId="37C1C44D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  <w:t>2060</w:t>
            </w:r>
          </w:p>
        </w:tc>
        <w:tc>
          <w:tcPr>
            <w:tcW w:w="823" w:type="dxa"/>
          </w:tcPr>
          <w:p w14:paraId="1F948169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  <w:t>2065</w:t>
            </w:r>
          </w:p>
        </w:tc>
        <w:tc>
          <w:tcPr>
            <w:tcW w:w="700" w:type="dxa"/>
          </w:tcPr>
          <w:p w14:paraId="1F355EE8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/>
                <w:color w:val="000000"/>
                <w:szCs w:val="16"/>
                <w:lang w:eastAsia="sk-SK"/>
              </w:rPr>
              <w:t>2070</w:t>
            </w:r>
          </w:p>
        </w:tc>
      </w:tr>
      <w:tr w:rsidR="009C6DDB" w:rsidRPr="006C6991" w14:paraId="0D917669" w14:textId="77777777" w:rsidTr="00413624">
        <w:trPr>
          <w:trHeight w:val="300"/>
          <w:jc w:val="center"/>
        </w:trPr>
        <w:tc>
          <w:tcPr>
            <w:tcW w:w="1276" w:type="dxa"/>
            <w:noWrap/>
            <w:vAlign w:val="bottom"/>
            <w:hideMark/>
          </w:tcPr>
          <w:p w14:paraId="10FD060A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Cs/>
                <w:color w:val="000000"/>
                <w:szCs w:val="16"/>
                <w:lang w:eastAsia="sk-SK"/>
              </w:rPr>
              <w:t>Vývoj počtu sporiteľov SPS (1)</w:t>
            </w:r>
          </w:p>
        </w:tc>
        <w:tc>
          <w:tcPr>
            <w:tcW w:w="763" w:type="dxa"/>
            <w:noWrap/>
          </w:tcPr>
          <w:p w14:paraId="55DD642E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1 300,9</w:t>
            </w:r>
          </w:p>
        </w:tc>
        <w:tc>
          <w:tcPr>
            <w:tcW w:w="802" w:type="dxa"/>
            <w:noWrap/>
          </w:tcPr>
          <w:p w14:paraId="29591B8B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1 294,5</w:t>
            </w:r>
          </w:p>
        </w:tc>
        <w:tc>
          <w:tcPr>
            <w:tcW w:w="709" w:type="dxa"/>
            <w:noWrap/>
          </w:tcPr>
          <w:p w14:paraId="5A826D60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1 244,9</w:t>
            </w:r>
          </w:p>
        </w:tc>
        <w:tc>
          <w:tcPr>
            <w:tcW w:w="709" w:type="dxa"/>
            <w:noWrap/>
          </w:tcPr>
          <w:p w14:paraId="58AAD976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1 150,4</w:t>
            </w:r>
          </w:p>
        </w:tc>
        <w:tc>
          <w:tcPr>
            <w:tcW w:w="709" w:type="dxa"/>
            <w:noWrap/>
          </w:tcPr>
          <w:p w14:paraId="2D6558B0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1 003,9</w:t>
            </w:r>
          </w:p>
        </w:tc>
        <w:tc>
          <w:tcPr>
            <w:tcW w:w="850" w:type="dxa"/>
            <w:noWrap/>
          </w:tcPr>
          <w:p w14:paraId="24082318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853,6</w:t>
            </w:r>
          </w:p>
        </w:tc>
        <w:tc>
          <w:tcPr>
            <w:tcW w:w="709" w:type="dxa"/>
            <w:noWrap/>
          </w:tcPr>
          <w:p w14:paraId="67370A50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721,2</w:t>
            </w:r>
          </w:p>
        </w:tc>
        <w:tc>
          <w:tcPr>
            <w:tcW w:w="700" w:type="dxa"/>
          </w:tcPr>
          <w:p w14:paraId="45937A8D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630,4</w:t>
            </w:r>
          </w:p>
        </w:tc>
        <w:tc>
          <w:tcPr>
            <w:tcW w:w="700" w:type="dxa"/>
          </w:tcPr>
          <w:p w14:paraId="45D144BF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590,8</w:t>
            </w:r>
          </w:p>
        </w:tc>
        <w:tc>
          <w:tcPr>
            <w:tcW w:w="823" w:type="dxa"/>
          </w:tcPr>
          <w:p w14:paraId="08471ED8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576,9</w:t>
            </w:r>
          </w:p>
        </w:tc>
        <w:tc>
          <w:tcPr>
            <w:tcW w:w="700" w:type="dxa"/>
          </w:tcPr>
          <w:p w14:paraId="2B76F493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569,2</w:t>
            </w:r>
          </w:p>
        </w:tc>
      </w:tr>
      <w:tr w:rsidR="009C6DDB" w:rsidRPr="006C6991" w14:paraId="431F8276" w14:textId="77777777" w:rsidTr="00413624">
        <w:trPr>
          <w:trHeight w:val="300"/>
          <w:jc w:val="center"/>
        </w:trPr>
        <w:tc>
          <w:tcPr>
            <w:tcW w:w="1276" w:type="dxa"/>
            <w:noWrap/>
            <w:vAlign w:val="bottom"/>
          </w:tcPr>
          <w:p w14:paraId="207846CE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Cs/>
                <w:color w:val="000000"/>
                <w:szCs w:val="16"/>
                <w:lang w:eastAsia="sk-SK"/>
              </w:rPr>
              <w:t>Vývoj počtu sporiteľov NPS (2)</w:t>
            </w:r>
          </w:p>
        </w:tc>
        <w:tc>
          <w:tcPr>
            <w:tcW w:w="763" w:type="dxa"/>
            <w:noWrap/>
          </w:tcPr>
          <w:p w14:paraId="41410A34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1 390,0</w:t>
            </w:r>
          </w:p>
        </w:tc>
        <w:tc>
          <w:tcPr>
            <w:tcW w:w="802" w:type="dxa"/>
            <w:noWrap/>
          </w:tcPr>
          <w:p w14:paraId="77313DA9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1 426,9</w:t>
            </w:r>
          </w:p>
        </w:tc>
        <w:tc>
          <w:tcPr>
            <w:tcW w:w="709" w:type="dxa"/>
            <w:noWrap/>
          </w:tcPr>
          <w:p w14:paraId="37177541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1 488,8</w:t>
            </w:r>
          </w:p>
        </w:tc>
        <w:tc>
          <w:tcPr>
            <w:tcW w:w="709" w:type="dxa"/>
            <w:noWrap/>
          </w:tcPr>
          <w:p w14:paraId="19FA1801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1 511,0</w:t>
            </w:r>
          </w:p>
        </w:tc>
        <w:tc>
          <w:tcPr>
            <w:tcW w:w="709" w:type="dxa"/>
            <w:noWrap/>
          </w:tcPr>
          <w:p w14:paraId="2A77AC97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1 482,0</w:t>
            </w:r>
          </w:p>
        </w:tc>
        <w:tc>
          <w:tcPr>
            <w:tcW w:w="850" w:type="dxa"/>
            <w:noWrap/>
          </w:tcPr>
          <w:p w14:paraId="4C24E89C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1 442,8</w:t>
            </w:r>
          </w:p>
        </w:tc>
        <w:tc>
          <w:tcPr>
            <w:tcW w:w="709" w:type="dxa"/>
            <w:noWrap/>
          </w:tcPr>
          <w:p w14:paraId="3EFC74A6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1 410,0</w:t>
            </w:r>
          </w:p>
        </w:tc>
        <w:tc>
          <w:tcPr>
            <w:tcW w:w="700" w:type="dxa"/>
          </w:tcPr>
          <w:p w14:paraId="7613E52F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1 410,8</w:t>
            </w:r>
          </w:p>
        </w:tc>
        <w:tc>
          <w:tcPr>
            <w:tcW w:w="700" w:type="dxa"/>
          </w:tcPr>
          <w:p w14:paraId="744C36F4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1 443,9</w:t>
            </w:r>
          </w:p>
        </w:tc>
        <w:tc>
          <w:tcPr>
            <w:tcW w:w="823" w:type="dxa"/>
          </w:tcPr>
          <w:p w14:paraId="2AE52AA6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1 442,1</w:t>
            </w:r>
          </w:p>
        </w:tc>
        <w:tc>
          <w:tcPr>
            <w:tcW w:w="700" w:type="dxa"/>
          </w:tcPr>
          <w:p w14:paraId="34A1ED75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1 423,0</w:t>
            </w:r>
          </w:p>
        </w:tc>
      </w:tr>
      <w:tr w:rsidR="009C6DDB" w:rsidRPr="006C6991" w14:paraId="3CF5E0DA" w14:textId="77777777" w:rsidTr="00413624">
        <w:trPr>
          <w:trHeight w:val="300"/>
          <w:jc w:val="center"/>
        </w:trPr>
        <w:tc>
          <w:tcPr>
            <w:tcW w:w="1276" w:type="dxa"/>
            <w:noWrap/>
            <w:vAlign w:val="bottom"/>
          </w:tcPr>
          <w:p w14:paraId="2ADCC45B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bCs/>
                <w:color w:val="000000"/>
                <w:szCs w:val="16"/>
                <w:lang w:eastAsia="sk-SK"/>
              </w:rPr>
              <w:t xml:space="preserve">Celkový počet </w:t>
            </w:r>
            <w:r w:rsidRPr="000A49E2">
              <w:rPr>
                <w:rFonts w:ascii="Times New Roman" w:hAnsi="Times New Roman"/>
                <w:bCs/>
                <w:color w:val="000000"/>
                <w:szCs w:val="16"/>
                <w:lang w:eastAsia="sk-SK"/>
              </w:rPr>
              <w:lastRenderedPageBreak/>
              <w:t>prispievateľov (3)</w:t>
            </w:r>
          </w:p>
        </w:tc>
        <w:tc>
          <w:tcPr>
            <w:tcW w:w="763" w:type="dxa"/>
            <w:noWrap/>
          </w:tcPr>
          <w:p w14:paraId="7265A894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lastRenderedPageBreak/>
              <w:t>2 267,7</w:t>
            </w:r>
          </w:p>
        </w:tc>
        <w:tc>
          <w:tcPr>
            <w:tcW w:w="802" w:type="dxa"/>
            <w:noWrap/>
          </w:tcPr>
          <w:p w14:paraId="41012795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2 230,1</w:t>
            </w:r>
          </w:p>
        </w:tc>
        <w:tc>
          <w:tcPr>
            <w:tcW w:w="709" w:type="dxa"/>
            <w:noWrap/>
          </w:tcPr>
          <w:p w14:paraId="645855AB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2 142,6</w:t>
            </w:r>
          </w:p>
        </w:tc>
        <w:tc>
          <w:tcPr>
            <w:tcW w:w="709" w:type="dxa"/>
            <w:noWrap/>
          </w:tcPr>
          <w:p w14:paraId="2BDB7975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2 073,6</w:t>
            </w:r>
          </w:p>
        </w:tc>
        <w:tc>
          <w:tcPr>
            <w:tcW w:w="709" w:type="dxa"/>
            <w:noWrap/>
          </w:tcPr>
          <w:p w14:paraId="1DCF4C68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1 982,1</w:t>
            </w:r>
          </w:p>
        </w:tc>
        <w:tc>
          <w:tcPr>
            <w:tcW w:w="850" w:type="dxa"/>
            <w:noWrap/>
          </w:tcPr>
          <w:p w14:paraId="34B2EF86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1 883,9</w:t>
            </w:r>
          </w:p>
        </w:tc>
        <w:tc>
          <w:tcPr>
            <w:tcW w:w="709" w:type="dxa"/>
            <w:noWrap/>
          </w:tcPr>
          <w:p w14:paraId="4F9BB4EE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1 785,7</w:t>
            </w:r>
          </w:p>
        </w:tc>
        <w:tc>
          <w:tcPr>
            <w:tcW w:w="700" w:type="dxa"/>
          </w:tcPr>
          <w:p w14:paraId="2378F2B8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1 698,7</w:t>
            </w:r>
          </w:p>
        </w:tc>
        <w:tc>
          <w:tcPr>
            <w:tcW w:w="700" w:type="dxa"/>
          </w:tcPr>
          <w:p w14:paraId="720431AA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1 644,5</w:t>
            </w:r>
          </w:p>
        </w:tc>
        <w:tc>
          <w:tcPr>
            <w:tcW w:w="823" w:type="dxa"/>
          </w:tcPr>
          <w:p w14:paraId="25F24923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1 615,8</w:t>
            </w:r>
          </w:p>
        </w:tc>
        <w:tc>
          <w:tcPr>
            <w:tcW w:w="700" w:type="dxa"/>
          </w:tcPr>
          <w:p w14:paraId="5AEC794A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1 590,6</w:t>
            </w:r>
          </w:p>
        </w:tc>
      </w:tr>
      <w:tr w:rsidR="009C6DDB" w:rsidRPr="006C6991" w14:paraId="3EA889CC" w14:textId="77777777" w:rsidTr="00413624">
        <w:trPr>
          <w:trHeight w:val="300"/>
          <w:jc w:val="center"/>
        </w:trPr>
        <w:tc>
          <w:tcPr>
            <w:tcW w:w="1276" w:type="dxa"/>
            <w:noWrap/>
            <w:vAlign w:val="bottom"/>
          </w:tcPr>
          <w:p w14:paraId="3FBFE449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lastRenderedPageBreak/>
              <w:t>Participácia podiel 1/3</w:t>
            </w:r>
          </w:p>
        </w:tc>
        <w:tc>
          <w:tcPr>
            <w:tcW w:w="763" w:type="dxa"/>
            <w:noWrap/>
          </w:tcPr>
          <w:p w14:paraId="3FA59D3C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57,4%</w:t>
            </w:r>
          </w:p>
        </w:tc>
        <w:tc>
          <w:tcPr>
            <w:tcW w:w="802" w:type="dxa"/>
            <w:noWrap/>
          </w:tcPr>
          <w:p w14:paraId="4F8DE308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58,0%</w:t>
            </w:r>
          </w:p>
        </w:tc>
        <w:tc>
          <w:tcPr>
            <w:tcW w:w="709" w:type="dxa"/>
            <w:noWrap/>
          </w:tcPr>
          <w:p w14:paraId="114B9AC0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58,1%</w:t>
            </w:r>
          </w:p>
        </w:tc>
        <w:tc>
          <w:tcPr>
            <w:tcW w:w="709" w:type="dxa"/>
            <w:noWrap/>
          </w:tcPr>
          <w:p w14:paraId="1C7C805C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55,5%</w:t>
            </w:r>
          </w:p>
        </w:tc>
        <w:tc>
          <w:tcPr>
            <w:tcW w:w="709" w:type="dxa"/>
            <w:noWrap/>
          </w:tcPr>
          <w:p w14:paraId="6F54FD45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50,6%</w:t>
            </w:r>
          </w:p>
        </w:tc>
        <w:tc>
          <w:tcPr>
            <w:tcW w:w="850" w:type="dxa"/>
            <w:noWrap/>
          </w:tcPr>
          <w:p w14:paraId="2A853495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45,3%</w:t>
            </w:r>
          </w:p>
        </w:tc>
        <w:tc>
          <w:tcPr>
            <w:tcW w:w="709" w:type="dxa"/>
            <w:noWrap/>
          </w:tcPr>
          <w:p w14:paraId="533EFCFD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40,4%</w:t>
            </w:r>
          </w:p>
        </w:tc>
        <w:tc>
          <w:tcPr>
            <w:tcW w:w="700" w:type="dxa"/>
          </w:tcPr>
          <w:p w14:paraId="327C4CFA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37,1%</w:t>
            </w:r>
          </w:p>
        </w:tc>
        <w:tc>
          <w:tcPr>
            <w:tcW w:w="700" w:type="dxa"/>
          </w:tcPr>
          <w:p w14:paraId="65A1EF34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35,9%</w:t>
            </w:r>
          </w:p>
        </w:tc>
        <w:tc>
          <w:tcPr>
            <w:tcW w:w="823" w:type="dxa"/>
          </w:tcPr>
          <w:p w14:paraId="10629CAC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35,7%</w:t>
            </w:r>
          </w:p>
        </w:tc>
        <w:tc>
          <w:tcPr>
            <w:tcW w:w="700" w:type="dxa"/>
          </w:tcPr>
          <w:p w14:paraId="322132D9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35,8%</w:t>
            </w:r>
          </w:p>
        </w:tc>
      </w:tr>
      <w:tr w:rsidR="009C6DDB" w:rsidRPr="006C6991" w14:paraId="57923E77" w14:textId="77777777" w:rsidTr="00413624">
        <w:trPr>
          <w:trHeight w:val="300"/>
          <w:jc w:val="center"/>
        </w:trPr>
        <w:tc>
          <w:tcPr>
            <w:tcW w:w="1276" w:type="dxa"/>
            <w:noWrap/>
            <w:vAlign w:val="bottom"/>
          </w:tcPr>
          <w:p w14:paraId="62BB1E37" w14:textId="77777777" w:rsidR="009C6DDB" w:rsidRPr="000A49E2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16"/>
                <w:lang w:eastAsia="sk-SK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Participácia podiel 2/3</w:t>
            </w:r>
          </w:p>
        </w:tc>
        <w:tc>
          <w:tcPr>
            <w:tcW w:w="763" w:type="dxa"/>
            <w:noWrap/>
          </w:tcPr>
          <w:p w14:paraId="3F830C48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61,3%</w:t>
            </w:r>
          </w:p>
        </w:tc>
        <w:tc>
          <w:tcPr>
            <w:tcW w:w="802" w:type="dxa"/>
            <w:noWrap/>
          </w:tcPr>
          <w:p w14:paraId="217AFA01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64,0%</w:t>
            </w:r>
          </w:p>
        </w:tc>
        <w:tc>
          <w:tcPr>
            <w:tcW w:w="709" w:type="dxa"/>
            <w:noWrap/>
          </w:tcPr>
          <w:p w14:paraId="05D5B5A9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69,5%</w:t>
            </w:r>
          </w:p>
        </w:tc>
        <w:tc>
          <w:tcPr>
            <w:tcW w:w="709" w:type="dxa"/>
            <w:noWrap/>
          </w:tcPr>
          <w:p w14:paraId="72A6B7D5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72,9%</w:t>
            </w:r>
          </w:p>
        </w:tc>
        <w:tc>
          <w:tcPr>
            <w:tcW w:w="709" w:type="dxa"/>
            <w:noWrap/>
          </w:tcPr>
          <w:p w14:paraId="00E7635D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74,8%</w:t>
            </w:r>
          </w:p>
        </w:tc>
        <w:tc>
          <w:tcPr>
            <w:tcW w:w="850" w:type="dxa"/>
            <w:noWrap/>
          </w:tcPr>
          <w:p w14:paraId="47DB995D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76,6%</w:t>
            </w:r>
          </w:p>
        </w:tc>
        <w:tc>
          <w:tcPr>
            <w:tcW w:w="709" w:type="dxa"/>
            <w:noWrap/>
          </w:tcPr>
          <w:p w14:paraId="4E974F90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79,0%</w:t>
            </w:r>
          </w:p>
        </w:tc>
        <w:tc>
          <w:tcPr>
            <w:tcW w:w="700" w:type="dxa"/>
          </w:tcPr>
          <w:p w14:paraId="1DD43742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83,1%</w:t>
            </w:r>
          </w:p>
        </w:tc>
        <w:tc>
          <w:tcPr>
            <w:tcW w:w="700" w:type="dxa"/>
          </w:tcPr>
          <w:p w14:paraId="7158A0B0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87,8%</w:t>
            </w:r>
          </w:p>
        </w:tc>
        <w:tc>
          <w:tcPr>
            <w:tcW w:w="823" w:type="dxa"/>
          </w:tcPr>
          <w:p w14:paraId="7019653D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89,3%</w:t>
            </w:r>
          </w:p>
        </w:tc>
        <w:tc>
          <w:tcPr>
            <w:tcW w:w="700" w:type="dxa"/>
          </w:tcPr>
          <w:p w14:paraId="194DC52E" w14:textId="77777777" w:rsidR="009C6DDB" w:rsidRPr="000A49E2" w:rsidRDefault="009C6DDB" w:rsidP="009C6DDB">
            <w:pPr>
              <w:spacing w:after="0"/>
              <w:jc w:val="right"/>
              <w:rPr>
                <w:rFonts w:ascii="Times New Roman" w:hAnsi="Times New Roman"/>
                <w:color w:val="000000"/>
                <w:szCs w:val="16"/>
              </w:rPr>
            </w:pPr>
            <w:r w:rsidRPr="000A49E2">
              <w:rPr>
                <w:rFonts w:ascii="Times New Roman" w:hAnsi="Times New Roman"/>
                <w:color w:val="000000"/>
                <w:szCs w:val="16"/>
              </w:rPr>
              <w:t>89,5%</w:t>
            </w:r>
          </w:p>
        </w:tc>
      </w:tr>
    </w:tbl>
    <w:p w14:paraId="20734362" w14:textId="77777777" w:rsidR="009C6DDB" w:rsidRPr="001D51F8" w:rsidRDefault="009C6DDB" w:rsidP="009C6DDB">
      <w:pPr>
        <w:spacing w:after="0"/>
        <w:rPr>
          <w:rFonts w:ascii="Times New Roman" w:hAnsi="Times New Roman"/>
          <w:sz w:val="20"/>
          <w:szCs w:val="20"/>
        </w:rPr>
      </w:pPr>
    </w:p>
    <w:p w14:paraId="00ECCC84" w14:textId="77777777" w:rsidR="009C6DDB" w:rsidRPr="001D51F8" w:rsidRDefault="009C6DDB" w:rsidP="009C6DDB">
      <w:pPr>
        <w:spacing w:after="0"/>
        <w:rPr>
          <w:rFonts w:ascii="Times New Roman" w:hAnsi="Times New Roman"/>
          <w:i/>
          <w:sz w:val="20"/>
          <w:szCs w:val="20"/>
        </w:rPr>
      </w:pPr>
      <w:r w:rsidRPr="001D51F8">
        <w:rPr>
          <w:rFonts w:ascii="Times New Roman" w:hAnsi="Times New Roman"/>
          <w:sz w:val="20"/>
          <w:szCs w:val="20"/>
        </w:rPr>
        <w:t>Zdroj: IFP, SPS – súčasný právny stav, NPS – navrhovaný právny stav</w:t>
      </w:r>
    </w:p>
    <w:p w14:paraId="176E8320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05A92BAF" w14:textId="77777777" w:rsidR="009C6DDB" w:rsidRPr="006C6991" w:rsidRDefault="009C6DDB" w:rsidP="009C6DDB">
      <w:pPr>
        <w:pStyle w:val="Nadpis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6C6991">
        <w:rPr>
          <w:rFonts w:ascii="Times New Roman" w:hAnsi="Times New Roman" w:cs="Times New Roman"/>
          <w:color w:val="auto"/>
          <w:sz w:val="22"/>
          <w:szCs w:val="22"/>
        </w:rPr>
        <w:t>Zhrnutie vplyvov na bilanciu dôchodkového systému:</w:t>
      </w:r>
    </w:p>
    <w:p w14:paraId="45FD9B5F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tbl>
      <w:tblPr>
        <w:tblStyle w:val="Mriekatabuky"/>
        <w:tblW w:w="9282" w:type="dxa"/>
        <w:jc w:val="center"/>
        <w:tblLook w:val="04A0" w:firstRow="1" w:lastRow="0" w:firstColumn="1" w:lastColumn="0" w:noHBand="0" w:noVBand="1"/>
      </w:tblPr>
      <w:tblGrid>
        <w:gridCol w:w="1419"/>
        <w:gridCol w:w="702"/>
        <w:gridCol w:w="610"/>
        <w:gridCol w:w="722"/>
        <w:gridCol w:w="702"/>
        <w:gridCol w:w="702"/>
        <w:gridCol w:w="702"/>
        <w:gridCol w:w="679"/>
        <w:gridCol w:w="610"/>
        <w:gridCol w:w="610"/>
        <w:gridCol w:w="610"/>
        <w:gridCol w:w="610"/>
        <w:gridCol w:w="610"/>
      </w:tblGrid>
      <w:tr w:rsidR="009C6DDB" w:rsidRPr="006C6991" w14:paraId="02BAF03D" w14:textId="77777777" w:rsidTr="00413624">
        <w:trPr>
          <w:trHeight w:val="300"/>
          <w:jc w:val="center"/>
        </w:trPr>
        <w:tc>
          <w:tcPr>
            <w:tcW w:w="1277" w:type="dxa"/>
            <w:noWrap/>
            <w:hideMark/>
          </w:tcPr>
          <w:p w14:paraId="2D3E75F3" w14:textId="77777777" w:rsidR="009C6DDB" w:rsidRPr="001D51F8" w:rsidRDefault="009C6DDB" w:rsidP="009C6D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03FB2C2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708" w:type="dxa"/>
          </w:tcPr>
          <w:p w14:paraId="36B9A142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730" w:type="dxa"/>
            <w:noWrap/>
            <w:hideMark/>
          </w:tcPr>
          <w:p w14:paraId="0A6C2038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709" w:type="dxa"/>
            <w:noWrap/>
            <w:hideMark/>
          </w:tcPr>
          <w:p w14:paraId="711CC381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2030</w:t>
            </w:r>
          </w:p>
        </w:tc>
        <w:tc>
          <w:tcPr>
            <w:tcW w:w="709" w:type="dxa"/>
            <w:noWrap/>
            <w:hideMark/>
          </w:tcPr>
          <w:p w14:paraId="778530C8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2035</w:t>
            </w:r>
          </w:p>
        </w:tc>
        <w:tc>
          <w:tcPr>
            <w:tcW w:w="709" w:type="dxa"/>
            <w:noWrap/>
            <w:hideMark/>
          </w:tcPr>
          <w:p w14:paraId="4BAD71D9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2040</w:t>
            </w:r>
          </w:p>
        </w:tc>
        <w:tc>
          <w:tcPr>
            <w:tcW w:w="686" w:type="dxa"/>
            <w:noWrap/>
            <w:hideMark/>
          </w:tcPr>
          <w:p w14:paraId="57F58226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2045</w:t>
            </w:r>
          </w:p>
        </w:tc>
        <w:tc>
          <w:tcPr>
            <w:tcW w:w="567" w:type="dxa"/>
            <w:noWrap/>
            <w:hideMark/>
          </w:tcPr>
          <w:p w14:paraId="008ED05D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2050</w:t>
            </w:r>
          </w:p>
        </w:tc>
        <w:tc>
          <w:tcPr>
            <w:tcW w:w="606" w:type="dxa"/>
          </w:tcPr>
          <w:p w14:paraId="01DC2A20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2055</w:t>
            </w:r>
          </w:p>
        </w:tc>
        <w:tc>
          <w:tcPr>
            <w:tcW w:w="606" w:type="dxa"/>
          </w:tcPr>
          <w:p w14:paraId="7648B2CA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2060</w:t>
            </w:r>
          </w:p>
        </w:tc>
        <w:tc>
          <w:tcPr>
            <w:tcW w:w="660" w:type="dxa"/>
          </w:tcPr>
          <w:p w14:paraId="5DFFD851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2065</w:t>
            </w:r>
          </w:p>
        </w:tc>
        <w:tc>
          <w:tcPr>
            <w:tcW w:w="606" w:type="dxa"/>
          </w:tcPr>
          <w:p w14:paraId="3B1A805B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2070</w:t>
            </w:r>
          </w:p>
        </w:tc>
      </w:tr>
      <w:tr w:rsidR="009C6DDB" w:rsidRPr="006C6991" w14:paraId="2D225F7C" w14:textId="77777777" w:rsidTr="00413624">
        <w:trPr>
          <w:trHeight w:val="300"/>
          <w:jc w:val="center"/>
        </w:trPr>
        <w:tc>
          <w:tcPr>
            <w:tcW w:w="1277" w:type="dxa"/>
            <w:noWrap/>
            <w:hideMark/>
          </w:tcPr>
          <w:p w14:paraId="589F0B15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Naviazanie dôchodkového veku na SDŽ</w:t>
            </w:r>
          </w:p>
        </w:tc>
        <w:tc>
          <w:tcPr>
            <w:tcW w:w="709" w:type="dxa"/>
            <w:noWrap/>
          </w:tcPr>
          <w:p w14:paraId="687903F0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708" w:type="dxa"/>
          </w:tcPr>
          <w:p w14:paraId="059900D5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730" w:type="dxa"/>
            <w:noWrap/>
          </w:tcPr>
          <w:p w14:paraId="59C19B68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709" w:type="dxa"/>
            <w:noWrap/>
          </w:tcPr>
          <w:p w14:paraId="7373CF2D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-0,2</w:t>
            </w:r>
          </w:p>
        </w:tc>
        <w:tc>
          <w:tcPr>
            <w:tcW w:w="709" w:type="dxa"/>
            <w:noWrap/>
          </w:tcPr>
          <w:p w14:paraId="3CDFEEDA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709" w:type="dxa"/>
            <w:noWrap/>
          </w:tcPr>
          <w:p w14:paraId="75DB049F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-1,1</w:t>
            </w:r>
          </w:p>
        </w:tc>
        <w:tc>
          <w:tcPr>
            <w:tcW w:w="686" w:type="dxa"/>
            <w:noWrap/>
          </w:tcPr>
          <w:p w14:paraId="6E4D4963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-1,6</w:t>
            </w:r>
          </w:p>
        </w:tc>
        <w:tc>
          <w:tcPr>
            <w:tcW w:w="567" w:type="dxa"/>
            <w:noWrap/>
          </w:tcPr>
          <w:p w14:paraId="26053E19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-1,9</w:t>
            </w:r>
          </w:p>
        </w:tc>
        <w:tc>
          <w:tcPr>
            <w:tcW w:w="606" w:type="dxa"/>
          </w:tcPr>
          <w:p w14:paraId="322C048C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-2,1</w:t>
            </w:r>
          </w:p>
        </w:tc>
        <w:tc>
          <w:tcPr>
            <w:tcW w:w="606" w:type="dxa"/>
          </w:tcPr>
          <w:p w14:paraId="5DB742ED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-2,1</w:t>
            </w:r>
          </w:p>
        </w:tc>
        <w:tc>
          <w:tcPr>
            <w:tcW w:w="660" w:type="dxa"/>
          </w:tcPr>
          <w:p w14:paraId="5A8F76A8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-2,0</w:t>
            </w:r>
          </w:p>
        </w:tc>
        <w:tc>
          <w:tcPr>
            <w:tcW w:w="606" w:type="dxa"/>
          </w:tcPr>
          <w:p w14:paraId="4CC7EED6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-2,3</w:t>
            </w:r>
          </w:p>
        </w:tc>
      </w:tr>
      <w:tr w:rsidR="009C6DDB" w:rsidRPr="006C6991" w14:paraId="05D5D852" w14:textId="77777777" w:rsidTr="00413624">
        <w:trPr>
          <w:trHeight w:val="300"/>
          <w:jc w:val="center"/>
        </w:trPr>
        <w:tc>
          <w:tcPr>
            <w:tcW w:w="1277" w:type="dxa"/>
            <w:noWrap/>
          </w:tcPr>
          <w:p w14:paraId="1AB5E66D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40 odpracovaných rokov </w:t>
            </w:r>
          </w:p>
        </w:tc>
        <w:tc>
          <w:tcPr>
            <w:tcW w:w="709" w:type="dxa"/>
            <w:noWrap/>
          </w:tcPr>
          <w:p w14:paraId="4F5596EC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18BC5D6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30" w:type="dxa"/>
            <w:noWrap/>
          </w:tcPr>
          <w:p w14:paraId="0A315E04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14:paraId="22F06691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709" w:type="dxa"/>
            <w:noWrap/>
          </w:tcPr>
          <w:p w14:paraId="7B9B9B78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709" w:type="dxa"/>
            <w:noWrap/>
          </w:tcPr>
          <w:p w14:paraId="1BA83FC9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86" w:type="dxa"/>
            <w:noWrap/>
          </w:tcPr>
          <w:p w14:paraId="20A3B8CB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67" w:type="dxa"/>
            <w:noWrap/>
          </w:tcPr>
          <w:p w14:paraId="43F5151E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06" w:type="dxa"/>
          </w:tcPr>
          <w:p w14:paraId="2C3803C8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06" w:type="dxa"/>
          </w:tcPr>
          <w:p w14:paraId="7BF5C800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60" w:type="dxa"/>
          </w:tcPr>
          <w:p w14:paraId="1F06989F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06" w:type="dxa"/>
          </w:tcPr>
          <w:p w14:paraId="5B19BF89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9C6DDB" w:rsidRPr="006C6991" w14:paraId="724C9F8C" w14:textId="77777777" w:rsidTr="00413624">
        <w:trPr>
          <w:trHeight w:val="300"/>
          <w:jc w:val="center"/>
        </w:trPr>
        <w:tc>
          <w:tcPr>
            <w:tcW w:w="1277" w:type="dxa"/>
            <w:noWrap/>
          </w:tcPr>
          <w:p w14:paraId="77D86454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Rodičovský bonus (asignácia)</w:t>
            </w:r>
          </w:p>
        </w:tc>
        <w:tc>
          <w:tcPr>
            <w:tcW w:w="709" w:type="dxa"/>
            <w:noWrap/>
          </w:tcPr>
          <w:p w14:paraId="438DE09A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14:paraId="34EE57FA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730" w:type="dxa"/>
            <w:noWrap/>
          </w:tcPr>
          <w:p w14:paraId="36B1D81B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709" w:type="dxa"/>
            <w:noWrap/>
          </w:tcPr>
          <w:p w14:paraId="5FBC45D2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709" w:type="dxa"/>
            <w:noWrap/>
          </w:tcPr>
          <w:p w14:paraId="54CF641A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709" w:type="dxa"/>
            <w:noWrap/>
          </w:tcPr>
          <w:p w14:paraId="334018FB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86" w:type="dxa"/>
            <w:noWrap/>
          </w:tcPr>
          <w:p w14:paraId="3D0B1F5D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67" w:type="dxa"/>
            <w:noWrap/>
          </w:tcPr>
          <w:p w14:paraId="6EBF05E1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606" w:type="dxa"/>
          </w:tcPr>
          <w:p w14:paraId="31517370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606" w:type="dxa"/>
          </w:tcPr>
          <w:p w14:paraId="1CC65C57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660" w:type="dxa"/>
          </w:tcPr>
          <w:p w14:paraId="00D1487B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606" w:type="dxa"/>
          </w:tcPr>
          <w:p w14:paraId="77D6461C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9C6DDB" w:rsidRPr="006C6991" w14:paraId="121B9D8E" w14:textId="77777777" w:rsidTr="00413624">
        <w:trPr>
          <w:trHeight w:val="300"/>
          <w:jc w:val="center"/>
        </w:trPr>
        <w:tc>
          <w:tcPr>
            <w:tcW w:w="1277" w:type="dxa"/>
            <w:noWrap/>
          </w:tcPr>
          <w:p w14:paraId="0091C183" w14:textId="77777777" w:rsidR="009C6DDB" w:rsidRPr="001D51F8" w:rsidRDefault="009C6DDB" w:rsidP="009C6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Automatický vstup II. pilier</w:t>
            </w:r>
          </w:p>
        </w:tc>
        <w:tc>
          <w:tcPr>
            <w:tcW w:w="709" w:type="dxa"/>
            <w:noWrap/>
          </w:tcPr>
          <w:p w14:paraId="72B9779C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502E7E47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30" w:type="dxa"/>
            <w:noWrap/>
          </w:tcPr>
          <w:p w14:paraId="22AF50AC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14:paraId="3AB69905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709" w:type="dxa"/>
            <w:noWrap/>
          </w:tcPr>
          <w:p w14:paraId="0A193A0C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09" w:type="dxa"/>
            <w:noWrap/>
          </w:tcPr>
          <w:p w14:paraId="04D4A10D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686" w:type="dxa"/>
            <w:noWrap/>
          </w:tcPr>
          <w:p w14:paraId="6C331629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67" w:type="dxa"/>
            <w:noWrap/>
          </w:tcPr>
          <w:p w14:paraId="7EE603B3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06" w:type="dxa"/>
          </w:tcPr>
          <w:p w14:paraId="5928DDF1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606" w:type="dxa"/>
          </w:tcPr>
          <w:p w14:paraId="0FD74065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660" w:type="dxa"/>
          </w:tcPr>
          <w:p w14:paraId="4FCE0E00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606" w:type="dxa"/>
          </w:tcPr>
          <w:p w14:paraId="2EFBEF64" w14:textId="77777777" w:rsidR="009C6DDB" w:rsidRPr="001D51F8" w:rsidRDefault="009C6DDB" w:rsidP="009C6D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1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</w:tbl>
    <w:p w14:paraId="48781C57" w14:textId="77777777" w:rsidR="009C6DDB" w:rsidRPr="001D51F8" w:rsidRDefault="009C6DDB" w:rsidP="009C6DDB">
      <w:pPr>
        <w:spacing w:after="0"/>
        <w:rPr>
          <w:rFonts w:ascii="Times New Roman" w:hAnsi="Times New Roman"/>
          <w:sz w:val="20"/>
          <w:szCs w:val="20"/>
        </w:rPr>
      </w:pPr>
      <w:r w:rsidRPr="001D51F8">
        <w:rPr>
          <w:rFonts w:ascii="Times New Roman" w:hAnsi="Times New Roman"/>
          <w:sz w:val="20"/>
          <w:szCs w:val="20"/>
        </w:rPr>
        <w:t>Zdroj: IFP; (-) záporná hodnota predstavuje úsporu</w:t>
      </w:r>
    </w:p>
    <w:p w14:paraId="42E40195" w14:textId="77777777" w:rsidR="009C6DDB" w:rsidRPr="006C6991" w:rsidRDefault="009C6DDB" w:rsidP="009C6DDB">
      <w:pPr>
        <w:spacing w:after="0"/>
        <w:rPr>
          <w:rFonts w:ascii="Times New Roman" w:hAnsi="Times New Roman"/>
        </w:rPr>
      </w:pPr>
    </w:p>
    <w:p w14:paraId="401D9203" w14:textId="4BA0CBA0" w:rsidR="009C6DDB" w:rsidRPr="00A86166" w:rsidRDefault="009C6DDB" w:rsidP="006C6991">
      <w:pPr>
        <w:spacing w:after="0"/>
        <w:jc w:val="both"/>
        <w:rPr>
          <w:rFonts w:ascii="Times New Roman" w:hAnsi="Times New Roman"/>
          <w:i/>
        </w:rPr>
      </w:pPr>
      <w:r w:rsidRPr="00A86166">
        <w:rPr>
          <w:rFonts w:ascii="Times New Roman" w:hAnsi="Times New Roman"/>
        </w:rPr>
        <w:t>Pozn. Jednoduchým spočítaním jednotlivých vplyvov nie je možné získať celkový vplyv na bilanciu dôchodkového systému, nakoľko sa niektoré zmeny vzájomne ovplyvňujú</w:t>
      </w:r>
      <w:r w:rsidRPr="00A86166">
        <w:rPr>
          <w:rFonts w:ascii="Times New Roman" w:hAnsi="Times New Roman"/>
          <w:i/>
        </w:rPr>
        <w:t xml:space="preserve">. </w:t>
      </w:r>
      <w:r w:rsidR="001D51F8" w:rsidRPr="00920435">
        <w:rPr>
          <w:rFonts w:ascii="Times New Roman" w:hAnsi="Times New Roman"/>
          <w:i/>
        </w:rPr>
        <w:t>S</w:t>
      </w:r>
      <w:r w:rsidRPr="00920435">
        <w:rPr>
          <w:rFonts w:ascii="Times New Roman" w:hAnsi="Times New Roman"/>
          <w:i/>
        </w:rPr>
        <w:t xml:space="preserve">amotná interakcia uvedených opatrení (nad rámec samostatných </w:t>
      </w:r>
      <w:r w:rsidR="006C6991" w:rsidRPr="00920435">
        <w:rPr>
          <w:rFonts w:ascii="Times New Roman" w:hAnsi="Times New Roman"/>
          <w:i/>
        </w:rPr>
        <w:t xml:space="preserve">vplyvov jednotlivých opatrení) </w:t>
      </w:r>
      <w:r w:rsidRPr="00920435">
        <w:rPr>
          <w:rFonts w:ascii="Times New Roman" w:hAnsi="Times New Roman"/>
          <w:i/>
        </w:rPr>
        <w:t>na základe údajov Inštitútu finančnej politiky má pozitívny vplyv na</w:t>
      </w:r>
      <w:r w:rsidR="001D51F8" w:rsidRPr="00920435">
        <w:rPr>
          <w:rFonts w:ascii="Times New Roman" w:hAnsi="Times New Roman"/>
          <w:i/>
        </w:rPr>
        <w:t xml:space="preserve"> indikátor</w:t>
      </w:r>
      <w:r w:rsidRPr="00920435">
        <w:rPr>
          <w:rFonts w:ascii="Times New Roman" w:hAnsi="Times New Roman"/>
          <w:i/>
        </w:rPr>
        <w:t xml:space="preserve"> dlhodob</w:t>
      </w:r>
      <w:r w:rsidR="001D51F8" w:rsidRPr="00920435">
        <w:rPr>
          <w:rFonts w:ascii="Times New Roman" w:hAnsi="Times New Roman"/>
          <w:i/>
        </w:rPr>
        <w:t>ej</w:t>
      </w:r>
      <w:r w:rsidRPr="00920435">
        <w:rPr>
          <w:rFonts w:ascii="Times New Roman" w:hAnsi="Times New Roman"/>
          <w:i/>
        </w:rPr>
        <w:t xml:space="preserve"> udržateľnos</w:t>
      </w:r>
      <w:r w:rsidR="001D51F8" w:rsidRPr="00920435">
        <w:rPr>
          <w:rFonts w:ascii="Times New Roman" w:hAnsi="Times New Roman"/>
          <w:i/>
        </w:rPr>
        <w:t>ti</w:t>
      </w:r>
      <w:r w:rsidRPr="00920435">
        <w:rPr>
          <w:rFonts w:ascii="Times New Roman" w:hAnsi="Times New Roman"/>
          <w:i/>
        </w:rPr>
        <w:t xml:space="preserve"> verejných financií</w:t>
      </w:r>
      <w:r w:rsidR="001D51F8" w:rsidRPr="00920435">
        <w:rPr>
          <w:rFonts w:ascii="Times New Roman" w:hAnsi="Times New Roman"/>
          <w:i/>
        </w:rPr>
        <w:t xml:space="preserve"> (S2)</w:t>
      </w:r>
      <w:r w:rsidRPr="00920435">
        <w:rPr>
          <w:rFonts w:ascii="Times New Roman" w:hAnsi="Times New Roman"/>
          <w:i/>
        </w:rPr>
        <w:t xml:space="preserve"> približne o 0,3 p. b. HDP. </w:t>
      </w:r>
    </w:p>
    <w:p w14:paraId="4977519C" w14:textId="77777777" w:rsidR="006C6991" w:rsidRPr="006C6991" w:rsidRDefault="006C6991" w:rsidP="006C6991">
      <w:pPr>
        <w:spacing w:after="0"/>
        <w:jc w:val="both"/>
        <w:rPr>
          <w:rFonts w:ascii="Times New Roman" w:hAnsi="Times New Roman"/>
          <w:i/>
        </w:rPr>
      </w:pPr>
    </w:p>
    <w:p w14:paraId="0182A352" w14:textId="77777777" w:rsidR="00622B6B" w:rsidRPr="006C6991" w:rsidRDefault="00622B6B" w:rsidP="00622B6B">
      <w:pPr>
        <w:spacing w:before="120" w:after="0"/>
        <w:jc w:val="both"/>
        <w:rPr>
          <w:rFonts w:ascii="Times New Roman" w:hAnsi="Times New Roman"/>
        </w:rPr>
      </w:pPr>
      <w:r w:rsidRPr="006C6991">
        <w:rPr>
          <w:rFonts w:ascii="Times New Roman" w:hAnsi="Times New Roman"/>
          <w:b/>
          <w:bCs/>
          <w:color w:val="000000"/>
        </w:rPr>
        <w:t>A.4. Alternatívne riešenia</w:t>
      </w:r>
    </w:p>
    <w:p w14:paraId="0BC02582" w14:textId="77777777" w:rsidR="00622B6B" w:rsidRPr="006C6991" w:rsidRDefault="00622B6B" w:rsidP="00622B6B">
      <w:pPr>
        <w:spacing w:before="120" w:after="0"/>
        <w:jc w:val="both"/>
        <w:rPr>
          <w:rFonts w:ascii="Times New Roman" w:hAnsi="Times New Roman"/>
        </w:rPr>
      </w:pPr>
      <w:r w:rsidRPr="006C6991">
        <w:rPr>
          <w:rFonts w:ascii="Times New Roman" w:hAnsi="Times New Roman"/>
          <w:i/>
          <w:color w:val="000000"/>
        </w:rPr>
        <w:t>bezpredmetné</w:t>
      </w:r>
    </w:p>
    <w:p w14:paraId="656B9FDA" w14:textId="77777777" w:rsidR="00622B6B" w:rsidRPr="006C6991" w:rsidRDefault="00622B6B" w:rsidP="00622B6B">
      <w:pPr>
        <w:spacing w:before="120" w:after="0"/>
        <w:jc w:val="both"/>
        <w:rPr>
          <w:rFonts w:ascii="Times New Roman" w:hAnsi="Times New Roman"/>
          <w:b/>
          <w:bCs/>
        </w:rPr>
      </w:pPr>
      <w:r w:rsidRPr="006C6991">
        <w:rPr>
          <w:rFonts w:ascii="Times New Roman" w:hAnsi="Times New Roman"/>
          <w:i/>
          <w:color w:val="000000"/>
        </w:rPr>
        <w:t> </w:t>
      </w:r>
      <w:r w:rsidRPr="006C6991">
        <w:rPr>
          <w:rFonts w:ascii="Times New Roman" w:hAnsi="Times New Roman"/>
          <w:b/>
          <w:bCs/>
        </w:rPr>
        <w:t xml:space="preserve">A.5. </w:t>
      </w:r>
      <w:r w:rsidRPr="006C6991">
        <w:rPr>
          <w:rFonts w:ascii="Times New Roman" w:hAnsi="Times New Roman"/>
          <w:b/>
          <w:bCs/>
        </w:rPr>
        <w:tab/>
        <w:t>Stanovisko gestorov</w:t>
      </w:r>
    </w:p>
    <w:p w14:paraId="6CE0594E" w14:textId="77777777" w:rsidR="006C6991" w:rsidRPr="006C6991" w:rsidRDefault="006C6991" w:rsidP="006C6991">
      <w:pPr>
        <w:spacing w:before="120" w:after="0"/>
        <w:jc w:val="both"/>
        <w:rPr>
          <w:rFonts w:ascii="Times New Roman" w:hAnsi="Times New Roman"/>
        </w:rPr>
      </w:pPr>
      <w:r w:rsidRPr="006C6991">
        <w:rPr>
          <w:rFonts w:ascii="Times New Roman" w:hAnsi="Times New Roman"/>
          <w:i/>
          <w:color w:val="000000"/>
        </w:rPr>
        <w:t>bezpredmetné</w:t>
      </w:r>
    </w:p>
    <w:p w14:paraId="75CEE517" w14:textId="77777777" w:rsidR="006C6991" w:rsidRPr="006C6991" w:rsidRDefault="006C6991" w:rsidP="00622B6B">
      <w:pPr>
        <w:spacing w:before="120" w:after="0"/>
        <w:jc w:val="both"/>
        <w:rPr>
          <w:rFonts w:ascii="Times New Roman" w:hAnsi="Times New Roman"/>
        </w:rPr>
      </w:pPr>
    </w:p>
    <w:p w14:paraId="1D37A8F4" w14:textId="77777777" w:rsidR="00273014" w:rsidRPr="006C6991" w:rsidRDefault="00273014">
      <w:pPr>
        <w:rPr>
          <w:rFonts w:ascii="Times New Roman" w:hAnsi="Times New Roman"/>
        </w:rPr>
      </w:pPr>
    </w:p>
    <w:sectPr w:rsidR="00273014" w:rsidRPr="006C6991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AD5C5" w14:textId="77777777" w:rsidR="00307849" w:rsidRDefault="00307849">
      <w:pPr>
        <w:spacing w:after="0" w:line="240" w:lineRule="auto"/>
      </w:pPr>
      <w:r>
        <w:separator/>
      </w:r>
    </w:p>
  </w:endnote>
  <w:endnote w:type="continuationSeparator" w:id="0">
    <w:p w14:paraId="1B28DD13" w14:textId="77777777" w:rsidR="00307849" w:rsidRDefault="0030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E0417" w14:textId="77777777" w:rsidR="00A146EB" w:rsidRDefault="00622B6B">
    <w:pPr>
      <w:pStyle w:val="Pta"/>
      <w:jc w:val="center"/>
    </w:pPr>
    <w:r>
      <w:fldChar w:fldCharType="begin"/>
    </w:r>
    <w:r>
      <w:instrText>PAGE</w:instrText>
    </w:r>
    <w:r>
      <w:fldChar w:fldCharType="separate"/>
    </w:r>
    <w:r w:rsidR="00B0573B">
      <w:rPr>
        <w:noProof/>
      </w:rPr>
      <w:t>2</w:t>
    </w:r>
    <w:r>
      <w:fldChar w:fldCharType="end"/>
    </w:r>
  </w:p>
  <w:p w14:paraId="721F9961" w14:textId="77777777" w:rsidR="00A146EB" w:rsidRDefault="003078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1E3FA" w14:textId="77777777" w:rsidR="00307849" w:rsidRDefault="00307849">
      <w:pPr>
        <w:spacing w:after="0" w:line="240" w:lineRule="auto"/>
      </w:pPr>
      <w:r>
        <w:separator/>
      </w:r>
    </w:p>
  </w:footnote>
  <w:footnote w:type="continuationSeparator" w:id="0">
    <w:p w14:paraId="7BBC5421" w14:textId="77777777" w:rsidR="00307849" w:rsidRDefault="00307849">
      <w:pPr>
        <w:spacing w:after="0" w:line="240" w:lineRule="auto"/>
      </w:pPr>
      <w:r>
        <w:continuationSeparator/>
      </w:r>
    </w:p>
  </w:footnote>
  <w:footnote w:id="1">
    <w:p w14:paraId="73BEC38A" w14:textId="77777777" w:rsidR="009C6DDB" w:rsidRDefault="009C6DDB" w:rsidP="009C6DDB">
      <w:pPr>
        <w:pStyle w:val="Textpoznmkypodiarou"/>
      </w:pPr>
      <w:r>
        <w:rPr>
          <w:rStyle w:val="Odkaznapoznmkupodiarou"/>
        </w:rPr>
        <w:footnoteRef/>
      </w:r>
      <w:r>
        <w:t xml:space="preserve"> Zákon č. 422/2020 Z. z., dostupný na https://www.slov-lex.sk/pravne-predpisy/SK/ZZ/2020/422/20250101.html.</w:t>
      </w:r>
    </w:p>
    <w:p w14:paraId="78608C60" w14:textId="77777777" w:rsidR="009C6DDB" w:rsidRDefault="009C6DDB" w:rsidP="009C6DDB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89F"/>
    <w:multiLevelType w:val="hybridMultilevel"/>
    <w:tmpl w:val="BFACC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500"/>
    <w:multiLevelType w:val="hybridMultilevel"/>
    <w:tmpl w:val="B1245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43B8"/>
    <w:multiLevelType w:val="hybridMultilevel"/>
    <w:tmpl w:val="CCC676FC"/>
    <w:lvl w:ilvl="0" w:tplc="13BEB4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747B"/>
    <w:multiLevelType w:val="hybridMultilevel"/>
    <w:tmpl w:val="B1245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žaltovič Boris">
    <w15:presenceInfo w15:providerId="AD" w15:userId="S-1-5-21-623720501-4287158864-1464952876-15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6B"/>
    <w:rsid w:val="00023C82"/>
    <w:rsid w:val="000A49E2"/>
    <w:rsid w:val="000B10CE"/>
    <w:rsid w:val="001231C5"/>
    <w:rsid w:val="001420A5"/>
    <w:rsid w:val="001D51F8"/>
    <w:rsid w:val="00273014"/>
    <w:rsid w:val="002B0C09"/>
    <w:rsid w:val="002B4E11"/>
    <w:rsid w:val="00307849"/>
    <w:rsid w:val="0043174E"/>
    <w:rsid w:val="005B7100"/>
    <w:rsid w:val="005E7608"/>
    <w:rsid w:val="00622B6B"/>
    <w:rsid w:val="006C6991"/>
    <w:rsid w:val="006D0FE7"/>
    <w:rsid w:val="0071339B"/>
    <w:rsid w:val="007E2FB0"/>
    <w:rsid w:val="00905577"/>
    <w:rsid w:val="00920435"/>
    <w:rsid w:val="00997CBD"/>
    <w:rsid w:val="009C6DDB"/>
    <w:rsid w:val="00A074C3"/>
    <w:rsid w:val="00A233F1"/>
    <w:rsid w:val="00A86166"/>
    <w:rsid w:val="00A931F9"/>
    <w:rsid w:val="00B0573B"/>
    <w:rsid w:val="00C13604"/>
    <w:rsid w:val="00CA3860"/>
    <w:rsid w:val="00D151A4"/>
    <w:rsid w:val="00D571FC"/>
    <w:rsid w:val="00D8722E"/>
    <w:rsid w:val="00E17E65"/>
    <w:rsid w:val="00F37F38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C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B6B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adpis2"/>
    <w:next w:val="Normlny"/>
    <w:link w:val="Nadpis1Char"/>
    <w:uiPriority w:val="9"/>
    <w:qFormat/>
    <w:rsid w:val="009C6DDB"/>
    <w:pPr>
      <w:outlineLvl w:val="0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C6DDB"/>
    <w:pPr>
      <w:keepNext/>
      <w:keepLines/>
      <w:spacing w:before="200" w:after="0" w:line="240" w:lineRule="auto"/>
      <w:outlineLvl w:val="1"/>
    </w:pPr>
    <w:rPr>
      <w:rFonts w:ascii="Arial Black" w:eastAsiaTheme="majorEastAsia" w:hAnsi="Arial Black" w:cstheme="majorBidi"/>
      <w:bCs/>
      <w:color w:val="C80000"/>
      <w:sz w:val="18"/>
      <w:szCs w:val="26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9C6DDB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basedOn w:val="Predvolenpsmoodseku"/>
    <w:link w:val="Pta"/>
    <w:uiPriority w:val="99"/>
    <w:qFormat/>
    <w:rsid w:val="00622B6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22B6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taChar1">
    <w:name w:val="Päta Char1"/>
    <w:basedOn w:val="Predvolenpsmoodseku"/>
    <w:uiPriority w:val="99"/>
    <w:semiHidden/>
    <w:rsid w:val="00622B6B"/>
    <w:rPr>
      <w:rFonts w:eastAsia="Times New Roman" w:cs="Times New Roman"/>
    </w:rPr>
  </w:style>
  <w:style w:type="paragraph" w:styleId="Normlnywebov">
    <w:name w:val="Normal (Web)"/>
    <w:basedOn w:val="Normlny"/>
    <w:qFormat/>
    <w:rsid w:val="00622B6B"/>
    <w:pPr>
      <w:spacing w:before="280" w:after="280"/>
    </w:pPr>
  </w:style>
  <w:style w:type="character" w:customStyle="1" w:styleId="Nadpis1Char">
    <w:name w:val="Nadpis 1 Char"/>
    <w:basedOn w:val="Predvolenpsmoodseku"/>
    <w:link w:val="Nadpis1"/>
    <w:uiPriority w:val="9"/>
    <w:rsid w:val="009C6DDB"/>
    <w:rPr>
      <w:rFonts w:ascii="Arial Black" w:eastAsiaTheme="majorEastAsia" w:hAnsi="Arial Black" w:cstheme="majorBidi"/>
      <w:bCs/>
      <w:color w:val="C80000"/>
      <w:sz w:val="18"/>
      <w:szCs w:val="26"/>
    </w:rPr>
  </w:style>
  <w:style w:type="character" w:customStyle="1" w:styleId="Nadpis2Char">
    <w:name w:val="Nadpis 2 Char"/>
    <w:basedOn w:val="Predvolenpsmoodseku"/>
    <w:link w:val="Nadpis2"/>
    <w:uiPriority w:val="9"/>
    <w:rsid w:val="009C6DDB"/>
    <w:rPr>
      <w:rFonts w:ascii="Arial Black" w:eastAsiaTheme="majorEastAsia" w:hAnsi="Arial Black" w:cstheme="majorBidi"/>
      <w:bCs/>
      <w:color w:val="C80000"/>
      <w:sz w:val="1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C6DDB"/>
    <w:rPr>
      <w:rFonts w:ascii="Arial Black" w:eastAsiaTheme="majorEastAsia" w:hAnsi="Arial Black" w:cstheme="majorBidi"/>
      <w:bCs/>
      <w:color w:val="C80000"/>
      <w:sz w:val="18"/>
      <w:szCs w:val="26"/>
    </w:rPr>
  </w:style>
  <w:style w:type="paragraph" w:styleId="Odsekzoznamu">
    <w:name w:val="List Paragraph"/>
    <w:basedOn w:val="Normlny"/>
    <w:uiPriority w:val="34"/>
    <w:qFormat/>
    <w:rsid w:val="009C6DDB"/>
    <w:pPr>
      <w:spacing w:before="120" w:after="120"/>
      <w:ind w:left="720"/>
      <w:contextualSpacing/>
      <w:jc w:val="both"/>
    </w:pPr>
    <w:rPr>
      <w:rFonts w:ascii="Arial" w:eastAsiaTheme="minorHAnsi" w:hAnsi="Arial" w:cstheme="minorBidi"/>
      <w:color w:val="595959" w:themeColor="text1" w:themeTint="A6"/>
      <w:sz w:val="18"/>
    </w:rPr>
  </w:style>
  <w:style w:type="paragraph" w:styleId="Hlavika">
    <w:name w:val="header"/>
    <w:basedOn w:val="Normlny"/>
    <w:link w:val="HlavikaChar"/>
    <w:uiPriority w:val="99"/>
    <w:unhideWhenUsed/>
    <w:rsid w:val="009C6DDB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Arial" w:eastAsiaTheme="minorHAnsi" w:hAnsi="Arial" w:cstheme="minorBidi"/>
      <w:color w:val="595959" w:themeColor="text1" w:themeTint="A6"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9C6DDB"/>
    <w:rPr>
      <w:rFonts w:ascii="Arial" w:hAnsi="Arial"/>
      <w:color w:val="595959" w:themeColor="text1" w:themeTint="A6"/>
      <w:sz w:val="18"/>
    </w:rPr>
  </w:style>
  <w:style w:type="table" w:styleId="Mriekatabuky">
    <w:name w:val="Table Grid"/>
    <w:basedOn w:val="Normlnatabuka"/>
    <w:uiPriority w:val="59"/>
    <w:rsid w:val="009C6DDB"/>
    <w:pPr>
      <w:spacing w:after="0" w:line="276" w:lineRule="auto"/>
    </w:pPr>
    <w:rPr>
      <w:rFonts w:ascii="Arial" w:hAnsi="Arial"/>
      <w:color w:val="C00000"/>
      <w:sz w:val="16"/>
    </w:rPr>
    <w:tblPr>
      <w:tblBorders>
        <w:insideH w:val="single" w:sz="8" w:space="0" w:color="auto"/>
        <w:insideV w:val="single" w:sz="8" w:space="0" w:color="auto"/>
      </w:tblBorders>
    </w:tblPr>
    <w:tcPr>
      <w:shd w:val="clear" w:color="auto" w:fill="auto"/>
      <w:vAlign w:val="center"/>
    </w:tcPr>
  </w:style>
  <w:style w:type="paragraph" w:customStyle="1" w:styleId="NormlB">
    <w:name w:val="Normál (B)"/>
    <w:basedOn w:val="Normlny"/>
    <w:link w:val="NormlBChar"/>
    <w:qFormat/>
    <w:rsid w:val="009C6DDB"/>
    <w:pPr>
      <w:spacing w:before="120" w:after="120"/>
      <w:jc w:val="both"/>
    </w:pPr>
    <w:rPr>
      <w:rFonts w:ascii="Arial" w:eastAsiaTheme="minorHAnsi" w:hAnsi="Arial" w:cstheme="minorBidi"/>
      <w:b/>
      <w:color w:val="595959" w:themeColor="text1" w:themeTint="A6"/>
      <w:sz w:val="18"/>
    </w:rPr>
  </w:style>
  <w:style w:type="character" w:customStyle="1" w:styleId="NormlBChar">
    <w:name w:val="Normál (B) Char"/>
    <w:basedOn w:val="Predvolenpsmoodseku"/>
    <w:link w:val="NormlB"/>
    <w:rsid w:val="009C6DDB"/>
    <w:rPr>
      <w:rFonts w:ascii="Arial" w:hAnsi="Arial"/>
      <w:b/>
      <w:color w:val="595959" w:themeColor="text1" w:themeTint="A6"/>
      <w:sz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9C6DDB"/>
    <w:pPr>
      <w:spacing w:after="120" w:line="240" w:lineRule="auto"/>
    </w:pPr>
    <w:rPr>
      <w:rFonts w:ascii="Arial" w:eastAsiaTheme="minorHAnsi" w:hAnsi="Arial" w:cstheme="minorBidi"/>
      <w:color w:val="7F7F7F" w:themeColor="text1" w:themeTint="80"/>
      <w:sz w:val="14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C6DDB"/>
    <w:rPr>
      <w:rFonts w:ascii="Arial" w:hAnsi="Arial"/>
      <w:color w:val="7F7F7F" w:themeColor="text1" w:themeTint="80"/>
      <w:sz w:val="14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6DDB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C6DD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86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A38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38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3860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38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3860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B6B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adpis2"/>
    <w:next w:val="Normlny"/>
    <w:link w:val="Nadpis1Char"/>
    <w:uiPriority w:val="9"/>
    <w:qFormat/>
    <w:rsid w:val="009C6DDB"/>
    <w:pPr>
      <w:outlineLvl w:val="0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C6DDB"/>
    <w:pPr>
      <w:keepNext/>
      <w:keepLines/>
      <w:spacing w:before="200" w:after="0" w:line="240" w:lineRule="auto"/>
      <w:outlineLvl w:val="1"/>
    </w:pPr>
    <w:rPr>
      <w:rFonts w:ascii="Arial Black" w:eastAsiaTheme="majorEastAsia" w:hAnsi="Arial Black" w:cstheme="majorBidi"/>
      <w:bCs/>
      <w:color w:val="C80000"/>
      <w:sz w:val="18"/>
      <w:szCs w:val="26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9C6DDB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basedOn w:val="Predvolenpsmoodseku"/>
    <w:link w:val="Pta"/>
    <w:uiPriority w:val="99"/>
    <w:qFormat/>
    <w:rsid w:val="00622B6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22B6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taChar1">
    <w:name w:val="Päta Char1"/>
    <w:basedOn w:val="Predvolenpsmoodseku"/>
    <w:uiPriority w:val="99"/>
    <w:semiHidden/>
    <w:rsid w:val="00622B6B"/>
    <w:rPr>
      <w:rFonts w:eastAsia="Times New Roman" w:cs="Times New Roman"/>
    </w:rPr>
  </w:style>
  <w:style w:type="paragraph" w:styleId="Normlnywebov">
    <w:name w:val="Normal (Web)"/>
    <w:basedOn w:val="Normlny"/>
    <w:qFormat/>
    <w:rsid w:val="00622B6B"/>
    <w:pPr>
      <w:spacing w:before="280" w:after="280"/>
    </w:pPr>
  </w:style>
  <w:style w:type="character" w:customStyle="1" w:styleId="Nadpis1Char">
    <w:name w:val="Nadpis 1 Char"/>
    <w:basedOn w:val="Predvolenpsmoodseku"/>
    <w:link w:val="Nadpis1"/>
    <w:uiPriority w:val="9"/>
    <w:rsid w:val="009C6DDB"/>
    <w:rPr>
      <w:rFonts w:ascii="Arial Black" w:eastAsiaTheme="majorEastAsia" w:hAnsi="Arial Black" w:cstheme="majorBidi"/>
      <w:bCs/>
      <w:color w:val="C80000"/>
      <w:sz w:val="18"/>
      <w:szCs w:val="26"/>
    </w:rPr>
  </w:style>
  <w:style w:type="character" w:customStyle="1" w:styleId="Nadpis2Char">
    <w:name w:val="Nadpis 2 Char"/>
    <w:basedOn w:val="Predvolenpsmoodseku"/>
    <w:link w:val="Nadpis2"/>
    <w:uiPriority w:val="9"/>
    <w:rsid w:val="009C6DDB"/>
    <w:rPr>
      <w:rFonts w:ascii="Arial Black" w:eastAsiaTheme="majorEastAsia" w:hAnsi="Arial Black" w:cstheme="majorBidi"/>
      <w:bCs/>
      <w:color w:val="C80000"/>
      <w:sz w:val="1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C6DDB"/>
    <w:rPr>
      <w:rFonts w:ascii="Arial Black" w:eastAsiaTheme="majorEastAsia" w:hAnsi="Arial Black" w:cstheme="majorBidi"/>
      <w:bCs/>
      <w:color w:val="C80000"/>
      <w:sz w:val="18"/>
      <w:szCs w:val="26"/>
    </w:rPr>
  </w:style>
  <w:style w:type="paragraph" w:styleId="Odsekzoznamu">
    <w:name w:val="List Paragraph"/>
    <w:basedOn w:val="Normlny"/>
    <w:uiPriority w:val="34"/>
    <w:qFormat/>
    <w:rsid w:val="009C6DDB"/>
    <w:pPr>
      <w:spacing w:before="120" w:after="120"/>
      <w:ind w:left="720"/>
      <w:contextualSpacing/>
      <w:jc w:val="both"/>
    </w:pPr>
    <w:rPr>
      <w:rFonts w:ascii="Arial" w:eastAsiaTheme="minorHAnsi" w:hAnsi="Arial" w:cstheme="minorBidi"/>
      <w:color w:val="595959" w:themeColor="text1" w:themeTint="A6"/>
      <w:sz w:val="18"/>
    </w:rPr>
  </w:style>
  <w:style w:type="paragraph" w:styleId="Hlavika">
    <w:name w:val="header"/>
    <w:basedOn w:val="Normlny"/>
    <w:link w:val="HlavikaChar"/>
    <w:uiPriority w:val="99"/>
    <w:unhideWhenUsed/>
    <w:rsid w:val="009C6DDB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Arial" w:eastAsiaTheme="minorHAnsi" w:hAnsi="Arial" w:cstheme="minorBidi"/>
      <w:color w:val="595959" w:themeColor="text1" w:themeTint="A6"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9C6DDB"/>
    <w:rPr>
      <w:rFonts w:ascii="Arial" w:hAnsi="Arial"/>
      <w:color w:val="595959" w:themeColor="text1" w:themeTint="A6"/>
      <w:sz w:val="18"/>
    </w:rPr>
  </w:style>
  <w:style w:type="table" w:styleId="Mriekatabuky">
    <w:name w:val="Table Grid"/>
    <w:basedOn w:val="Normlnatabuka"/>
    <w:uiPriority w:val="59"/>
    <w:rsid w:val="009C6DDB"/>
    <w:pPr>
      <w:spacing w:after="0" w:line="276" w:lineRule="auto"/>
    </w:pPr>
    <w:rPr>
      <w:rFonts w:ascii="Arial" w:hAnsi="Arial"/>
      <w:color w:val="C00000"/>
      <w:sz w:val="16"/>
    </w:rPr>
    <w:tblPr>
      <w:tblBorders>
        <w:insideH w:val="single" w:sz="8" w:space="0" w:color="auto"/>
        <w:insideV w:val="single" w:sz="8" w:space="0" w:color="auto"/>
      </w:tblBorders>
    </w:tblPr>
    <w:tcPr>
      <w:shd w:val="clear" w:color="auto" w:fill="auto"/>
      <w:vAlign w:val="center"/>
    </w:tcPr>
  </w:style>
  <w:style w:type="paragraph" w:customStyle="1" w:styleId="NormlB">
    <w:name w:val="Normál (B)"/>
    <w:basedOn w:val="Normlny"/>
    <w:link w:val="NormlBChar"/>
    <w:qFormat/>
    <w:rsid w:val="009C6DDB"/>
    <w:pPr>
      <w:spacing w:before="120" w:after="120"/>
      <w:jc w:val="both"/>
    </w:pPr>
    <w:rPr>
      <w:rFonts w:ascii="Arial" w:eastAsiaTheme="minorHAnsi" w:hAnsi="Arial" w:cstheme="minorBidi"/>
      <w:b/>
      <w:color w:val="595959" w:themeColor="text1" w:themeTint="A6"/>
      <w:sz w:val="18"/>
    </w:rPr>
  </w:style>
  <w:style w:type="character" w:customStyle="1" w:styleId="NormlBChar">
    <w:name w:val="Normál (B) Char"/>
    <w:basedOn w:val="Predvolenpsmoodseku"/>
    <w:link w:val="NormlB"/>
    <w:rsid w:val="009C6DDB"/>
    <w:rPr>
      <w:rFonts w:ascii="Arial" w:hAnsi="Arial"/>
      <w:b/>
      <w:color w:val="595959" w:themeColor="text1" w:themeTint="A6"/>
      <w:sz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9C6DDB"/>
    <w:pPr>
      <w:spacing w:after="120" w:line="240" w:lineRule="auto"/>
    </w:pPr>
    <w:rPr>
      <w:rFonts w:ascii="Arial" w:eastAsiaTheme="minorHAnsi" w:hAnsi="Arial" w:cstheme="minorBidi"/>
      <w:color w:val="7F7F7F" w:themeColor="text1" w:themeTint="80"/>
      <w:sz w:val="14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C6DDB"/>
    <w:rPr>
      <w:rFonts w:ascii="Arial" w:hAnsi="Arial"/>
      <w:color w:val="7F7F7F" w:themeColor="text1" w:themeTint="80"/>
      <w:sz w:val="14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6DDB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C6DD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86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A38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38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3860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38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386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ancek\Desktop\doktor\&#250;stavn&#253;%20z&#225;kon%20penzie%202020\tab%20a%20graf%20do%20anal&#253;zy%20&#250;stavn&#253;%20z&#225;kon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DV_zmeny!$B$2</c:f>
              <c:strCache>
                <c:ptCount val="1"/>
                <c:pt idx="0">
                  <c:v>Výdavky na dôchodky súčasný právny stav v % HDP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DV_zmeny!$C$1:$BB$1</c:f>
              <c:numCache>
                <c:formatCode>General</c:formatCode>
                <c:ptCount val="52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  <c:pt idx="11">
                  <c:v>2030</c:v>
                </c:pt>
                <c:pt idx="12">
                  <c:v>2031</c:v>
                </c:pt>
                <c:pt idx="13">
                  <c:v>2032</c:v>
                </c:pt>
                <c:pt idx="14">
                  <c:v>2033</c:v>
                </c:pt>
                <c:pt idx="15">
                  <c:v>2034</c:v>
                </c:pt>
                <c:pt idx="16">
                  <c:v>2035</c:v>
                </c:pt>
                <c:pt idx="17">
                  <c:v>2036</c:v>
                </c:pt>
                <c:pt idx="18">
                  <c:v>2037</c:v>
                </c:pt>
                <c:pt idx="19">
                  <c:v>2038</c:v>
                </c:pt>
                <c:pt idx="20">
                  <c:v>2039</c:v>
                </c:pt>
                <c:pt idx="21">
                  <c:v>2040</c:v>
                </c:pt>
                <c:pt idx="22">
                  <c:v>2041</c:v>
                </c:pt>
                <c:pt idx="23">
                  <c:v>2042</c:v>
                </c:pt>
                <c:pt idx="24">
                  <c:v>2043</c:v>
                </c:pt>
                <c:pt idx="25">
                  <c:v>2044</c:v>
                </c:pt>
                <c:pt idx="26">
                  <c:v>2045</c:v>
                </c:pt>
                <c:pt idx="27">
                  <c:v>2046</c:v>
                </c:pt>
                <c:pt idx="28">
                  <c:v>2047</c:v>
                </c:pt>
                <c:pt idx="29">
                  <c:v>2048</c:v>
                </c:pt>
                <c:pt idx="30">
                  <c:v>2049</c:v>
                </c:pt>
                <c:pt idx="31">
                  <c:v>2050</c:v>
                </c:pt>
                <c:pt idx="32">
                  <c:v>2051</c:v>
                </c:pt>
                <c:pt idx="33">
                  <c:v>2052</c:v>
                </c:pt>
                <c:pt idx="34">
                  <c:v>2053</c:v>
                </c:pt>
                <c:pt idx="35">
                  <c:v>2054</c:v>
                </c:pt>
                <c:pt idx="36">
                  <c:v>2055</c:v>
                </c:pt>
                <c:pt idx="37">
                  <c:v>2056</c:v>
                </c:pt>
                <c:pt idx="38">
                  <c:v>2057</c:v>
                </c:pt>
                <c:pt idx="39">
                  <c:v>2058</c:v>
                </c:pt>
                <c:pt idx="40">
                  <c:v>2059</c:v>
                </c:pt>
                <c:pt idx="41">
                  <c:v>2060</c:v>
                </c:pt>
                <c:pt idx="42">
                  <c:v>2061</c:v>
                </c:pt>
                <c:pt idx="43">
                  <c:v>2062</c:v>
                </c:pt>
                <c:pt idx="44">
                  <c:v>2063</c:v>
                </c:pt>
                <c:pt idx="45">
                  <c:v>2064</c:v>
                </c:pt>
                <c:pt idx="46">
                  <c:v>2065</c:v>
                </c:pt>
                <c:pt idx="47">
                  <c:v>2066</c:v>
                </c:pt>
                <c:pt idx="48">
                  <c:v>2067</c:v>
                </c:pt>
                <c:pt idx="49">
                  <c:v>2068</c:v>
                </c:pt>
                <c:pt idx="50">
                  <c:v>2069</c:v>
                </c:pt>
                <c:pt idx="51">
                  <c:v>2070</c:v>
                </c:pt>
              </c:numCache>
            </c:numRef>
          </c:cat>
          <c:val>
            <c:numRef>
              <c:f>DV_zmeny!$C$2:$BB$2</c:f>
              <c:numCache>
                <c:formatCode>#,##0.0</c:formatCode>
                <c:ptCount val="52"/>
                <c:pt idx="0">
                  <c:v>8.3344124689698447</c:v>
                </c:pt>
                <c:pt idx="1">
                  <c:v>9.4921362921557595</c:v>
                </c:pt>
                <c:pt idx="2">
                  <c:v>9.4969671223264829</c:v>
                </c:pt>
                <c:pt idx="3">
                  <c:v>9.5303300032717093</c:v>
                </c:pt>
                <c:pt idx="4">
                  <c:v>9.6125937691341647</c:v>
                </c:pt>
                <c:pt idx="5">
                  <c:v>9.6741158600280812</c:v>
                </c:pt>
                <c:pt idx="6">
                  <c:v>9.7468334461751382</c:v>
                </c:pt>
                <c:pt idx="7">
                  <c:v>9.7812191921855227</c:v>
                </c:pt>
                <c:pt idx="8">
                  <c:v>9.8795916746155505</c:v>
                </c:pt>
                <c:pt idx="9">
                  <c:v>9.9865258112659756</c:v>
                </c:pt>
                <c:pt idx="10">
                  <c:v>10.064489257145928</c:v>
                </c:pt>
                <c:pt idx="11">
                  <c:v>10.161525637120004</c:v>
                </c:pt>
                <c:pt idx="12">
                  <c:v>10.258818660102511</c:v>
                </c:pt>
                <c:pt idx="13">
                  <c:v>10.355648343316707</c:v>
                </c:pt>
                <c:pt idx="14">
                  <c:v>10.461436929600493</c:v>
                </c:pt>
                <c:pt idx="15">
                  <c:v>10.561081561196202</c:v>
                </c:pt>
                <c:pt idx="16">
                  <c:v>10.691217375544291</c:v>
                </c:pt>
                <c:pt idx="17">
                  <c:v>10.844606055311942</c:v>
                </c:pt>
                <c:pt idx="18">
                  <c:v>11.021768571221816</c:v>
                </c:pt>
                <c:pt idx="19">
                  <c:v>11.213909866686027</c:v>
                </c:pt>
                <c:pt idx="20">
                  <c:v>11.408984913274315</c:v>
                </c:pt>
                <c:pt idx="21">
                  <c:v>11.579239020504321</c:v>
                </c:pt>
                <c:pt idx="22">
                  <c:v>11.773569426819362</c:v>
                </c:pt>
                <c:pt idx="23">
                  <c:v>11.965449251121585</c:v>
                </c:pt>
                <c:pt idx="24">
                  <c:v>12.149547129327109</c:v>
                </c:pt>
                <c:pt idx="25">
                  <c:v>12.325253527812304</c:v>
                </c:pt>
                <c:pt idx="26">
                  <c:v>12.491910292605779</c:v>
                </c:pt>
                <c:pt idx="27">
                  <c:v>12.661004278152054</c:v>
                </c:pt>
                <c:pt idx="28">
                  <c:v>12.836199532277298</c:v>
                </c:pt>
                <c:pt idx="29">
                  <c:v>13.016110811016254</c:v>
                </c:pt>
                <c:pt idx="30">
                  <c:v>13.201720329567584</c:v>
                </c:pt>
                <c:pt idx="31">
                  <c:v>13.381255353072655</c:v>
                </c:pt>
                <c:pt idx="32">
                  <c:v>13.55660624526279</c:v>
                </c:pt>
                <c:pt idx="33">
                  <c:v>13.727751394476567</c:v>
                </c:pt>
                <c:pt idx="34">
                  <c:v>13.896344094846775</c:v>
                </c:pt>
                <c:pt idx="35">
                  <c:v>14.05472923442948</c:v>
                </c:pt>
                <c:pt idx="36">
                  <c:v>14.203341471145073</c:v>
                </c:pt>
                <c:pt idx="37">
                  <c:v>14.328915913899129</c:v>
                </c:pt>
                <c:pt idx="38">
                  <c:v>14.427232874334253</c:v>
                </c:pt>
                <c:pt idx="39">
                  <c:v>14.49152885621063</c:v>
                </c:pt>
                <c:pt idx="40">
                  <c:v>14.522019897036062</c:v>
                </c:pt>
                <c:pt idx="41">
                  <c:v>14.532799151052558</c:v>
                </c:pt>
                <c:pt idx="42">
                  <c:v>14.53266719309868</c:v>
                </c:pt>
                <c:pt idx="43">
                  <c:v>14.51764982688214</c:v>
                </c:pt>
                <c:pt idx="44">
                  <c:v>14.490673354856659</c:v>
                </c:pt>
                <c:pt idx="45">
                  <c:v>14.448214431041562</c:v>
                </c:pt>
                <c:pt idx="46">
                  <c:v>14.394370206144227</c:v>
                </c:pt>
                <c:pt idx="47">
                  <c:v>14.337713423425233</c:v>
                </c:pt>
                <c:pt idx="48">
                  <c:v>14.293990322731926</c:v>
                </c:pt>
                <c:pt idx="49">
                  <c:v>14.258497594217157</c:v>
                </c:pt>
                <c:pt idx="50">
                  <c:v>14.230027660527986</c:v>
                </c:pt>
                <c:pt idx="51">
                  <c:v>14.20763590314354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DV_zmeny!$B$5</c:f>
              <c:strCache>
                <c:ptCount val="1"/>
                <c:pt idx="0">
                  <c:v>Výdavky na dôchodky po naviazaní dôchodkového veku na SDŽ v % HDP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DV_zmeny!$C$1:$BB$1</c:f>
              <c:numCache>
                <c:formatCode>General</c:formatCode>
                <c:ptCount val="52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  <c:pt idx="11">
                  <c:v>2030</c:v>
                </c:pt>
                <c:pt idx="12">
                  <c:v>2031</c:v>
                </c:pt>
                <c:pt idx="13">
                  <c:v>2032</c:v>
                </c:pt>
                <c:pt idx="14">
                  <c:v>2033</c:v>
                </c:pt>
                <c:pt idx="15">
                  <c:v>2034</c:v>
                </c:pt>
                <c:pt idx="16">
                  <c:v>2035</c:v>
                </c:pt>
                <c:pt idx="17">
                  <c:v>2036</c:v>
                </c:pt>
                <c:pt idx="18">
                  <c:v>2037</c:v>
                </c:pt>
                <c:pt idx="19">
                  <c:v>2038</c:v>
                </c:pt>
                <c:pt idx="20">
                  <c:v>2039</c:v>
                </c:pt>
                <c:pt idx="21">
                  <c:v>2040</c:v>
                </c:pt>
                <c:pt idx="22">
                  <c:v>2041</c:v>
                </c:pt>
                <c:pt idx="23">
                  <c:v>2042</c:v>
                </c:pt>
                <c:pt idx="24">
                  <c:v>2043</c:v>
                </c:pt>
                <c:pt idx="25">
                  <c:v>2044</c:v>
                </c:pt>
                <c:pt idx="26">
                  <c:v>2045</c:v>
                </c:pt>
                <c:pt idx="27">
                  <c:v>2046</c:v>
                </c:pt>
                <c:pt idx="28">
                  <c:v>2047</c:v>
                </c:pt>
                <c:pt idx="29">
                  <c:v>2048</c:v>
                </c:pt>
                <c:pt idx="30">
                  <c:v>2049</c:v>
                </c:pt>
                <c:pt idx="31">
                  <c:v>2050</c:v>
                </c:pt>
                <c:pt idx="32">
                  <c:v>2051</c:v>
                </c:pt>
                <c:pt idx="33">
                  <c:v>2052</c:v>
                </c:pt>
                <c:pt idx="34">
                  <c:v>2053</c:v>
                </c:pt>
                <c:pt idx="35">
                  <c:v>2054</c:v>
                </c:pt>
                <c:pt idx="36">
                  <c:v>2055</c:v>
                </c:pt>
                <c:pt idx="37">
                  <c:v>2056</c:v>
                </c:pt>
                <c:pt idx="38">
                  <c:v>2057</c:v>
                </c:pt>
                <c:pt idx="39">
                  <c:v>2058</c:v>
                </c:pt>
                <c:pt idx="40">
                  <c:v>2059</c:v>
                </c:pt>
                <c:pt idx="41">
                  <c:v>2060</c:v>
                </c:pt>
                <c:pt idx="42">
                  <c:v>2061</c:v>
                </c:pt>
                <c:pt idx="43">
                  <c:v>2062</c:v>
                </c:pt>
                <c:pt idx="44">
                  <c:v>2063</c:v>
                </c:pt>
                <c:pt idx="45">
                  <c:v>2064</c:v>
                </c:pt>
                <c:pt idx="46">
                  <c:v>2065</c:v>
                </c:pt>
                <c:pt idx="47">
                  <c:v>2066</c:v>
                </c:pt>
                <c:pt idx="48">
                  <c:v>2067</c:v>
                </c:pt>
                <c:pt idx="49">
                  <c:v>2068</c:v>
                </c:pt>
                <c:pt idx="50">
                  <c:v>2069</c:v>
                </c:pt>
                <c:pt idx="51">
                  <c:v>2070</c:v>
                </c:pt>
              </c:numCache>
            </c:numRef>
          </c:cat>
          <c:val>
            <c:numRef>
              <c:f>DV_zmeny!$C$5:$BB$5</c:f>
              <c:numCache>
                <c:formatCode>#,##0.0</c:formatCode>
                <c:ptCount val="52"/>
                <c:pt idx="0">
                  <c:v>8.3344124689698447</c:v>
                </c:pt>
                <c:pt idx="1">
                  <c:v>9.5115488241601049</c:v>
                </c:pt>
                <c:pt idx="2">
                  <c:v>9.4561154660864393</c:v>
                </c:pt>
                <c:pt idx="3">
                  <c:v>9.4519068401395394</c:v>
                </c:pt>
                <c:pt idx="4">
                  <c:v>9.4929273743331262</c:v>
                </c:pt>
                <c:pt idx="5">
                  <c:v>9.5721149408618409</c:v>
                </c:pt>
                <c:pt idx="6">
                  <c:v>9.6414795515952498</c:v>
                </c:pt>
                <c:pt idx="7">
                  <c:v>9.7238678366341347</c:v>
                </c:pt>
                <c:pt idx="8">
                  <c:v>9.8281510007078641</c:v>
                </c:pt>
                <c:pt idx="9">
                  <c:v>9.9007329726941435</c:v>
                </c:pt>
                <c:pt idx="10">
                  <c:v>9.9451425866854883</c:v>
                </c:pt>
                <c:pt idx="11">
                  <c:v>10.000335859709111</c:v>
                </c:pt>
                <c:pt idx="12">
                  <c:v>10.042682767735029</c:v>
                </c:pt>
                <c:pt idx="13">
                  <c:v>10.045094181728738</c:v>
                </c:pt>
                <c:pt idx="14">
                  <c:v>10.089256657328088</c:v>
                </c:pt>
                <c:pt idx="15">
                  <c:v>10.120701491912662</c:v>
                </c:pt>
                <c:pt idx="16">
                  <c:v>10.138994944195661</c:v>
                </c:pt>
                <c:pt idx="17">
                  <c:v>10.191712917144621</c:v>
                </c:pt>
                <c:pt idx="18">
                  <c:v>10.256318293818605</c:v>
                </c:pt>
                <c:pt idx="19">
                  <c:v>10.303343246942672</c:v>
                </c:pt>
                <c:pt idx="20">
                  <c:v>10.408435988227222</c:v>
                </c:pt>
                <c:pt idx="21">
                  <c:v>10.497530431768238</c:v>
                </c:pt>
                <c:pt idx="22">
                  <c:v>10.546645532482934</c:v>
                </c:pt>
                <c:pt idx="23">
                  <c:v>10.65166676325982</c:v>
                </c:pt>
                <c:pt idx="24">
                  <c:v>10.745321386209643</c:v>
                </c:pt>
                <c:pt idx="25">
                  <c:v>10.805019303766212</c:v>
                </c:pt>
                <c:pt idx="26">
                  <c:v>10.933365447564716</c:v>
                </c:pt>
                <c:pt idx="27">
                  <c:v>11.054426745593549</c:v>
                </c:pt>
                <c:pt idx="28">
                  <c:v>11.166762523674457</c:v>
                </c:pt>
                <c:pt idx="29">
                  <c:v>11.289527173733914</c:v>
                </c:pt>
                <c:pt idx="30">
                  <c:v>11.403437051306987</c:v>
                </c:pt>
                <c:pt idx="31">
                  <c:v>11.484873389687097</c:v>
                </c:pt>
                <c:pt idx="32">
                  <c:v>11.615729101025526</c:v>
                </c:pt>
                <c:pt idx="33">
                  <c:v>11.742760965784104</c:v>
                </c:pt>
                <c:pt idx="34">
                  <c:v>11.878840110460249</c:v>
                </c:pt>
                <c:pt idx="35">
                  <c:v>11.983352106708322</c:v>
                </c:pt>
                <c:pt idx="36">
                  <c:v>12.073279936924477</c:v>
                </c:pt>
                <c:pt idx="37">
                  <c:v>12.149091895630065</c:v>
                </c:pt>
                <c:pt idx="38">
                  <c:v>12.258667317620887</c:v>
                </c:pt>
                <c:pt idx="39">
                  <c:v>12.347727305365401</c:v>
                </c:pt>
                <c:pt idx="40">
                  <c:v>12.420349479220032</c:v>
                </c:pt>
                <c:pt idx="41">
                  <c:v>12.46936961162069</c:v>
                </c:pt>
                <c:pt idx="42">
                  <c:v>12.497202126736848</c:v>
                </c:pt>
                <c:pt idx="43">
                  <c:v>12.494900509825339</c:v>
                </c:pt>
                <c:pt idx="44">
                  <c:v>12.457163817530457</c:v>
                </c:pt>
                <c:pt idx="45">
                  <c:v>12.419198083665684</c:v>
                </c:pt>
                <c:pt idx="46">
                  <c:v>12.373228148802706</c:v>
                </c:pt>
                <c:pt idx="47">
                  <c:v>12.298861087266143</c:v>
                </c:pt>
                <c:pt idx="48">
                  <c:v>12.215149069155874</c:v>
                </c:pt>
                <c:pt idx="49">
                  <c:v>12.12134266772958</c:v>
                </c:pt>
                <c:pt idx="50">
                  <c:v>12.046553901629082</c:v>
                </c:pt>
                <c:pt idx="51">
                  <c:v>11.955041174447501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150016"/>
        <c:axId val="112151552"/>
      </c:lineChart>
      <c:catAx>
        <c:axId val="11215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151552"/>
        <c:crosses val="autoZero"/>
        <c:auto val="1"/>
        <c:lblAlgn val="ctr"/>
        <c:lblOffset val="100"/>
        <c:noMultiLvlLbl val="0"/>
      </c:catAx>
      <c:valAx>
        <c:axId val="112151552"/>
        <c:scaling>
          <c:orientation val="minMax"/>
          <c:min val="6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#,##0.0" sourceLinked="1"/>
        <c:majorTickMark val="out"/>
        <c:minorTickMark val="none"/>
        <c:tickLblPos val="nextTo"/>
        <c:crossAx val="112150016"/>
        <c:crosses val="autoZero"/>
        <c:crossBetween val="between"/>
      </c:valAx>
      <c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c:spPr>
    </c:plotArea>
    <c:legend>
      <c:legendPos val="b"/>
      <c:overlay val="0"/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  <a:miter lim="800000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sk-SK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Duriska Slavomir</dc:creator>
  <cp:lastModifiedBy>Cebulakova Monika</cp:lastModifiedBy>
  <cp:revision>4</cp:revision>
  <dcterms:created xsi:type="dcterms:W3CDTF">2021-05-19T11:53:00Z</dcterms:created>
  <dcterms:modified xsi:type="dcterms:W3CDTF">2021-05-19T12:03:00Z</dcterms:modified>
</cp:coreProperties>
</file>