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212"/>
      </w:tblGrid>
      <w:tr w:rsidR="005D2010" w:rsidRPr="005D2010" w:rsidTr="007B71A4">
        <w:trPr>
          <w:trHeight w:val="567"/>
        </w:trPr>
        <w:tc>
          <w:tcPr>
            <w:tcW w:w="9212" w:type="dxa"/>
            <w:shd w:val="clear" w:color="auto" w:fill="D9D9D9" w:themeFill="background1" w:themeFillShade="D9"/>
          </w:tcPr>
          <w:p w:rsidR="009F2DFA" w:rsidRPr="005D2010" w:rsidRDefault="008A1252" w:rsidP="007B71A4">
            <w:pPr>
              <w:jc w:val="center"/>
              <w:rPr>
                <w:b/>
                <w:sz w:val="24"/>
              </w:rPr>
            </w:pPr>
            <w:r w:rsidRPr="005D2010">
              <w:rPr>
                <w:b/>
                <w:sz w:val="28"/>
              </w:rPr>
              <w:t>Analýza v</w:t>
            </w:r>
            <w:r w:rsidR="009F2DFA" w:rsidRPr="005D2010">
              <w:rPr>
                <w:b/>
                <w:sz w:val="28"/>
              </w:rPr>
              <w:t>plyv</w:t>
            </w:r>
            <w:r w:rsidRPr="005D2010">
              <w:rPr>
                <w:b/>
                <w:sz w:val="28"/>
              </w:rPr>
              <w:t>ov</w:t>
            </w:r>
            <w:r w:rsidR="009F2DFA" w:rsidRPr="005D2010">
              <w:rPr>
                <w:b/>
                <w:sz w:val="28"/>
              </w:rPr>
              <w:t xml:space="preserve"> na podnikateľské prostredie</w:t>
            </w:r>
          </w:p>
          <w:p w:rsidR="009F2DFA" w:rsidRPr="005D2010" w:rsidRDefault="009F2DFA" w:rsidP="00780BA6">
            <w:pPr>
              <w:jc w:val="center"/>
              <w:rPr>
                <w:b/>
              </w:rPr>
            </w:pPr>
            <w:r w:rsidRPr="005D2010">
              <w:rPr>
                <w:b/>
                <w:sz w:val="24"/>
              </w:rPr>
              <w:t xml:space="preserve">(vrátane </w:t>
            </w:r>
            <w:r w:rsidR="00780BA6" w:rsidRPr="005D2010">
              <w:rPr>
                <w:b/>
                <w:sz w:val="24"/>
              </w:rPr>
              <w:t xml:space="preserve">testu </w:t>
            </w:r>
            <w:r w:rsidRPr="005D2010">
              <w:rPr>
                <w:b/>
                <w:sz w:val="24"/>
              </w:rPr>
              <w:t>MSP)</w:t>
            </w:r>
          </w:p>
        </w:tc>
      </w:tr>
      <w:tr w:rsidR="005D2010" w:rsidRPr="005D2010" w:rsidTr="007B71A4">
        <w:trPr>
          <w:trHeight w:val="567"/>
        </w:trPr>
        <w:tc>
          <w:tcPr>
            <w:tcW w:w="9212" w:type="dxa"/>
            <w:shd w:val="clear" w:color="auto" w:fill="D9D9D9" w:themeFill="background1" w:themeFillShade="D9"/>
          </w:tcPr>
          <w:p w:rsidR="009F2DFA" w:rsidRPr="005D2010" w:rsidRDefault="009F2DFA" w:rsidP="007B71A4">
            <w:pPr>
              <w:rPr>
                <w:b/>
                <w:sz w:val="24"/>
              </w:rPr>
            </w:pPr>
            <w:r w:rsidRPr="005D2010">
              <w:rPr>
                <w:b/>
                <w:sz w:val="24"/>
              </w:rPr>
              <w:t>Materiál bude mať vplyv s ohľadom na veľkostnú kategóriu podnikov:</w:t>
            </w:r>
          </w:p>
        </w:tc>
      </w:tr>
      <w:tr w:rsidR="005D2010" w:rsidRPr="005D2010" w:rsidTr="007B71A4">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5D2010" w:rsidRPr="005D2010" w:rsidTr="007B71A4">
              <w:tc>
                <w:tcPr>
                  <w:tcW w:w="436" w:type="dxa"/>
                  <w:tcBorders>
                    <w:top w:val="nil"/>
                    <w:left w:val="nil"/>
                    <w:bottom w:val="nil"/>
                    <w:right w:val="nil"/>
                  </w:tcBorders>
                </w:tcPr>
                <w:p w:rsidR="009F2DFA" w:rsidRPr="005D2010" w:rsidRDefault="009F2DFA" w:rsidP="007B71A4">
                  <w:pPr>
                    <w:jc w:val="center"/>
                  </w:pPr>
                  <w:r w:rsidRPr="005D2010">
                    <w:rPr>
                      <w:rFonts w:ascii="Segoe UI Symbol" w:eastAsia="MS Mincho" w:hAnsi="Segoe UI Symbol" w:cs="Segoe UI Symbol"/>
                    </w:rPr>
                    <w:t>☐</w:t>
                  </w:r>
                </w:p>
              </w:tc>
              <w:tc>
                <w:tcPr>
                  <w:tcW w:w="8545" w:type="dxa"/>
                  <w:tcBorders>
                    <w:top w:val="nil"/>
                    <w:left w:val="nil"/>
                    <w:bottom w:val="nil"/>
                    <w:right w:val="nil"/>
                  </w:tcBorders>
                </w:tcPr>
                <w:p w:rsidR="009F2DFA" w:rsidRPr="005D2010" w:rsidRDefault="009F2DFA" w:rsidP="007B71A4">
                  <w:pPr>
                    <w:rPr>
                      <w:b/>
                      <w:sz w:val="24"/>
                      <w:szCs w:val="24"/>
                    </w:rPr>
                  </w:pPr>
                  <w:r w:rsidRPr="005D2010">
                    <w:rPr>
                      <w:b/>
                      <w:sz w:val="24"/>
                      <w:szCs w:val="24"/>
                    </w:rPr>
                    <w:t xml:space="preserve">iba na MSP (0 - 249 zamestnancov) </w:t>
                  </w:r>
                </w:p>
              </w:tc>
            </w:tr>
            <w:tr w:rsidR="005D2010" w:rsidRPr="005D2010" w:rsidTr="007B71A4">
              <w:tc>
                <w:tcPr>
                  <w:tcW w:w="436" w:type="dxa"/>
                  <w:tcBorders>
                    <w:top w:val="nil"/>
                    <w:left w:val="nil"/>
                    <w:bottom w:val="nil"/>
                    <w:right w:val="nil"/>
                  </w:tcBorders>
                </w:tcPr>
                <w:p w:rsidR="009F2DFA" w:rsidRPr="005D2010" w:rsidRDefault="009F2DFA" w:rsidP="007B71A4">
                  <w:pPr>
                    <w:jc w:val="center"/>
                  </w:pPr>
                  <w:r w:rsidRPr="005D2010">
                    <w:rPr>
                      <w:rFonts w:ascii="Segoe UI Symbol" w:eastAsia="MS Mincho" w:hAnsi="Segoe UI Symbol" w:cs="Segoe UI Symbol"/>
                    </w:rPr>
                    <w:t>☐</w:t>
                  </w:r>
                </w:p>
              </w:tc>
              <w:tc>
                <w:tcPr>
                  <w:tcW w:w="8545" w:type="dxa"/>
                  <w:tcBorders>
                    <w:top w:val="nil"/>
                    <w:left w:val="nil"/>
                    <w:bottom w:val="nil"/>
                    <w:right w:val="nil"/>
                  </w:tcBorders>
                </w:tcPr>
                <w:p w:rsidR="009F2DFA" w:rsidRPr="005D2010" w:rsidRDefault="009F2DFA" w:rsidP="007B71A4">
                  <w:pPr>
                    <w:rPr>
                      <w:b/>
                      <w:sz w:val="24"/>
                      <w:szCs w:val="24"/>
                    </w:rPr>
                  </w:pPr>
                  <w:r w:rsidRPr="005D2010">
                    <w:rPr>
                      <w:b/>
                      <w:sz w:val="24"/>
                      <w:szCs w:val="24"/>
                    </w:rPr>
                    <w:t>iba na veľké podniky (250 a viac zamestnancov)</w:t>
                  </w:r>
                </w:p>
              </w:tc>
            </w:tr>
            <w:tr w:rsidR="005D2010" w:rsidRPr="005D2010" w:rsidTr="007B71A4">
              <w:tc>
                <w:tcPr>
                  <w:tcW w:w="436" w:type="dxa"/>
                  <w:tcBorders>
                    <w:top w:val="nil"/>
                    <w:left w:val="nil"/>
                    <w:bottom w:val="nil"/>
                    <w:right w:val="nil"/>
                  </w:tcBorders>
                </w:tcPr>
                <w:p w:rsidR="009F2DFA" w:rsidRPr="005D2010" w:rsidRDefault="003D1528" w:rsidP="007B71A4">
                  <w:pPr>
                    <w:jc w:val="center"/>
                  </w:pPr>
                  <w:r w:rsidRPr="005D2010">
                    <w:rPr>
                      <w:rFonts w:ascii="MS Gothic" w:eastAsia="MS Gothic" w:hint="eastAsia"/>
                    </w:rPr>
                    <w:t>☒</w:t>
                  </w:r>
                </w:p>
              </w:tc>
              <w:tc>
                <w:tcPr>
                  <w:tcW w:w="8545" w:type="dxa"/>
                  <w:tcBorders>
                    <w:top w:val="nil"/>
                    <w:left w:val="nil"/>
                    <w:bottom w:val="nil"/>
                    <w:right w:val="nil"/>
                  </w:tcBorders>
                </w:tcPr>
                <w:p w:rsidR="009F2DFA" w:rsidRPr="005D2010" w:rsidRDefault="009F2DFA" w:rsidP="007B71A4">
                  <w:pPr>
                    <w:rPr>
                      <w:sz w:val="24"/>
                      <w:szCs w:val="24"/>
                    </w:rPr>
                  </w:pPr>
                  <w:r w:rsidRPr="005D2010">
                    <w:rPr>
                      <w:b/>
                      <w:sz w:val="24"/>
                      <w:szCs w:val="24"/>
                    </w:rPr>
                    <w:t>na všetky kategórie podnikov</w:t>
                  </w:r>
                </w:p>
              </w:tc>
            </w:tr>
          </w:tbl>
          <w:p w:rsidR="009F2DFA" w:rsidRPr="005D2010" w:rsidRDefault="009F2DFA" w:rsidP="007B71A4">
            <w:pPr>
              <w:rPr>
                <w:b/>
              </w:rPr>
            </w:pPr>
          </w:p>
        </w:tc>
      </w:tr>
      <w:tr w:rsidR="005D2010" w:rsidRPr="005D2010" w:rsidTr="007B71A4">
        <w:tc>
          <w:tcPr>
            <w:tcW w:w="9212" w:type="dxa"/>
            <w:shd w:val="clear" w:color="auto" w:fill="D9D9D9" w:themeFill="background1" w:themeFillShade="D9"/>
          </w:tcPr>
          <w:p w:rsidR="009F2DFA" w:rsidRPr="005D2010" w:rsidRDefault="002B1108" w:rsidP="007B71A4">
            <w:pPr>
              <w:rPr>
                <w:b/>
                <w:sz w:val="24"/>
              </w:rPr>
            </w:pPr>
            <w:r w:rsidRPr="005D2010">
              <w:rPr>
                <w:b/>
                <w:sz w:val="24"/>
              </w:rPr>
              <w:t>3</w:t>
            </w:r>
            <w:r w:rsidR="009F2DFA" w:rsidRPr="005D2010">
              <w:rPr>
                <w:b/>
                <w:sz w:val="24"/>
              </w:rPr>
              <w:t>.1 Dotknuté podnikateľské subjekty</w:t>
            </w:r>
          </w:p>
          <w:p w:rsidR="009F2DFA" w:rsidRPr="005D2010" w:rsidRDefault="009F2DFA" w:rsidP="007B71A4">
            <w:pPr>
              <w:ind w:left="284"/>
              <w:rPr>
                <w:b/>
              </w:rPr>
            </w:pPr>
            <w:r w:rsidRPr="005D2010">
              <w:rPr>
                <w:sz w:val="24"/>
              </w:rPr>
              <w:t xml:space="preserve"> - </w:t>
            </w:r>
            <w:r w:rsidRPr="005D2010">
              <w:rPr>
                <w:b/>
                <w:sz w:val="24"/>
              </w:rPr>
              <w:t>z toho MSP</w:t>
            </w:r>
          </w:p>
        </w:tc>
      </w:tr>
      <w:tr w:rsidR="005D2010" w:rsidRPr="005D2010" w:rsidTr="007B71A4">
        <w:tc>
          <w:tcPr>
            <w:tcW w:w="9212" w:type="dxa"/>
          </w:tcPr>
          <w:p w:rsidR="009F2DFA" w:rsidRPr="005D2010" w:rsidRDefault="009F2DFA" w:rsidP="00390F94">
            <w:pPr>
              <w:jc w:val="both"/>
              <w:rPr>
                <w:i/>
              </w:rPr>
            </w:pPr>
            <w:r w:rsidRPr="005D2010">
              <w:rPr>
                <w:i/>
              </w:rPr>
              <w:t>Uveďte, aké podnikateľské subjekty budú predkladaným návrhom ovplyvnené.</w:t>
            </w:r>
          </w:p>
          <w:p w:rsidR="00C92901" w:rsidRPr="005D2010" w:rsidRDefault="009F2DFA" w:rsidP="00CE5733">
            <w:pPr>
              <w:jc w:val="both"/>
              <w:rPr>
                <w:i/>
              </w:rPr>
            </w:pPr>
            <w:r w:rsidRPr="005D2010">
              <w:rPr>
                <w:i/>
              </w:rPr>
              <w:t>Aký je ich počet?</w:t>
            </w:r>
          </w:p>
        </w:tc>
      </w:tr>
      <w:tr w:rsidR="005D2010" w:rsidRPr="005D2010" w:rsidTr="007E0516">
        <w:trPr>
          <w:trHeight w:val="7852"/>
        </w:trPr>
        <w:tc>
          <w:tcPr>
            <w:tcW w:w="9212" w:type="dxa"/>
          </w:tcPr>
          <w:p w:rsidR="00B74D62" w:rsidRPr="005D2010" w:rsidRDefault="00B74D62" w:rsidP="00CD199E">
            <w:pPr>
              <w:pStyle w:val="Odsekzoznamu"/>
              <w:spacing w:after="0" w:line="240" w:lineRule="auto"/>
              <w:ind w:left="0"/>
              <w:jc w:val="both"/>
              <w:rPr>
                <w:rFonts w:ascii="Times New Roman" w:hAnsi="Times New Roman"/>
                <w:lang w:eastAsia="sk-SK"/>
              </w:rPr>
            </w:pPr>
            <w:r w:rsidRPr="005D2010">
              <w:rPr>
                <w:rFonts w:ascii="Times New Roman" w:hAnsi="Times New Roman"/>
                <w:lang w:eastAsia="sk-SK"/>
              </w:rPr>
              <w:t>Zákonom č. 106/2018 Z. z. o prevádzke vozidiel v cestnej premávke a o zmene a doplnení niektorých zákonov sú dotknuté nasledovné podnikateľské subjekty:</w:t>
            </w:r>
          </w:p>
          <w:p w:rsidR="00A97915" w:rsidRPr="005D2010" w:rsidRDefault="00A97915" w:rsidP="00A97915">
            <w:pPr>
              <w:pStyle w:val="Odsekzoznamu"/>
              <w:numPr>
                <w:ilvl w:val="0"/>
                <w:numId w:val="17"/>
              </w:numPr>
              <w:spacing w:after="0" w:line="240" w:lineRule="auto"/>
              <w:ind w:left="289" w:hanging="289"/>
              <w:contextualSpacing w:val="0"/>
              <w:jc w:val="both"/>
              <w:rPr>
                <w:rFonts w:ascii="Times New Roman" w:hAnsi="Times New Roman"/>
              </w:rPr>
            </w:pPr>
            <w:r w:rsidRPr="005D2010">
              <w:rPr>
                <w:rFonts w:ascii="Times New Roman" w:hAnsi="Times New Roman"/>
              </w:rPr>
              <w:t>výrobcovia a zástupcovia výrobcu, ktorí vyrábajú typ vozidla alebo vykonávajú hromadné prestavby typu vozidla, vyrábajú typ systému, komponentu alebo samostatnej technickej jednotky (počet výrobcov nie je možné odhadnúť, pretože o udelenie schválenia môže požiadať ktorýkoľvek výrobca na svete, počet zástupcov výrobcov v Slovenskej republike je v súčasnosti registrovaných približne 900),</w:t>
            </w:r>
          </w:p>
          <w:p w:rsidR="00A97915" w:rsidRPr="005D2010" w:rsidRDefault="00A97915" w:rsidP="00A97915">
            <w:pPr>
              <w:pStyle w:val="Odsekzoznamu"/>
              <w:numPr>
                <w:ilvl w:val="0"/>
                <w:numId w:val="17"/>
              </w:numPr>
              <w:spacing w:after="0" w:line="240" w:lineRule="auto"/>
              <w:ind w:left="289" w:hanging="289"/>
              <w:contextualSpacing w:val="0"/>
              <w:jc w:val="both"/>
              <w:rPr>
                <w:rFonts w:ascii="Times New Roman" w:hAnsi="Times New Roman"/>
              </w:rPr>
            </w:pPr>
            <w:r w:rsidRPr="005D2010">
              <w:rPr>
                <w:rFonts w:ascii="Times New Roman" w:hAnsi="Times New Roman"/>
              </w:rPr>
              <w:t>prevádzkovatelia vozidla (počet evidovaných vozidiel v Slovenskej republike je takmer 3,3 milióna),</w:t>
            </w:r>
          </w:p>
          <w:p w:rsidR="00A97915" w:rsidRPr="005D2010" w:rsidRDefault="00A97915" w:rsidP="00A97915">
            <w:pPr>
              <w:pStyle w:val="Odsekzoznamu"/>
              <w:numPr>
                <w:ilvl w:val="0"/>
                <w:numId w:val="17"/>
              </w:numPr>
              <w:spacing w:after="0" w:line="240" w:lineRule="auto"/>
              <w:ind w:left="289" w:hanging="289"/>
              <w:contextualSpacing w:val="0"/>
              <w:jc w:val="both"/>
              <w:rPr>
                <w:rFonts w:ascii="Times New Roman" w:hAnsi="Times New Roman"/>
              </w:rPr>
            </w:pPr>
            <w:r w:rsidRPr="005D2010">
              <w:rPr>
                <w:rFonts w:ascii="Times New Roman" w:hAnsi="Times New Roman"/>
              </w:rPr>
              <w:t>technické služby overovania, technická služba technickej kontroly, technická služba emisnej kontroly, technická služba kontroly originality, technická služba montáže plynových zariadení (20 technických služieb),</w:t>
            </w:r>
          </w:p>
          <w:p w:rsidR="00A97915" w:rsidRPr="005D2010" w:rsidRDefault="00A97915" w:rsidP="00A97915">
            <w:pPr>
              <w:pStyle w:val="Odsekzoznamu"/>
              <w:numPr>
                <w:ilvl w:val="0"/>
                <w:numId w:val="17"/>
              </w:numPr>
              <w:spacing w:after="0" w:line="240" w:lineRule="auto"/>
              <w:ind w:left="289" w:hanging="289"/>
              <w:contextualSpacing w:val="0"/>
              <w:jc w:val="both"/>
              <w:rPr>
                <w:rFonts w:ascii="Times New Roman" w:hAnsi="Times New Roman"/>
              </w:rPr>
            </w:pPr>
            <w:r w:rsidRPr="005D2010">
              <w:rPr>
                <w:rFonts w:ascii="Times New Roman" w:hAnsi="Times New Roman"/>
              </w:rPr>
              <w:t xml:space="preserve">nakladajúce organizácie, osoby </w:t>
            </w:r>
            <w:r w:rsidRPr="005D2010">
              <w:rPr>
                <w:rFonts w:ascii="Times New Roman" w:hAnsi="Times New Roman"/>
                <w:lang w:eastAsia="sk-SK"/>
              </w:rPr>
              <w:t xml:space="preserve">zodpovedné za nakládku vozidiel v nakladajúcej organizácii, odosielatelia </w:t>
            </w:r>
            <w:r w:rsidRPr="005D2010">
              <w:rPr>
                <w:rFonts w:ascii="Times New Roman" w:hAnsi="Times New Roman"/>
              </w:rPr>
              <w:t>(počet nakladajúcich organizácií nie je možné odhadnúť, keďže náklad môže nakladať ktorákoľvek osoba)</w:t>
            </w:r>
            <w:r w:rsidRPr="005D2010">
              <w:rPr>
                <w:rFonts w:ascii="Times New Roman" w:hAnsi="Times New Roman"/>
                <w:lang w:eastAsia="sk-SK"/>
              </w:rPr>
              <w:t>,</w:t>
            </w:r>
          </w:p>
          <w:p w:rsidR="00A97915" w:rsidRPr="005D2010" w:rsidRDefault="00A97915" w:rsidP="00A97915">
            <w:pPr>
              <w:pStyle w:val="Odsekzoznamu"/>
              <w:numPr>
                <w:ilvl w:val="0"/>
                <w:numId w:val="17"/>
              </w:numPr>
              <w:spacing w:after="0" w:line="240" w:lineRule="auto"/>
              <w:ind w:left="289" w:hanging="289"/>
              <w:contextualSpacing w:val="0"/>
              <w:jc w:val="both"/>
              <w:rPr>
                <w:rFonts w:ascii="Times New Roman" w:hAnsi="Times New Roman"/>
              </w:rPr>
            </w:pPr>
            <w:r w:rsidRPr="005D2010">
              <w:rPr>
                <w:rFonts w:ascii="Times New Roman" w:hAnsi="Times New Roman"/>
              </w:rPr>
              <w:t>oprávnené osoby technickej kontroly, oprávnené osoby emisnej kontroly, oprávnené osoby kontroly originality, oprávnené osoby montáže plynových zariadení (približne 300 osôb) a ich pracovníkov (technici) (približne 1000 osôb),</w:t>
            </w:r>
          </w:p>
          <w:p w:rsidR="00A97915" w:rsidRPr="005D2010" w:rsidRDefault="00A97915" w:rsidP="00A97915">
            <w:pPr>
              <w:pStyle w:val="Odsekzoznamu"/>
              <w:numPr>
                <w:ilvl w:val="0"/>
                <w:numId w:val="17"/>
              </w:numPr>
              <w:spacing w:after="0" w:line="240" w:lineRule="auto"/>
              <w:ind w:left="289" w:hanging="289"/>
              <w:contextualSpacing w:val="0"/>
              <w:jc w:val="both"/>
              <w:rPr>
                <w:rFonts w:ascii="Times New Roman" w:hAnsi="Times New Roman"/>
              </w:rPr>
            </w:pPr>
            <w:r w:rsidRPr="005D2010">
              <w:rPr>
                <w:rFonts w:ascii="Times New Roman" w:hAnsi="Times New Roman"/>
              </w:rPr>
              <w:t>os</w:t>
            </w:r>
            <w:r w:rsidR="008D1836" w:rsidRPr="005D2010">
              <w:rPr>
                <w:rFonts w:ascii="Times New Roman" w:hAnsi="Times New Roman"/>
              </w:rPr>
              <w:t>oby</w:t>
            </w:r>
            <w:r w:rsidRPr="005D2010">
              <w:rPr>
                <w:rFonts w:ascii="Times New Roman" w:hAnsi="Times New Roman"/>
              </w:rPr>
              <w:t xml:space="preserve"> prispieva</w:t>
            </w:r>
            <w:bookmarkStart w:id="0" w:name="_GoBack"/>
            <w:bookmarkEnd w:id="0"/>
            <w:r w:rsidRPr="005D2010">
              <w:rPr>
                <w:rFonts w:ascii="Times New Roman" w:hAnsi="Times New Roman"/>
              </w:rPr>
              <w:t>júce do registra prevádzkových záznamov (osoby vykonávajúce diagnostiku, opravy alebo údržbu cestných motorových vozidiel alebo vykonávajúc</w:t>
            </w:r>
            <w:r w:rsidR="008D1836" w:rsidRPr="005D2010">
              <w:rPr>
                <w:rFonts w:ascii="Times New Roman" w:hAnsi="Times New Roman"/>
              </w:rPr>
              <w:t>e</w:t>
            </w:r>
            <w:r w:rsidRPr="005D2010">
              <w:rPr>
                <w:rFonts w:ascii="Times New Roman" w:hAnsi="Times New Roman"/>
              </w:rPr>
              <w:t xml:space="preserve"> opravy karosérií, osoby vykonávajúce predaj ojazdených cestných motorových vozidiel, poisťovne, leasingové spoločnosti, znalci, osoby vykonávajúc</w:t>
            </w:r>
            <w:r w:rsidR="008D1836" w:rsidRPr="005D2010">
              <w:rPr>
                <w:rFonts w:ascii="Times New Roman" w:hAnsi="Times New Roman"/>
              </w:rPr>
              <w:t>e</w:t>
            </w:r>
            <w:r w:rsidRPr="005D2010">
              <w:rPr>
                <w:rFonts w:ascii="Times New Roman" w:hAnsi="Times New Roman"/>
              </w:rPr>
              <w:t xml:space="preserve"> služby v oblasti organizovania a realizácie dražieb cestných motorových vozidiel, osoby vykonávajúce nastavovanie a overovanie tachografov, požičov</w:t>
            </w:r>
            <w:r w:rsidR="00D716BA" w:rsidRPr="005D2010">
              <w:rPr>
                <w:rFonts w:ascii="Times New Roman" w:hAnsi="Times New Roman"/>
              </w:rPr>
              <w:t>ne cestných motorových vozidiel</w:t>
            </w:r>
            <w:r w:rsidRPr="005D2010">
              <w:rPr>
                <w:rFonts w:ascii="Times New Roman" w:hAnsi="Times New Roman"/>
              </w:rPr>
              <w:t>) (do 10 000),</w:t>
            </w:r>
          </w:p>
          <w:p w:rsidR="00B74D62" w:rsidRPr="005D2010" w:rsidRDefault="00A97915" w:rsidP="00A97915">
            <w:pPr>
              <w:pStyle w:val="Odsekzoznamu"/>
              <w:numPr>
                <w:ilvl w:val="0"/>
                <w:numId w:val="17"/>
              </w:numPr>
              <w:spacing w:after="0" w:line="240" w:lineRule="auto"/>
              <w:ind w:left="289" w:hanging="289"/>
              <w:contextualSpacing w:val="0"/>
              <w:jc w:val="both"/>
              <w:rPr>
                <w:rFonts w:ascii="Times New Roman" w:hAnsi="Times New Roman"/>
              </w:rPr>
            </w:pPr>
            <w:r w:rsidRPr="005D2010">
              <w:rPr>
                <w:rFonts w:ascii="Times New Roman" w:hAnsi="Times New Roman"/>
              </w:rPr>
              <w:t>orgány štátnej správy: Ministerstvo dopravy a výstavby SR, Ministerstvo vnútra SR, okresné úrady, okresné úrady v sídle kraja, Slovenská obchodná inšpekcia, orgány Policajného zboru, inšpektoráty práce.</w:t>
            </w:r>
          </w:p>
          <w:p w:rsidR="00D716BA" w:rsidRPr="005D2010" w:rsidRDefault="00D716BA" w:rsidP="00D716BA">
            <w:pPr>
              <w:pStyle w:val="Odsekzoznamu"/>
              <w:spacing w:after="0" w:line="240" w:lineRule="auto"/>
              <w:ind w:left="0"/>
              <w:jc w:val="both"/>
              <w:rPr>
                <w:rFonts w:ascii="Times New Roman" w:hAnsi="Times New Roman"/>
              </w:rPr>
            </w:pPr>
            <w:r w:rsidRPr="005D2010">
              <w:rPr>
                <w:rFonts w:ascii="Times New Roman" w:hAnsi="Times New Roman"/>
                <w:lang w:eastAsia="sk-SK"/>
              </w:rPr>
              <w:t>Týmto návrhom zákona sa rozširuje okruh osôb prispievajúcich do registra prevádzkových záznamov podľa písmena f) a to o osoby prevádzkujúce webové sídlo s ponukami na predaj a kúpu cestných motorových vozidiel, ktorých odhadujeme na približne 10 osôb a o osoby vykonávajúce nastavovanie alebo iné zásahy v rámci softvéru riadiacej jednotky motorového vozidla, ktorých odhadujeme na približne 32 osôb.</w:t>
            </w:r>
          </w:p>
        </w:tc>
      </w:tr>
      <w:tr w:rsidR="005D2010" w:rsidRPr="005D2010" w:rsidTr="007B71A4">
        <w:trPr>
          <w:trHeight w:val="339"/>
        </w:trPr>
        <w:tc>
          <w:tcPr>
            <w:tcW w:w="9212" w:type="dxa"/>
            <w:shd w:val="clear" w:color="auto" w:fill="D9D9D9" w:themeFill="background1" w:themeFillShade="D9"/>
          </w:tcPr>
          <w:p w:rsidR="009F2DFA" w:rsidRPr="005D2010" w:rsidRDefault="002B1108" w:rsidP="007B71A4">
            <w:pPr>
              <w:rPr>
                <w:b/>
                <w:sz w:val="24"/>
              </w:rPr>
            </w:pPr>
            <w:r w:rsidRPr="005D2010">
              <w:rPr>
                <w:b/>
                <w:sz w:val="24"/>
              </w:rPr>
              <w:t>3</w:t>
            </w:r>
            <w:r w:rsidR="009F2DFA" w:rsidRPr="005D2010">
              <w:rPr>
                <w:b/>
                <w:sz w:val="24"/>
              </w:rPr>
              <w:t>.2 Vyhodnotenie konzultácií</w:t>
            </w:r>
          </w:p>
          <w:p w:rsidR="009F2DFA" w:rsidRPr="005D2010" w:rsidRDefault="009F2DFA" w:rsidP="007B71A4">
            <w:pPr>
              <w:rPr>
                <w:b/>
              </w:rPr>
            </w:pPr>
            <w:r w:rsidRPr="005D2010">
              <w:rPr>
                <w:sz w:val="24"/>
              </w:rPr>
              <w:t xml:space="preserve">       - </w:t>
            </w:r>
            <w:r w:rsidRPr="005D2010">
              <w:rPr>
                <w:b/>
                <w:sz w:val="24"/>
              </w:rPr>
              <w:t>z toho MSP</w:t>
            </w:r>
          </w:p>
        </w:tc>
      </w:tr>
      <w:tr w:rsidR="005D2010" w:rsidRPr="005D2010" w:rsidTr="007B71A4">
        <w:trPr>
          <w:trHeight w:val="557"/>
        </w:trPr>
        <w:tc>
          <w:tcPr>
            <w:tcW w:w="9212" w:type="dxa"/>
          </w:tcPr>
          <w:p w:rsidR="009F2DFA" w:rsidRPr="005D2010" w:rsidRDefault="009F2DFA" w:rsidP="00390F94">
            <w:pPr>
              <w:jc w:val="both"/>
              <w:rPr>
                <w:i/>
              </w:rPr>
            </w:pPr>
            <w:r w:rsidRPr="005D2010">
              <w:rPr>
                <w:i/>
              </w:rPr>
              <w:t>Uveďte, akou formou (verejné alebo cielené konzultácie a prečo) a s kým bol návrh konzultovaný.</w:t>
            </w:r>
          </w:p>
          <w:p w:rsidR="009F2DFA" w:rsidRPr="005D2010" w:rsidRDefault="009F2DFA" w:rsidP="00390F94">
            <w:pPr>
              <w:jc w:val="both"/>
              <w:rPr>
                <w:i/>
              </w:rPr>
            </w:pPr>
            <w:r w:rsidRPr="005D2010">
              <w:rPr>
                <w:i/>
              </w:rPr>
              <w:t>Ako dlho trvali konzultácie?</w:t>
            </w:r>
          </w:p>
          <w:p w:rsidR="00C92901" w:rsidRPr="005D2010" w:rsidRDefault="009F2DFA" w:rsidP="00CE5733">
            <w:pPr>
              <w:jc w:val="both"/>
              <w:rPr>
                <w:i/>
              </w:rPr>
            </w:pPr>
            <w:r w:rsidRPr="005D2010">
              <w:rPr>
                <w:i/>
              </w:rPr>
              <w:t>Uveďte hlavné body konzultácií a výsledky konzultácií.</w:t>
            </w:r>
          </w:p>
        </w:tc>
      </w:tr>
      <w:tr w:rsidR="005D2010" w:rsidRPr="005D2010" w:rsidTr="007E0516">
        <w:trPr>
          <w:trHeight w:val="6081"/>
        </w:trPr>
        <w:tc>
          <w:tcPr>
            <w:tcW w:w="9212" w:type="dxa"/>
          </w:tcPr>
          <w:p w:rsidR="00A97915" w:rsidRPr="005D2010" w:rsidRDefault="00736168" w:rsidP="0094580B">
            <w:pPr>
              <w:jc w:val="both"/>
              <w:rPr>
                <w:sz w:val="22"/>
                <w:szCs w:val="22"/>
              </w:rPr>
            </w:pPr>
            <w:r w:rsidRPr="005D2010">
              <w:rPr>
                <w:sz w:val="22"/>
                <w:szCs w:val="22"/>
              </w:rPr>
              <w:lastRenderedPageBreak/>
              <w:t xml:space="preserve">Verejnosť do prípravy </w:t>
            </w:r>
            <w:r w:rsidR="00E84384" w:rsidRPr="005D2010">
              <w:rPr>
                <w:sz w:val="22"/>
                <w:szCs w:val="22"/>
              </w:rPr>
              <w:t xml:space="preserve">návrhu zákona </w:t>
            </w:r>
            <w:r w:rsidR="003A7475" w:rsidRPr="005D2010">
              <w:rPr>
                <w:sz w:val="22"/>
                <w:szCs w:val="22"/>
              </w:rPr>
              <w:t>b</w:t>
            </w:r>
            <w:r w:rsidR="004C2B06" w:rsidRPr="005D2010">
              <w:rPr>
                <w:sz w:val="22"/>
                <w:szCs w:val="22"/>
              </w:rPr>
              <w:t>ola</w:t>
            </w:r>
            <w:r w:rsidR="003A7475" w:rsidRPr="005D2010">
              <w:rPr>
                <w:sz w:val="22"/>
                <w:szCs w:val="22"/>
              </w:rPr>
              <w:t xml:space="preserve"> zapojená</w:t>
            </w:r>
            <w:r w:rsidR="002D1387" w:rsidRPr="005D2010">
              <w:rPr>
                <w:sz w:val="22"/>
                <w:szCs w:val="22"/>
              </w:rPr>
              <w:t xml:space="preserve"> </w:t>
            </w:r>
            <w:r w:rsidRPr="005D2010">
              <w:rPr>
                <w:sz w:val="22"/>
                <w:szCs w:val="22"/>
              </w:rPr>
              <w:t xml:space="preserve">formou </w:t>
            </w:r>
            <w:r w:rsidR="0094580B" w:rsidRPr="005D2010">
              <w:rPr>
                <w:sz w:val="22"/>
                <w:szCs w:val="22"/>
              </w:rPr>
              <w:t xml:space="preserve">možnosti </w:t>
            </w:r>
            <w:r w:rsidRPr="005D2010">
              <w:rPr>
                <w:sz w:val="22"/>
                <w:szCs w:val="22"/>
              </w:rPr>
              <w:t>zasielania podnetov</w:t>
            </w:r>
            <w:r w:rsidR="0094580B" w:rsidRPr="005D2010">
              <w:rPr>
                <w:sz w:val="22"/>
                <w:szCs w:val="22"/>
              </w:rPr>
              <w:t xml:space="preserve">. Predbežná informácia </w:t>
            </w:r>
            <w:r w:rsidR="00A97915" w:rsidRPr="005D2010">
              <w:rPr>
                <w:sz w:val="22"/>
                <w:szCs w:val="22"/>
              </w:rPr>
              <w:t xml:space="preserve">(PI/2020/276) </w:t>
            </w:r>
            <w:r w:rsidR="0094580B" w:rsidRPr="005D2010">
              <w:rPr>
                <w:sz w:val="22"/>
                <w:szCs w:val="22"/>
              </w:rPr>
              <w:t>bola vypracovaná podľa § 9 zákona č. 400/2015 Z. z. o</w:t>
            </w:r>
            <w:r w:rsidR="00E91481" w:rsidRPr="005D2010">
              <w:rPr>
                <w:sz w:val="22"/>
                <w:szCs w:val="22"/>
              </w:rPr>
              <w:t> </w:t>
            </w:r>
            <w:r w:rsidR="0094580B" w:rsidRPr="005D2010">
              <w:rPr>
                <w:sz w:val="22"/>
                <w:szCs w:val="22"/>
              </w:rPr>
              <w:t>tvorbe</w:t>
            </w:r>
            <w:r w:rsidR="00E91481" w:rsidRPr="005D2010">
              <w:rPr>
                <w:sz w:val="22"/>
                <w:szCs w:val="22"/>
              </w:rPr>
              <w:t xml:space="preserve"> </w:t>
            </w:r>
            <w:r w:rsidR="0094580B" w:rsidRPr="005D2010">
              <w:rPr>
                <w:sz w:val="22"/>
                <w:szCs w:val="22"/>
              </w:rPr>
              <w:t>právnych predpisov a o Zbierke zákonov Slovenskej republiky a o zmene a doplnení niektorých zákonov a bola zverejnená na portáli Slov-Lex. M</w:t>
            </w:r>
            <w:r w:rsidR="00587437" w:rsidRPr="005D2010">
              <w:rPr>
                <w:sz w:val="22"/>
                <w:szCs w:val="22"/>
              </w:rPr>
              <w:t>ožnosti zasielania podnetov boli</w:t>
            </w:r>
            <w:r w:rsidR="0094580B" w:rsidRPr="005D2010">
              <w:rPr>
                <w:sz w:val="22"/>
                <w:szCs w:val="22"/>
              </w:rPr>
              <w:t xml:space="preserve"> v období </w:t>
            </w:r>
            <w:r w:rsidR="00A97915" w:rsidRPr="005D2010">
              <w:rPr>
                <w:sz w:val="22"/>
                <w:szCs w:val="22"/>
              </w:rPr>
              <w:t>od 16. decembra 2020 do 1. februára 2021</w:t>
            </w:r>
            <w:r w:rsidR="0094580B" w:rsidRPr="005D2010">
              <w:rPr>
                <w:sz w:val="22"/>
                <w:szCs w:val="22"/>
              </w:rPr>
              <w:t xml:space="preserve">. </w:t>
            </w:r>
            <w:r w:rsidR="00A97915" w:rsidRPr="005D2010">
              <w:rPr>
                <w:sz w:val="22"/>
                <w:szCs w:val="22"/>
              </w:rPr>
              <w:t>O konzultácie požiadal Zväz automobilového priemyslu Slovenskej republiky (konzultácia 2. februára 2021) a združenie ČESMAD Slovakia (konzultácia 4. februára 2021).</w:t>
            </w:r>
          </w:p>
          <w:p w:rsidR="0094580B" w:rsidRPr="005D2010" w:rsidRDefault="00836C43" w:rsidP="0094580B">
            <w:pPr>
              <w:jc w:val="both"/>
              <w:rPr>
                <w:sz w:val="22"/>
                <w:szCs w:val="22"/>
              </w:rPr>
            </w:pPr>
            <w:r w:rsidRPr="005D2010">
              <w:rPr>
                <w:sz w:val="22"/>
                <w:szCs w:val="22"/>
              </w:rPr>
              <w:t xml:space="preserve">Ďalšou formou zapojenia verejnosti bude medzirezortné pripomienkové konanie. </w:t>
            </w:r>
          </w:p>
          <w:p w:rsidR="00DD4179" w:rsidRPr="005D2010" w:rsidRDefault="004C2B06" w:rsidP="00D81C19">
            <w:pPr>
              <w:jc w:val="both"/>
              <w:rPr>
                <w:sz w:val="22"/>
                <w:szCs w:val="22"/>
              </w:rPr>
            </w:pPr>
            <w:r w:rsidRPr="005D2010">
              <w:rPr>
                <w:sz w:val="22"/>
                <w:szCs w:val="22"/>
              </w:rPr>
              <w:t xml:space="preserve">Čiastkovo sa konali priebežne </w:t>
            </w:r>
            <w:r w:rsidR="0094580B" w:rsidRPr="005D2010">
              <w:rPr>
                <w:sz w:val="22"/>
                <w:szCs w:val="22"/>
              </w:rPr>
              <w:t xml:space="preserve">podľa potreby </w:t>
            </w:r>
            <w:r w:rsidRPr="005D2010">
              <w:rPr>
                <w:sz w:val="22"/>
                <w:szCs w:val="22"/>
              </w:rPr>
              <w:t>konzultácie s </w:t>
            </w:r>
          </w:p>
          <w:p w:rsidR="00DD4179" w:rsidRPr="005D2010" w:rsidRDefault="00DD4179" w:rsidP="00DD4179">
            <w:pPr>
              <w:pStyle w:val="Odsekzoznamu"/>
              <w:numPr>
                <w:ilvl w:val="0"/>
                <w:numId w:val="18"/>
              </w:numPr>
              <w:spacing w:after="0" w:line="240" w:lineRule="auto"/>
              <w:ind w:left="284" w:hanging="284"/>
              <w:jc w:val="both"/>
              <w:rPr>
                <w:rFonts w:ascii="Times New Roman" w:hAnsi="Times New Roman"/>
              </w:rPr>
            </w:pPr>
            <w:r w:rsidRPr="005D2010">
              <w:rPr>
                <w:rFonts w:ascii="Times New Roman" w:hAnsi="Times New Roman"/>
              </w:rPr>
              <w:t>technickou službou technickej kontroly</w:t>
            </w:r>
            <w:r w:rsidR="00A97915" w:rsidRPr="005D2010">
              <w:rPr>
                <w:rFonts w:ascii="Times New Roman" w:hAnsi="Times New Roman"/>
              </w:rPr>
              <w:t xml:space="preserve"> spoločnosťou TESTEK a.s.</w:t>
            </w:r>
            <w:r w:rsidRPr="005D2010">
              <w:rPr>
                <w:rFonts w:ascii="Times New Roman" w:hAnsi="Times New Roman"/>
              </w:rPr>
              <w:t>,</w:t>
            </w:r>
          </w:p>
          <w:p w:rsidR="00DD4179" w:rsidRPr="005D2010" w:rsidRDefault="00DD4179" w:rsidP="00DD4179">
            <w:pPr>
              <w:pStyle w:val="Odsekzoznamu"/>
              <w:numPr>
                <w:ilvl w:val="0"/>
                <w:numId w:val="18"/>
              </w:numPr>
              <w:spacing w:after="0" w:line="240" w:lineRule="auto"/>
              <w:ind w:left="284" w:hanging="284"/>
              <w:jc w:val="both"/>
              <w:rPr>
                <w:rFonts w:ascii="Times New Roman" w:hAnsi="Times New Roman"/>
              </w:rPr>
            </w:pPr>
            <w:r w:rsidRPr="005D2010">
              <w:rPr>
                <w:rFonts w:ascii="Times New Roman" w:hAnsi="Times New Roman"/>
              </w:rPr>
              <w:t>technickou službou emisnej kontroly</w:t>
            </w:r>
            <w:r w:rsidR="00A97915" w:rsidRPr="005D2010">
              <w:rPr>
                <w:rFonts w:ascii="Times New Roman" w:hAnsi="Times New Roman"/>
              </w:rPr>
              <w:t xml:space="preserve"> spoločnosťou S-EKA spol. s r.o.</w:t>
            </w:r>
            <w:r w:rsidRPr="005D2010">
              <w:rPr>
                <w:rFonts w:ascii="Times New Roman" w:hAnsi="Times New Roman"/>
              </w:rPr>
              <w:t>,</w:t>
            </w:r>
          </w:p>
          <w:p w:rsidR="00DD4179" w:rsidRPr="005D2010" w:rsidRDefault="00DD4179" w:rsidP="00DD4179">
            <w:pPr>
              <w:pStyle w:val="Odsekzoznamu"/>
              <w:numPr>
                <w:ilvl w:val="0"/>
                <w:numId w:val="18"/>
              </w:numPr>
              <w:spacing w:after="0" w:line="240" w:lineRule="auto"/>
              <w:ind w:left="284" w:hanging="284"/>
              <w:jc w:val="both"/>
              <w:rPr>
                <w:rFonts w:ascii="Times New Roman" w:hAnsi="Times New Roman"/>
              </w:rPr>
            </w:pPr>
            <w:r w:rsidRPr="005D2010">
              <w:rPr>
                <w:rFonts w:ascii="Times New Roman" w:hAnsi="Times New Roman"/>
              </w:rPr>
              <w:t xml:space="preserve">technickou službou kontroly originality </w:t>
            </w:r>
            <w:r w:rsidR="00A97915" w:rsidRPr="005D2010">
              <w:rPr>
                <w:rFonts w:ascii="Times New Roman" w:hAnsi="Times New Roman"/>
              </w:rPr>
              <w:t>spoločnosťou Iris Ident s.r.o.</w:t>
            </w:r>
            <w:r w:rsidRPr="005D2010">
              <w:rPr>
                <w:rFonts w:ascii="Times New Roman" w:hAnsi="Times New Roman"/>
              </w:rPr>
              <w:t>,</w:t>
            </w:r>
          </w:p>
          <w:p w:rsidR="00FA6D1A" w:rsidRPr="005D2010" w:rsidRDefault="00B66E37" w:rsidP="00DD4179">
            <w:pPr>
              <w:pStyle w:val="Odsekzoznamu"/>
              <w:numPr>
                <w:ilvl w:val="0"/>
                <w:numId w:val="18"/>
              </w:numPr>
              <w:spacing w:after="0" w:line="240" w:lineRule="auto"/>
              <w:ind w:left="284" w:hanging="284"/>
              <w:jc w:val="both"/>
              <w:rPr>
                <w:rFonts w:ascii="Times New Roman" w:hAnsi="Times New Roman"/>
              </w:rPr>
            </w:pPr>
            <w:r w:rsidRPr="005D2010">
              <w:rPr>
                <w:rFonts w:ascii="Times New Roman" w:hAnsi="Times New Roman"/>
              </w:rPr>
              <w:t xml:space="preserve">vybranými </w:t>
            </w:r>
            <w:r w:rsidR="00FA6D1A" w:rsidRPr="005D2010">
              <w:rPr>
                <w:rFonts w:ascii="Times New Roman" w:hAnsi="Times New Roman"/>
              </w:rPr>
              <w:t>výrobcami vozidiel a ich zástupcami,</w:t>
            </w:r>
          </w:p>
          <w:p w:rsidR="00B20148" w:rsidRPr="005D2010" w:rsidRDefault="00B20148" w:rsidP="00DD4179">
            <w:pPr>
              <w:pStyle w:val="Odsekzoznamu"/>
              <w:numPr>
                <w:ilvl w:val="0"/>
                <w:numId w:val="18"/>
              </w:numPr>
              <w:spacing w:after="0" w:line="240" w:lineRule="auto"/>
              <w:ind w:left="284" w:hanging="284"/>
              <w:jc w:val="both"/>
              <w:rPr>
                <w:rFonts w:ascii="Times New Roman" w:hAnsi="Times New Roman"/>
              </w:rPr>
            </w:pPr>
            <w:r w:rsidRPr="005D2010">
              <w:rPr>
                <w:rFonts w:ascii="Times New Roman" w:hAnsi="Times New Roman"/>
              </w:rPr>
              <w:t>vybranými oprávnenými osobami technickej kontroly, oprávnenými osobami emisnej kontroly a oprávnenými osobami kontroly originality,</w:t>
            </w:r>
          </w:p>
          <w:p w:rsidR="00FA6D1A" w:rsidRPr="005D2010" w:rsidRDefault="00FA6D1A" w:rsidP="00DD4179">
            <w:pPr>
              <w:pStyle w:val="Odsekzoznamu"/>
              <w:numPr>
                <w:ilvl w:val="0"/>
                <w:numId w:val="18"/>
              </w:numPr>
              <w:spacing w:after="0" w:line="240" w:lineRule="auto"/>
              <w:ind w:left="284" w:hanging="284"/>
              <w:jc w:val="both"/>
              <w:rPr>
                <w:rFonts w:ascii="Times New Roman" w:hAnsi="Times New Roman"/>
              </w:rPr>
            </w:pPr>
            <w:r w:rsidRPr="005D2010">
              <w:rPr>
                <w:rFonts w:ascii="Times New Roman" w:hAnsi="Times New Roman"/>
              </w:rPr>
              <w:t>Národnou asociáciou STK,</w:t>
            </w:r>
          </w:p>
          <w:p w:rsidR="00B20148" w:rsidRPr="005D2010" w:rsidRDefault="00B20148" w:rsidP="00DD4179">
            <w:pPr>
              <w:pStyle w:val="Odsekzoznamu"/>
              <w:numPr>
                <w:ilvl w:val="0"/>
                <w:numId w:val="18"/>
              </w:numPr>
              <w:spacing w:after="0" w:line="240" w:lineRule="auto"/>
              <w:ind w:left="284" w:hanging="284"/>
              <w:jc w:val="both"/>
              <w:rPr>
                <w:rFonts w:ascii="Times New Roman" w:hAnsi="Times New Roman"/>
              </w:rPr>
            </w:pPr>
            <w:r w:rsidRPr="005D2010">
              <w:rPr>
                <w:rFonts w:ascii="Times New Roman" w:hAnsi="Times New Roman"/>
              </w:rPr>
              <w:t>Zväzom automobilového priemyslu Slovenskej republiky,</w:t>
            </w:r>
          </w:p>
          <w:p w:rsidR="00B66E37" w:rsidRPr="005D2010" w:rsidRDefault="00FA6D1A" w:rsidP="00FA6D1A">
            <w:pPr>
              <w:pStyle w:val="Odsekzoznamu"/>
              <w:numPr>
                <w:ilvl w:val="0"/>
                <w:numId w:val="18"/>
              </w:numPr>
              <w:spacing w:after="0" w:line="240" w:lineRule="auto"/>
              <w:ind w:left="284" w:hanging="284"/>
              <w:jc w:val="both"/>
              <w:rPr>
                <w:rFonts w:ascii="Times New Roman" w:hAnsi="Times New Roman"/>
              </w:rPr>
            </w:pPr>
            <w:r w:rsidRPr="005D2010">
              <w:rPr>
                <w:rFonts w:ascii="Times New Roman" w:hAnsi="Times New Roman"/>
              </w:rPr>
              <w:t xml:space="preserve">Cechom predajcov a autoservisov </w:t>
            </w:r>
            <w:r w:rsidR="00B20148" w:rsidRPr="005D2010">
              <w:rPr>
                <w:rFonts w:ascii="Times New Roman" w:hAnsi="Times New Roman"/>
              </w:rPr>
              <w:t>Slovenskej republiky</w:t>
            </w:r>
            <w:r w:rsidR="00B66E37" w:rsidRPr="005D2010">
              <w:rPr>
                <w:rFonts w:ascii="Times New Roman" w:hAnsi="Times New Roman"/>
              </w:rPr>
              <w:t>,</w:t>
            </w:r>
          </w:p>
          <w:p w:rsidR="00B20148" w:rsidRPr="005D2010" w:rsidRDefault="00B20148" w:rsidP="00FA6D1A">
            <w:pPr>
              <w:pStyle w:val="Odsekzoznamu"/>
              <w:numPr>
                <w:ilvl w:val="0"/>
                <w:numId w:val="18"/>
              </w:numPr>
              <w:spacing w:after="0" w:line="240" w:lineRule="auto"/>
              <w:ind w:left="284" w:hanging="284"/>
              <w:jc w:val="both"/>
              <w:rPr>
                <w:rFonts w:ascii="Times New Roman" w:hAnsi="Times New Roman"/>
              </w:rPr>
            </w:pPr>
            <w:r w:rsidRPr="005D2010">
              <w:rPr>
                <w:rFonts w:ascii="Times New Roman" w:hAnsi="Times New Roman"/>
              </w:rPr>
              <w:t>Zväzom autoservisov Slovenskej republiky,</w:t>
            </w:r>
          </w:p>
          <w:p w:rsidR="00B20148" w:rsidRPr="005D2010" w:rsidRDefault="00B20148" w:rsidP="00FA6D1A">
            <w:pPr>
              <w:pStyle w:val="Odsekzoznamu"/>
              <w:numPr>
                <w:ilvl w:val="0"/>
                <w:numId w:val="18"/>
              </w:numPr>
              <w:spacing w:after="0" w:line="240" w:lineRule="auto"/>
              <w:ind w:left="284" w:hanging="284"/>
              <w:jc w:val="both"/>
              <w:rPr>
                <w:rFonts w:ascii="Times New Roman" w:hAnsi="Times New Roman"/>
              </w:rPr>
            </w:pPr>
            <w:r w:rsidRPr="005D2010">
              <w:rPr>
                <w:rFonts w:ascii="Times New Roman" w:hAnsi="Times New Roman"/>
              </w:rPr>
              <w:t>Asociáciou distribútorov koncernu Volkswagen,</w:t>
            </w:r>
          </w:p>
          <w:p w:rsidR="00B20148" w:rsidRPr="005D2010" w:rsidRDefault="00B66E37" w:rsidP="00FA6D1A">
            <w:pPr>
              <w:pStyle w:val="Odsekzoznamu"/>
              <w:numPr>
                <w:ilvl w:val="0"/>
                <w:numId w:val="18"/>
              </w:numPr>
              <w:spacing w:after="0" w:line="240" w:lineRule="auto"/>
              <w:ind w:left="284" w:hanging="284"/>
              <w:jc w:val="both"/>
              <w:rPr>
                <w:rFonts w:ascii="Times New Roman" w:hAnsi="Times New Roman"/>
              </w:rPr>
            </w:pPr>
            <w:r w:rsidRPr="005D2010">
              <w:rPr>
                <w:rFonts w:ascii="Times New Roman" w:hAnsi="Times New Roman"/>
              </w:rPr>
              <w:t>Slovenskou obchodnou inšpekciou</w:t>
            </w:r>
            <w:r w:rsidR="00B20148" w:rsidRPr="005D2010">
              <w:rPr>
                <w:rFonts w:ascii="Times New Roman" w:hAnsi="Times New Roman"/>
              </w:rPr>
              <w:t>,</w:t>
            </w:r>
          </w:p>
          <w:p w:rsidR="00C92901" w:rsidRPr="005D2010" w:rsidRDefault="00B20148" w:rsidP="00B20148">
            <w:pPr>
              <w:pStyle w:val="Odsekzoznamu"/>
              <w:numPr>
                <w:ilvl w:val="0"/>
                <w:numId w:val="18"/>
              </w:numPr>
              <w:spacing w:after="0" w:line="240" w:lineRule="auto"/>
              <w:ind w:left="284" w:hanging="284"/>
              <w:jc w:val="both"/>
              <w:rPr>
                <w:rFonts w:ascii="Times New Roman" w:hAnsi="Times New Roman"/>
              </w:rPr>
            </w:pPr>
            <w:r w:rsidRPr="005D2010">
              <w:rPr>
                <w:rFonts w:ascii="Times New Roman" w:hAnsi="Times New Roman"/>
              </w:rPr>
              <w:t>Ministerstvom hospodárstva Slovenskej republiky, odborom medzinárodných vzťahov v energetike</w:t>
            </w:r>
            <w:r w:rsidR="00FA6D1A" w:rsidRPr="005D2010">
              <w:rPr>
                <w:rFonts w:ascii="Times New Roman" w:hAnsi="Times New Roman"/>
              </w:rPr>
              <w:t>.</w:t>
            </w:r>
          </w:p>
          <w:p w:rsidR="00FA6D1A" w:rsidRPr="005D2010" w:rsidRDefault="00FA6D1A" w:rsidP="00B66E37">
            <w:pPr>
              <w:jc w:val="both"/>
              <w:rPr>
                <w:sz w:val="24"/>
                <w:szCs w:val="24"/>
              </w:rPr>
            </w:pPr>
            <w:r w:rsidRPr="005D2010">
              <w:rPr>
                <w:sz w:val="22"/>
                <w:szCs w:val="22"/>
              </w:rPr>
              <w:t xml:space="preserve">Čiastkové konzultácie splnili svoj účel a cieľ pre vypracovanie </w:t>
            </w:r>
            <w:r w:rsidR="00B66E37" w:rsidRPr="005D2010">
              <w:rPr>
                <w:sz w:val="22"/>
                <w:szCs w:val="22"/>
              </w:rPr>
              <w:t>návrhu zákona</w:t>
            </w:r>
            <w:r w:rsidRPr="005D2010">
              <w:rPr>
                <w:sz w:val="22"/>
                <w:szCs w:val="22"/>
              </w:rPr>
              <w:t>.</w:t>
            </w:r>
          </w:p>
        </w:tc>
      </w:tr>
      <w:tr w:rsidR="005D2010" w:rsidRPr="005D2010" w:rsidTr="007B71A4">
        <w:tc>
          <w:tcPr>
            <w:tcW w:w="9212" w:type="dxa"/>
            <w:shd w:val="clear" w:color="auto" w:fill="D9D9D9" w:themeFill="background1" w:themeFillShade="D9"/>
          </w:tcPr>
          <w:p w:rsidR="009F2DFA" w:rsidRPr="005D2010" w:rsidRDefault="002B1108" w:rsidP="007B71A4">
            <w:pPr>
              <w:rPr>
                <w:b/>
                <w:sz w:val="24"/>
              </w:rPr>
            </w:pPr>
            <w:r w:rsidRPr="005D2010">
              <w:rPr>
                <w:b/>
                <w:sz w:val="24"/>
              </w:rPr>
              <w:t>3</w:t>
            </w:r>
            <w:r w:rsidR="009F2DFA" w:rsidRPr="005D2010">
              <w:rPr>
                <w:b/>
                <w:sz w:val="24"/>
              </w:rPr>
              <w:t>.3 Náklady regulácie</w:t>
            </w:r>
          </w:p>
          <w:p w:rsidR="009F2DFA" w:rsidRPr="005D2010" w:rsidRDefault="009F2DFA" w:rsidP="007B71A4">
            <w:pPr>
              <w:rPr>
                <w:b/>
              </w:rPr>
            </w:pPr>
            <w:r w:rsidRPr="005D2010">
              <w:rPr>
                <w:sz w:val="24"/>
              </w:rPr>
              <w:t xml:space="preserve">      - </w:t>
            </w:r>
            <w:r w:rsidRPr="005D2010">
              <w:rPr>
                <w:b/>
                <w:sz w:val="24"/>
              </w:rPr>
              <w:t>z toho MSP</w:t>
            </w:r>
          </w:p>
        </w:tc>
      </w:tr>
      <w:tr w:rsidR="005D2010" w:rsidRPr="005D2010" w:rsidTr="007B71A4">
        <w:tc>
          <w:tcPr>
            <w:tcW w:w="9212" w:type="dxa"/>
          </w:tcPr>
          <w:p w:rsidR="009F2DFA" w:rsidRPr="005D2010" w:rsidRDefault="002B1108" w:rsidP="007B71A4">
            <w:pPr>
              <w:rPr>
                <w:b/>
                <w:i/>
              </w:rPr>
            </w:pPr>
            <w:r w:rsidRPr="005D2010">
              <w:rPr>
                <w:b/>
                <w:i/>
              </w:rPr>
              <w:t>3</w:t>
            </w:r>
            <w:r w:rsidR="009F2DFA" w:rsidRPr="005D2010">
              <w:rPr>
                <w:b/>
                <w:i/>
              </w:rPr>
              <w:t>.3.1 Priame finančné náklady</w:t>
            </w:r>
          </w:p>
          <w:p w:rsidR="009F2DFA" w:rsidRPr="005D2010" w:rsidRDefault="009F2DFA" w:rsidP="00E91481">
            <w:pPr>
              <w:jc w:val="both"/>
              <w:rPr>
                <w:i/>
              </w:rPr>
            </w:pPr>
            <w:r w:rsidRPr="005D2010">
              <w:rPr>
                <w:i/>
              </w:rPr>
              <w:t>Dochádza k zvýšeniu/zníženiu priamych finančných nákladov (poplatky, odvody, dane clá...)? Ak áno, popíšte a</w:t>
            </w:r>
            <w:r w:rsidR="00E91481" w:rsidRPr="005D2010">
              <w:rPr>
                <w:i/>
              </w:rPr>
              <w:t xml:space="preserve"> vyčíslite </w:t>
            </w:r>
            <w:r w:rsidRPr="005D2010">
              <w:rPr>
                <w:i/>
              </w:rPr>
              <w:t>ich. Uveďte tiež spôsob ich výpočtu</w:t>
            </w:r>
          </w:p>
        </w:tc>
      </w:tr>
      <w:tr w:rsidR="005D2010" w:rsidRPr="005D2010" w:rsidTr="00312D95">
        <w:trPr>
          <w:trHeight w:val="1970"/>
        </w:trPr>
        <w:tc>
          <w:tcPr>
            <w:tcW w:w="9212" w:type="dxa"/>
          </w:tcPr>
          <w:p w:rsidR="00025ECA" w:rsidRPr="005D2010" w:rsidRDefault="00B20148" w:rsidP="007E0516">
            <w:pPr>
              <w:spacing w:before="120"/>
              <w:jc w:val="both"/>
              <w:rPr>
                <w:sz w:val="22"/>
                <w:szCs w:val="22"/>
              </w:rPr>
            </w:pPr>
            <w:r w:rsidRPr="005D2010">
              <w:rPr>
                <w:sz w:val="22"/>
                <w:szCs w:val="22"/>
              </w:rPr>
              <w:t xml:space="preserve">Z dôvodu zrušenia povinnej certifikácie autorizovaných opravovní a nezávislých opravovní na tzv. certifikované miesto opravy dochádza k zrušeniu regulácie a všetkým opravovniam, ktoré sa  uchádzali o túto certifikáciu </w:t>
            </w:r>
            <w:r w:rsidR="008D1836" w:rsidRPr="005D2010">
              <w:rPr>
                <w:sz w:val="22"/>
                <w:szCs w:val="22"/>
              </w:rPr>
              <w:t xml:space="preserve">sa </w:t>
            </w:r>
            <w:r w:rsidRPr="005D2010">
              <w:rPr>
                <w:sz w:val="22"/>
                <w:szCs w:val="22"/>
              </w:rPr>
              <w:t>znížia priame náklady</w:t>
            </w:r>
            <w:r w:rsidR="00025ECA" w:rsidRPr="005D2010">
              <w:rPr>
                <w:sz w:val="22"/>
                <w:szCs w:val="22"/>
              </w:rPr>
              <w:t xml:space="preserve"> na certifikáciu</w:t>
            </w:r>
            <w:r w:rsidRPr="005D2010">
              <w:rPr>
                <w:sz w:val="22"/>
                <w:szCs w:val="22"/>
              </w:rPr>
              <w:t>. Ich výšk</w:t>
            </w:r>
            <w:r w:rsidR="00025ECA" w:rsidRPr="005D2010">
              <w:rPr>
                <w:sz w:val="22"/>
                <w:szCs w:val="22"/>
              </w:rPr>
              <w:t>u</w:t>
            </w:r>
            <w:r w:rsidRPr="005D2010">
              <w:rPr>
                <w:sz w:val="22"/>
                <w:szCs w:val="22"/>
              </w:rPr>
              <w:t xml:space="preserve"> nie je možné odhadnúť, pretože súčasná certifikácia sa </w:t>
            </w:r>
            <w:r w:rsidR="00025ECA" w:rsidRPr="005D2010">
              <w:rPr>
                <w:sz w:val="22"/>
                <w:szCs w:val="22"/>
              </w:rPr>
              <w:t xml:space="preserve">pre autorizované opravovne a nezávislé opravovne </w:t>
            </w:r>
            <w:r w:rsidRPr="005D2010">
              <w:rPr>
                <w:sz w:val="22"/>
                <w:szCs w:val="22"/>
              </w:rPr>
              <w:t xml:space="preserve">prakticky ešte nezačala, keďže </w:t>
            </w:r>
            <w:r w:rsidR="00025ECA" w:rsidRPr="005D2010">
              <w:rPr>
                <w:sz w:val="22"/>
                <w:szCs w:val="22"/>
              </w:rPr>
              <w:t xml:space="preserve">platilo prechodné obdobie do konca roka 2021 a až </w:t>
            </w:r>
            <w:r w:rsidRPr="005D2010">
              <w:rPr>
                <w:sz w:val="22"/>
                <w:szCs w:val="22"/>
              </w:rPr>
              <w:t>od 1. januára 2022</w:t>
            </w:r>
            <w:r w:rsidR="00025ECA" w:rsidRPr="005D2010">
              <w:rPr>
                <w:sz w:val="22"/>
                <w:szCs w:val="22"/>
              </w:rPr>
              <w:t xml:space="preserve"> sa mali všetky opravy vozidiel po ťažkých dopravných nehodách opravovať v certifikovaných autorizovaných opravovniach a nezávislých opravovniach. Pri nákladoch súvisiacich s povinnou certifikáciou by išlo o hypotetické náklady a zrušením tejto povinnej certifikácie by išlo o zníženie hypotetických nákladov, ku ktorým v súčasnosti ešte nedošlo.</w:t>
            </w:r>
          </w:p>
          <w:p w:rsidR="00B20148" w:rsidRPr="005D2010" w:rsidRDefault="00B20148" w:rsidP="007E0516">
            <w:pPr>
              <w:spacing w:before="120"/>
              <w:jc w:val="both"/>
              <w:rPr>
                <w:sz w:val="22"/>
                <w:szCs w:val="22"/>
              </w:rPr>
            </w:pPr>
            <w:r w:rsidRPr="005D2010">
              <w:rPr>
                <w:sz w:val="22"/>
                <w:szCs w:val="22"/>
              </w:rPr>
              <w:t>Návrhom zákona sa súčasne ruší obmedzenie platnosti osvedčenia o evidencii časti I, ktoré už nebude obmedzené na 10 rokov, ale bude mať neobmedzenú platnosť. Z tohto dôvodu pri vý</w:t>
            </w:r>
            <w:r w:rsidR="00CA6865" w:rsidRPr="005D2010">
              <w:rPr>
                <w:sz w:val="22"/>
                <w:szCs w:val="22"/>
              </w:rPr>
              <w:t>mene osvedčenia o evidencii časti I z dôvodu ukončenia platnosti tohto dokladu nebudú vznikať náklady vo výške 6 eur (správny poplatok) potrebn</w:t>
            </w:r>
            <w:r w:rsidR="008D1836" w:rsidRPr="005D2010">
              <w:rPr>
                <w:sz w:val="22"/>
                <w:szCs w:val="22"/>
              </w:rPr>
              <w:t>é</w:t>
            </w:r>
            <w:r w:rsidR="00CA6865" w:rsidRPr="005D2010">
              <w:rPr>
                <w:sz w:val="22"/>
                <w:szCs w:val="22"/>
              </w:rPr>
              <w:t xml:space="preserve"> za výmenu tohto dokladu. Úspora týchto nákladov na jedného podnikateľa a tiež na celé podnikateľské prostredie sa nedá odhadnúť, keďže k týmto nákladom by prišlo v budúcnosti a týkalo by sa iba prevádzkovateľov vozidiel a nie všetkých podnikateľov.</w:t>
            </w:r>
          </w:p>
          <w:p w:rsidR="007E0516" w:rsidRPr="005D2010" w:rsidRDefault="007E0516" w:rsidP="007E0516">
            <w:pPr>
              <w:spacing w:before="120"/>
              <w:jc w:val="both"/>
              <w:rPr>
                <w:sz w:val="22"/>
                <w:szCs w:val="22"/>
              </w:rPr>
            </w:pPr>
            <w:r w:rsidRPr="005D2010">
              <w:rPr>
                <w:sz w:val="22"/>
                <w:szCs w:val="22"/>
              </w:rPr>
              <w:t>Návrhom zákona sa zabezpečuje vykonávanie dvoch európskych nariadení v Slovenskej republike (nariadenia o všeobecnej bezpečnosti vozidiel a nariadenie o označovaní pneumatík), ktoré vytvorí zvýšené náklady pre výrobcov vozidiel a výrobcov pneumatík, ale tieto náklady vyplývajú priamo z týchto európskych nariadení, ale nevyplývajú z tejto novely zákona, kde sa vykonáva len nevyhnutná novelizácia so stanovením, že ide o regulačný akt v súvislosti so schvaľovaním vozidiel a so zabezpečením vykonávania dohľadu nad trhom v súvislosti s označovaním pneumatík. Z tohto dôvodu Ministerstvo dopravy a výstavby Slovenskej republiky má za to, že táto nevyhnutná novelizácia nemá žiadny dopad na podnikateľské prostredie.</w:t>
            </w:r>
          </w:p>
          <w:p w:rsidR="00D716BA" w:rsidRPr="005D2010" w:rsidRDefault="00D716BA" w:rsidP="00D716BA">
            <w:pPr>
              <w:spacing w:before="120"/>
              <w:jc w:val="both"/>
              <w:rPr>
                <w:sz w:val="22"/>
                <w:szCs w:val="22"/>
              </w:rPr>
            </w:pPr>
            <w:r w:rsidRPr="005D2010">
              <w:rPr>
                <w:sz w:val="22"/>
                <w:szCs w:val="22"/>
              </w:rPr>
              <w:t xml:space="preserve">Návrh zákona rozširuje medzi osoby povinne prispievajúce do registra prevádzkových nákladov aj </w:t>
            </w:r>
            <w:r w:rsidRPr="005D2010">
              <w:rPr>
                <w:sz w:val="22"/>
                <w:szCs w:val="22"/>
              </w:rPr>
              <w:lastRenderedPageBreak/>
              <w:t>osoby prevádzkujúce webové sídlo s ponukami na predaj a kúpu cestných motorových vozidiel, ktorých na Slovensku odhadujeme približne 10 spoločností. Pre tieto osoby vzniknú len jednorazové náklady na integráciu webových služieb registra prevádzkových záznamov vozidiel do produkčných informačných systémov prevádzkovateľov webových sídiel s ponukami na predaj a kúpu cestných motorových vozidiel v rozsahu približne 5 č/h. Priemerná hrubá hodinová mzda IT programátora (12 eur</w:t>
            </w:r>
            <w:r w:rsidR="00312D95" w:rsidRPr="005D2010">
              <w:rPr>
                <w:sz w:val="22"/>
                <w:szCs w:val="22"/>
              </w:rPr>
              <w:t>) (5*12) výsledok 60</w:t>
            </w:r>
            <w:r w:rsidRPr="005D2010">
              <w:rPr>
                <w:sz w:val="22"/>
                <w:szCs w:val="22"/>
              </w:rPr>
              <w:t xml:space="preserve"> eur/podnikateľ jednorazovo.</w:t>
            </w:r>
            <w:r w:rsidR="00312D95" w:rsidRPr="005D2010">
              <w:rPr>
                <w:sz w:val="22"/>
                <w:szCs w:val="22"/>
              </w:rPr>
              <w:t xml:space="preserve"> Na celé podnikateľské prostredie predpokladáme náklady vo výške 600 eur.</w:t>
            </w:r>
          </w:p>
        </w:tc>
      </w:tr>
      <w:tr w:rsidR="005D2010" w:rsidRPr="005D2010" w:rsidTr="007B71A4">
        <w:tc>
          <w:tcPr>
            <w:tcW w:w="9212" w:type="dxa"/>
          </w:tcPr>
          <w:p w:rsidR="009F2DFA" w:rsidRPr="005D2010" w:rsidRDefault="002B1108" w:rsidP="007B71A4">
            <w:pPr>
              <w:rPr>
                <w:b/>
                <w:i/>
              </w:rPr>
            </w:pPr>
            <w:r w:rsidRPr="005D2010">
              <w:rPr>
                <w:b/>
                <w:i/>
              </w:rPr>
              <w:lastRenderedPageBreak/>
              <w:t>3</w:t>
            </w:r>
            <w:r w:rsidR="009F2DFA" w:rsidRPr="005D2010">
              <w:rPr>
                <w:b/>
                <w:i/>
              </w:rPr>
              <w:t>.3.2 Nepriame finančné náklady</w:t>
            </w:r>
          </w:p>
          <w:p w:rsidR="007E121A" w:rsidRPr="005D2010" w:rsidRDefault="009F2DFA" w:rsidP="00587437">
            <w:pPr>
              <w:jc w:val="both"/>
              <w:rPr>
                <w:i/>
              </w:rPr>
            </w:pPr>
            <w:r w:rsidRPr="005D2010">
              <w:rPr>
                <w:i/>
              </w:rPr>
              <w:t xml:space="preserve">Vyžaduje si predkladaný návrh dodatočné náklady na nákup tovarov alebo služieb? </w:t>
            </w:r>
            <w:r w:rsidR="00B31A8E" w:rsidRPr="005D2010">
              <w:rPr>
                <w:i/>
              </w:rPr>
              <w:t xml:space="preserve">Zvyšuje predkladaný návrh náklady súvisiace so zamestnávaním? </w:t>
            </w:r>
            <w:r w:rsidRPr="005D2010">
              <w:rPr>
                <w:i/>
              </w:rPr>
              <w:t>Ak áno, popíšte a vyčíslite ich. Uveďte tiež spôsob ich výpočtu.</w:t>
            </w:r>
          </w:p>
        </w:tc>
      </w:tr>
      <w:tr w:rsidR="005D2010" w:rsidRPr="005D2010" w:rsidTr="00CA6865">
        <w:trPr>
          <w:trHeight w:val="723"/>
        </w:trPr>
        <w:tc>
          <w:tcPr>
            <w:tcW w:w="9212" w:type="dxa"/>
          </w:tcPr>
          <w:p w:rsidR="009F2DFA" w:rsidRPr="005D2010" w:rsidRDefault="00B66E37" w:rsidP="003500CE">
            <w:pPr>
              <w:jc w:val="both"/>
              <w:rPr>
                <w:sz w:val="24"/>
                <w:szCs w:val="24"/>
              </w:rPr>
            </w:pPr>
            <w:r w:rsidRPr="005D2010">
              <w:rPr>
                <w:sz w:val="22"/>
                <w:szCs w:val="22"/>
              </w:rPr>
              <w:t>V súvislosti s návrhom zákona nedochádza k nepriamym finančným nákladom regulácie.</w:t>
            </w:r>
          </w:p>
        </w:tc>
      </w:tr>
      <w:tr w:rsidR="005D2010" w:rsidRPr="005D2010" w:rsidTr="007B71A4">
        <w:tc>
          <w:tcPr>
            <w:tcW w:w="9212" w:type="dxa"/>
          </w:tcPr>
          <w:p w:rsidR="009F2DFA" w:rsidRPr="005D2010" w:rsidRDefault="002B1108" w:rsidP="007B71A4">
            <w:pPr>
              <w:rPr>
                <w:b/>
                <w:i/>
              </w:rPr>
            </w:pPr>
            <w:r w:rsidRPr="005D2010">
              <w:rPr>
                <w:b/>
                <w:i/>
              </w:rPr>
              <w:t>3</w:t>
            </w:r>
            <w:r w:rsidR="009F2DFA" w:rsidRPr="005D2010">
              <w:rPr>
                <w:b/>
                <w:i/>
              </w:rPr>
              <w:t>.3.3 Administratívne náklady</w:t>
            </w:r>
          </w:p>
          <w:p w:rsidR="007E121A" w:rsidRPr="005D2010" w:rsidRDefault="009F2DFA" w:rsidP="00CE5733">
            <w:pPr>
              <w:jc w:val="both"/>
              <w:rPr>
                <w:i/>
              </w:rPr>
            </w:pPr>
            <w:r w:rsidRPr="005D2010">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5D2010" w:rsidRPr="005D2010" w:rsidTr="00453BDA">
        <w:trPr>
          <w:trHeight w:val="3449"/>
        </w:trPr>
        <w:tc>
          <w:tcPr>
            <w:tcW w:w="9212" w:type="dxa"/>
          </w:tcPr>
          <w:p w:rsidR="00312D95" w:rsidRPr="005D2010" w:rsidRDefault="00D716BA" w:rsidP="00312D95">
            <w:pPr>
              <w:spacing w:before="120"/>
              <w:jc w:val="both"/>
              <w:rPr>
                <w:sz w:val="22"/>
                <w:szCs w:val="22"/>
              </w:rPr>
            </w:pPr>
            <w:r w:rsidRPr="005D2010">
              <w:rPr>
                <w:sz w:val="22"/>
                <w:szCs w:val="22"/>
              </w:rPr>
              <w:t xml:space="preserve">Návrh zákona rozširuje medzi osoby povinne prispievajúce do registra prevádzkových nákladov aj osoby vykonávajúce nastavovanie alebo iné zásahy v rámci softvéru riadiacej jednotky motorového vozidla, ktorých odhadujeme na Slovensku približne 32 spoločností. Pre tieto osoby vzniknú zvýšené administratívne náklady súvisiace s tým, aby zapísali údaje do registra prevádzkových záznamov. Administratívne náklady na jedného podnikateľa odhadujeme vo výške </w:t>
            </w:r>
            <w:r w:rsidR="00312D95" w:rsidRPr="005D2010">
              <w:rPr>
                <w:sz w:val="22"/>
                <w:szCs w:val="22"/>
              </w:rPr>
              <w:t>6,83</w:t>
            </w:r>
            <w:r w:rsidRPr="005D2010">
              <w:rPr>
                <w:sz w:val="22"/>
                <w:szCs w:val="22"/>
              </w:rPr>
              <w:t xml:space="preserve"> eur a na celé podnikateľské prostredie 2</w:t>
            </w:r>
            <w:r w:rsidR="00312D95" w:rsidRPr="005D2010">
              <w:rPr>
                <w:sz w:val="22"/>
                <w:szCs w:val="22"/>
              </w:rPr>
              <w:t>18</w:t>
            </w:r>
            <w:r w:rsidRPr="005D2010">
              <w:rPr>
                <w:sz w:val="22"/>
                <w:szCs w:val="22"/>
              </w:rPr>
              <w:t>,</w:t>
            </w:r>
            <w:r w:rsidR="00312D95" w:rsidRPr="005D2010">
              <w:rPr>
                <w:sz w:val="22"/>
                <w:szCs w:val="22"/>
              </w:rPr>
              <w:t>56</w:t>
            </w:r>
            <w:r w:rsidRPr="005D2010">
              <w:rPr>
                <w:sz w:val="22"/>
                <w:szCs w:val="22"/>
              </w:rPr>
              <w:t xml:space="preserve"> eur. </w:t>
            </w:r>
          </w:p>
          <w:p w:rsidR="00312D95" w:rsidRPr="005D2010" w:rsidRDefault="00312D95" w:rsidP="00312D95">
            <w:pPr>
              <w:spacing w:before="120"/>
              <w:jc w:val="both"/>
              <w:rPr>
                <w:i/>
                <w:iCs/>
                <w:sz w:val="24"/>
                <w:szCs w:val="24"/>
              </w:rPr>
            </w:pPr>
            <w:r w:rsidRPr="005D2010">
              <w:rPr>
                <w:sz w:val="22"/>
                <w:szCs w:val="22"/>
              </w:rPr>
              <w:t>Návrh zákona zavádza pre držiteľov povolenia na zriadenie stanice technickej kontroly, pracoviska emisnej kontroly alebo pracoviska kontroly originality, že bude povinný do 18 mesiacov preukázať schvaľovaciemu orgánu, že má právoplatné stavebné povolenie na stavbu. V súvislosti s tým vzniknú držiteľovi povolenia administratívne náklady vo výške 3,41 eur. Nových držiteľov povolení sa odhaduje 30, čo predstavuje náklady na celé podnikateľské prostredie vo výške 102,3 eur.</w:t>
            </w:r>
          </w:p>
        </w:tc>
      </w:tr>
      <w:tr w:rsidR="005D2010" w:rsidRPr="005D2010" w:rsidTr="007B71A4">
        <w:trPr>
          <w:trHeight w:val="2318"/>
        </w:trPr>
        <w:tc>
          <w:tcPr>
            <w:tcW w:w="9212" w:type="dxa"/>
          </w:tcPr>
          <w:p w:rsidR="009F2DFA" w:rsidRPr="005D2010" w:rsidRDefault="002B1108" w:rsidP="00966E7B">
            <w:pPr>
              <w:jc w:val="both"/>
              <w:rPr>
                <w:i/>
              </w:rPr>
            </w:pPr>
            <w:r w:rsidRPr="005D2010">
              <w:rPr>
                <w:b/>
                <w:i/>
              </w:rPr>
              <w:t>3</w:t>
            </w:r>
            <w:r w:rsidR="009F2DFA" w:rsidRPr="005D2010">
              <w:rPr>
                <w:b/>
                <w:i/>
              </w:rPr>
              <w:t>.3.4 Súhrnná tabuľka nákladov regulácie</w:t>
            </w:r>
          </w:p>
          <w:p w:rsidR="000713C7" w:rsidRPr="005D2010" w:rsidRDefault="000713C7" w:rsidP="000713C7">
            <w:pPr>
              <w:rPr>
                <w:i/>
              </w:rPr>
            </w:pPr>
          </w:p>
          <w:tbl>
            <w:tblPr>
              <w:tblStyle w:val="Mriekatabuky"/>
              <w:tblW w:w="0" w:type="auto"/>
              <w:tblLook w:val="04A0" w:firstRow="1" w:lastRow="0" w:firstColumn="1" w:lastColumn="0" w:noHBand="0" w:noVBand="1"/>
            </w:tblPr>
            <w:tblGrid>
              <w:gridCol w:w="2949"/>
              <w:gridCol w:w="2941"/>
              <w:gridCol w:w="2946"/>
            </w:tblGrid>
            <w:tr w:rsidR="005D2010" w:rsidRPr="005D2010" w:rsidTr="003500CE">
              <w:tc>
                <w:tcPr>
                  <w:tcW w:w="2949" w:type="dxa"/>
                  <w:tcBorders>
                    <w:top w:val="single" w:sz="4" w:space="0" w:color="auto"/>
                    <w:left w:val="single" w:sz="4" w:space="0" w:color="auto"/>
                    <w:bottom w:val="single" w:sz="4" w:space="0" w:color="auto"/>
                    <w:right w:val="single" w:sz="4" w:space="0" w:color="auto"/>
                  </w:tcBorders>
                </w:tcPr>
                <w:p w:rsidR="000713C7" w:rsidRPr="005D2010" w:rsidRDefault="000713C7" w:rsidP="00863B0B">
                  <w:pPr>
                    <w:rPr>
                      <w:i/>
                    </w:rPr>
                  </w:pPr>
                </w:p>
              </w:tc>
              <w:tc>
                <w:tcPr>
                  <w:tcW w:w="2941" w:type="dxa"/>
                  <w:tcBorders>
                    <w:top w:val="single" w:sz="4" w:space="0" w:color="auto"/>
                    <w:left w:val="single" w:sz="4" w:space="0" w:color="auto"/>
                    <w:bottom w:val="single" w:sz="4" w:space="0" w:color="auto"/>
                    <w:right w:val="single" w:sz="4" w:space="0" w:color="auto"/>
                  </w:tcBorders>
                </w:tcPr>
                <w:p w:rsidR="000713C7" w:rsidRPr="005D2010" w:rsidRDefault="000713C7" w:rsidP="00863B0B">
                  <w:pPr>
                    <w:jc w:val="center"/>
                    <w:rPr>
                      <w:i/>
                    </w:rPr>
                  </w:pPr>
                  <w:r w:rsidRPr="005D2010">
                    <w:rPr>
                      <w:i/>
                    </w:rPr>
                    <w:t>Náklady na 1 podnikateľa</w:t>
                  </w:r>
                </w:p>
              </w:tc>
              <w:tc>
                <w:tcPr>
                  <w:tcW w:w="2946" w:type="dxa"/>
                  <w:tcBorders>
                    <w:top w:val="single" w:sz="4" w:space="0" w:color="auto"/>
                    <w:left w:val="single" w:sz="4" w:space="0" w:color="auto"/>
                    <w:bottom w:val="single" w:sz="4" w:space="0" w:color="auto"/>
                    <w:right w:val="single" w:sz="4" w:space="0" w:color="auto"/>
                  </w:tcBorders>
                </w:tcPr>
                <w:p w:rsidR="000713C7" w:rsidRPr="005D2010" w:rsidRDefault="000713C7" w:rsidP="00863B0B">
                  <w:pPr>
                    <w:jc w:val="center"/>
                    <w:rPr>
                      <w:i/>
                    </w:rPr>
                  </w:pPr>
                  <w:r w:rsidRPr="005D2010">
                    <w:rPr>
                      <w:i/>
                    </w:rPr>
                    <w:t>Náklady na celé podnikateľské prostredie</w:t>
                  </w:r>
                </w:p>
              </w:tc>
            </w:tr>
            <w:tr w:rsidR="005D2010" w:rsidRPr="005D2010" w:rsidTr="003500CE">
              <w:tc>
                <w:tcPr>
                  <w:tcW w:w="2949" w:type="dxa"/>
                  <w:tcBorders>
                    <w:top w:val="single" w:sz="4" w:space="0" w:color="auto"/>
                    <w:left w:val="single" w:sz="4" w:space="0" w:color="auto"/>
                    <w:bottom w:val="single" w:sz="4" w:space="0" w:color="auto"/>
                    <w:right w:val="single" w:sz="4" w:space="0" w:color="auto"/>
                  </w:tcBorders>
                </w:tcPr>
                <w:p w:rsidR="000713C7" w:rsidRPr="005D2010" w:rsidRDefault="000713C7" w:rsidP="00863B0B">
                  <w:pPr>
                    <w:jc w:val="both"/>
                    <w:rPr>
                      <w:i/>
                    </w:rPr>
                  </w:pPr>
                  <w:r w:rsidRPr="005D2010">
                    <w:rPr>
                      <w:i/>
                    </w:rPr>
                    <w:t>Priame finančné náklady</w:t>
                  </w:r>
                </w:p>
              </w:tc>
              <w:tc>
                <w:tcPr>
                  <w:tcW w:w="2941" w:type="dxa"/>
                  <w:tcBorders>
                    <w:top w:val="single" w:sz="4" w:space="0" w:color="auto"/>
                    <w:left w:val="single" w:sz="4" w:space="0" w:color="auto"/>
                    <w:bottom w:val="single" w:sz="4" w:space="0" w:color="auto"/>
                    <w:right w:val="single" w:sz="4" w:space="0" w:color="auto"/>
                  </w:tcBorders>
                </w:tcPr>
                <w:p w:rsidR="000713C7" w:rsidRPr="005D2010" w:rsidRDefault="00312D95" w:rsidP="00863B0B">
                  <w:pPr>
                    <w:jc w:val="center"/>
                    <w:rPr>
                      <w:i/>
                    </w:rPr>
                  </w:pPr>
                  <w:r w:rsidRPr="005D2010">
                    <w:rPr>
                      <w:i/>
                    </w:rPr>
                    <w:t>60 eur</w:t>
                  </w:r>
                </w:p>
              </w:tc>
              <w:tc>
                <w:tcPr>
                  <w:tcW w:w="2946" w:type="dxa"/>
                  <w:tcBorders>
                    <w:top w:val="single" w:sz="4" w:space="0" w:color="auto"/>
                    <w:left w:val="single" w:sz="4" w:space="0" w:color="auto"/>
                    <w:bottom w:val="single" w:sz="4" w:space="0" w:color="auto"/>
                    <w:right w:val="single" w:sz="4" w:space="0" w:color="auto"/>
                  </w:tcBorders>
                </w:tcPr>
                <w:p w:rsidR="000713C7" w:rsidRPr="005D2010" w:rsidRDefault="00312D95" w:rsidP="00863B0B">
                  <w:pPr>
                    <w:jc w:val="center"/>
                    <w:rPr>
                      <w:i/>
                    </w:rPr>
                  </w:pPr>
                  <w:r w:rsidRPr="005D2010">
                    <w:rPr>
                      <w:i/>
                    </w:rPr>
                    <w:t>600 eur</w:t>
                  </w:r>
                </w:p>
              </w:tc>
            </w:tr>
            <w:tr w:rsidR="005D2010" w:rsidRPr="005D2010" w:rsidTr="003500CE">
              <w:tc>
                <w:tcPr>
                  <w:tcW w:w="2949" w:type="dxa"/>
                  <w:tcBorders>
                    <w:top w:val="single" w:sz="4" w:space="0" w:color="auto"/>
                    <w:left w:val="single" w:sz="4" w:space="0" w:color="auto"/>
                    <w:bottom w:val="single" w:sz="4" w:space="0" w:color="auto"/>
                    <w:right w:val="single" w:sz="4" w:space="0" w:color="auto"/>
                  </w:tcBorders>
                </w:tcPr>
                <w:p w:rsidR="000713C7" w:rsidRPr="005D2010" w:rsidRDefault="000713C7" w:rsidP="003500CE">
                  <w:pPr>
                    <w:jc w:val="both"/>
                    <w:rPr>
                      <w:i/>
                    </w:rPr>
                  </w:pPr>
                  <w:r w:rsidRPr="005D2010">
                    <w:rPr>
                      <w:i/>
                    </w:rPr>
                    <w:t xml:space="preserve">Nepriame finančné náklady </w:t>
                  </w:r>
                </w:p>
              </w:tc>
              <w:tc>
                <w:tcPr>
                  <w:tcW w:w="2941" w:type="dxa"/>
                  <w:tcBorders>
                    <w:top w:val="single" w:sz="4" w:space="0" w:color="auto"/>
                    <w:left w:val="single" w:sz="4" w:space="0" w:color="auto"/>
                    <w:bottom w:val="single" w:sz="4" w:space="0" w:color="auto"/>
                    <w:right w:val="single" w:sz="4" w:space="0" w:color="auto"/>
                  </w:tcBorders>
                </w:tcPr>
                <w:p w:rsidR="000713C7" w:rsidRPr="005D2010" w:rsidRDefault="000713C7" w:rsidP="00863B0B">
                  <w:pPr>
                    <w:jc w:val="center"/>
                    <w:rPr>
                      <w:i/>
                    </w:rPr>
                  </w:pPr>
                </w:p>
              </w:tc>
              <w:tc>
                <w:tcPr>
                  <w:tcW w:w="2946" w:type="dxa"/>
                  <w:tcBorders>
                    <w:top w:val="single" w:sz="4" w:space="0" w:color="auto"/>
                    <w:left w:val="single" w:sz="4" w:space="0" w:color="auto"/>
                    <w:bottom w:val="single" w:sz="4" w:space="0" w:color="auto"/>
                    <w:right w:val="single" w:sz="4" w:space="0" w:color="auto"/>
                  </w:tcBorders>
                </w:tcPr>
                <w:p w:rsidR="000713C7" w:rsidRPr="005D2010" w:rsidRDefault="000713C7" w:rsidP="00863B0B">
                  <w:pPr>
                    <w:jc w:val="center"/>
                    <w:rPr>
                      <w:i/>
                    </w:rPr>
                  </w:pPr>
                </w:p>
              </w:tc>
            </w:tr>
            <w:tr w:rsidR="005D2010" w:rsidRPr="005D2010" w:rsidTr="003500CE">
              <w:tc>
                <w:tcPr>
                  <w:tcW w:w="2949" w:type="dxa"/>
                  <w:tcBorders>
                    <w:top w:val="single" w:sz="4" w:space="0" w:color="auto"/>
                    <w:left w:val="single" w:sz="4" w:space="0" w:color="auto"/>
                    <w:bottom w:val="single" w:sz="4" w:space="0" w:color="auto"/>
                    <w:right w:val="single" w:sz="4" w:space="0" w:color="auto"/>
                  </w:tcBorders>
                </w:tcPr>
                <w:p w:rsidR="000713C7" w:rsidRPr="005D2010" w:rsidRDefault="000713C7" w:rsidP="00863B0B">
                  <w:pPr>
                    <w:jc w:val="both"/>
                    <w:rPr>
                      <w:i/>
                    </w:rPr>
                  </w:pPr>
                  <w:r w:rsidRPr="005D2010">
                    <w:rPr>
                      <w:i/>
                    </w:rPr>
                    <w:t>Administratívne náklady</w:t>
                  </w:r>
                </w:p>
              </w:tc>
              <w:tc>
                <w:tcPr>
                  <w:tcW w:w="2941" w:type="dxa"/>
                  <w:tcBorders>
                    <w:top w:val="single" w:sz="4" w:space="0" w:color="auto"/>
                    <w:left w:val="single" w:sz="4" w:space="0" w:color="auto"/>
                    <w:bottom w:val="single" w:sz="4" w:space="0" w:color="auto"/>
                    <w:right w:val="single" w:sz="4" w:space="0" w:color="auto"/>
                  </w:tcBorders>
                </w:tcPr>
                <w:p w:rsidR="000713C7" w:rsidRPr="005D2010" w:rsidRDefault="00312D95" w:rsidP="00863B0B">
                  <w:pPr>
                    <w:jc w:val="center"/>
                    <w:rPr>
                      <w:i/>
                    </w:rPr>
                  </w:pPr>
                  <w:r w:rsidRPr="005D2010">
                    <w:rPr>
                      <w:i/>
                    </w:rPr>
                    <w:t>10,24</w:t>
                  </w:r>
                </w:p>
              </w:tc>
              <w:tc>
                <w:tcPr>
                  <w:tcW w:w="2946" w:type="dxa"/>
                  <w:tcBorders>
                    <w:top w:val="single" w:sz="4" w:space="0" w:color="auto"/>
                    <w:left w:val="single" w:sz="4" w:space="0" w:color="auto"/>
                    <w:bottom w:val="single" w:sz="4" w:space="0" w:color="auto"/>
                    <w:right w:val="single" w:sz="4" w:space="0" w:color="auto"/>
                  </w:tcBorders>
                </w:tcPr>
                <w:p w:rsidR="000713C7" w:rsidRPr="005D2010" w:rsidRDefault="00312D95" w:rsidP="00863B0B">
                  <w:pPr>
                    <w:jc w:val="center"/>
                    <w:rPr>
                      <w:i/>
                    </w:rPr>
                  </w:pPr>
                  <w:r w:rsidRPr="005D2010">
                    <w:rPr>
                      <w:i/>
                    </w:rPr>
                    <w:t>320,86</w:t>
                  </w:r>
                </w:p>
              </w:tc>
            </w:tr>
            <w:tr w:rsidR="005D2010" w:rsidRPr="005D2010" w:rsidTr="003500CE">
              <w:tc>
                <w:tcPr>
                  <w:tcW w:w="2949" w:type="dxa"/>
                  <w:tcBorders>
                    <w:top w:val="single" w:sz="4" w:space="0" w:color="auto"/>
                    <w:left w:val="single" w:sz="4" w:space="0" w:color="auto"/>
                    <w:bottom w:val="single" w:sz="4" w:space="0" w:color="auto"/>
                    <w:right w:val="single" w:sz="4" w:space="0" w:color="auto"/>
                  </w:tcBorders>
                </w:tcPr>
                <w:p w:rsidR="000713C7" w:rsidRPr="005D2010" w:rsidRDefault="000713C7" w:rsidP="00863B0B">
                  <w:pPr>
                    <w:jc w:val="both"/>
                    <w:rPr>
                      <w:b/>
                      <w:i/>
                    </w:rPr>
                  </w:pPr>
                  <w:r w:rsidRPr="005D2010">
                    <w:rPr>
                      <w:b/>
                      <w:i/>
                    </w:rPr>
                    <w:t>Celkové náklady regulácie</w:t>
                  </w:r>
                </w:p>
              </w:tc>
              <w:tc>
                <w:tcPr>
                  <w:tcW w:w="2941" w:type="dxa"/>
                  <w:tcBorders>
                    <w:top w:val="single" w:sz="4" w:space="0" w:color="auto"/>
                    <w:left w:val="single" w:sz="4" w:space="0" w:color="auto"/>
                    <w:bottom w:val="single" w:sz="4" w:space="0" w:color="auto"/>
                    <w:right w:val="single" w:sz="4" w:space="0" w:color="auto"/>
                  </w:tcBorders>
                </w:tcPr>
                <w:p w:rsidR="000713C7" w:rsidRPr="005D2010" w:rsidRDefault="00312D95" w:rsidP="00863B0B">
                  <w:pPr>
                    <w:jc w:val="center"/>
                    <w:rPr>
                      <w:b/>
                      <w:i/>
                    </w:rPr>
                  </w:pPr>
                  <w:r w:rsidRPr="005D2010">
                    <w:rPr>
                      <w:b/>
                      <w:i/>
                    </w:rPr>
                    <w:t>70,24</w:t>
                  </w:r>
                </w:p>
              </w:tc>
              <w:tc>
                <w:tcPr>
                  <w:tcW w:w="2946" w:type="dxa"/>
                  <w:tcBorders>
                    <w:top w:val="single" w:sz="4" w:space="0" w:color="auto"/>
                    <w:left w:val="single" w:sz="4" w:space="0" w:color="auto"/>
                    <w:bottom w:val="single" w:sz="4" w:space="0" w:color="auto"/>
                    <w:right w:val="single" w:sz="4" w:space="0" w:color="auto"/>
                  </w:tcBorders>
                </w:tcPr>
                <w:p w:rsidR="000713C7" w:rsidRPr="005D2010" w:rsidRDefault="00453BDA" w:rsidP="003500CE">
                  <w:pPr>
                    <w:jc w:val="center"/>
                    <w:rPr>
                      <w:b/>
                      <w:i/>
                    </w:rPr>
                  </w:pPr>
                  <w:r w:rsidRPr="005D2010">
                    <w:rPr>
                      <w:b/>
                      <w:i/>
                    </w:rPr>
                    <w:t>920,86</w:t>
                  </w:r>
                </w:p>
              </w:tc>
            </w:tr>
          </w:tbl>
          <w:p w:rsidR="009F2DFA" w:rsidRPr="005D2010" w:rsidRDefault="000713C7" w:rsidP="003500CE">
            <w:pPr>
              <w:jc w:val="both"/>
              <w:rPr>
                <w:i/>
              </w:rPr>
            </w:pPr>
            <w:r w:rsidRPr="005D2010">
              <w:rPr>
                <w:sz w:val="22"/>
                <w:szCs w:val="22"/>
              </w:rPr>
              <w:t xml:space="preserve">Vyššie uvedené finančné dopady sú orientačného charakteru. Ceny sú uvedené bez DPH. </w:t>
            </w:r>
          </w:p>
        </w:tc>
      </w:tr>
      <w:tr w:rsidR="005D2010" w:rsidRPr="005D2010" w:rsidTr="007B71A4">
        <w:tc>
          <w:tcPr>
            <w:tcW w:w="9212" w:type="dxa"/>
            <w:shd w:val="clear" w:color="auto" w:fill="D9D9D9" w:themeFill="background1" w:themeFillShade="D9"/>
          </w:tcPr>
          <w:p w:rsidR="009F2DFA" w:rsidRPr="005D2010" w:rsidRDefault="002B1108" w:rsidP="007B71A4">
            <w:pPr>
              <w:rPr>
                <w:b/>
                <w:sz w:val="24"/>
              </w:rPr>
            </w:pPr>
            <w:r w:rsidRPr="005D2010">
              <w:rPr>
                <w:b/>
                <w:sz w:val="24"/>
              </w:rPr>
              <w:t>3</w:t>
            </w:r>
            <w:r w:rsidR="009F2DFA" w:rsidRPr="005D2010">
              <w:rPr>
                <w:b/>
                <w:sz w:val="24"/>
              </w:rPr>
              <w:t>.4 Konkurencieschopnosť a správanie sa podnikov na trhu</w:t>
            </w:r>
          </w:p>
          <w:p w:rsidR="009F2DFA" w:rsidRPr="005D2010" w:rsidRDefault="009F2DFA" w:rsidP="007B71A4">
            <w:r w:rsidRPr="005D2010">
              <w:rPr>
                <w:b/>
                <w:sz w:val="24"/>
              </w:rPr>
              <w:t xml:space="preserve">       </w:t>
            </w:r>
            <w:r w:rsidRPr="005D2010">
              <w:rPr>
                <w:sz w:val="24"/>
              </w:rPr>
              <w:t xml:space="preserve">- </w:t>
            </w:r>
            <w:r w:rsidRPr="005D2010">
              <w:rPr>
                <w:b/>
                <w:sz w:val="24"/>
              </w:rPr>
              <w:t>z toho MSP</w:t>
            </w:r>
          </w:p>
        </w:tc>
      </w:tr>
      <w:tr w:rsidR="005D2010" w:rsidRPr="005D2010" w:rsidTr="007B71A4">
        <w:tc>
          <w:tcPr>
            <w:tcW w:w="9212" w:type="dxa"/>
          </w:tcPr>
          <w:p w:rsidR="009F2DFA" w:rsidRPr="005D2010" w:rsidRDefault="009F2DFA" w:rsidP="00241D39">
            <w:pPr>
              <w:jc w:val="both"/>
              <w:rPr>
                <w:i/>
              </w:rPr>
            </w:pPr>
            <w:r w:rsidRPr="005D2010">
              <w:rPr>
                <w:i/>
              </w:rPr>
              <w:t>Dochádza k vytvoreniu bariér pre vstup na trh pre nových dodávateľov alebo poskytovateľov služieb? Bude mať navrhovaná zmena za následok prísnejšiu reguláciu správania sa niektorých podnikov? Bude sa s</w:t>
            </w:r>
            <w:r w:rsidR="003500CE" w:rsidRPr="005D2010">
              <w:rPr>
                <w:i/>
              </w:rPr>
              <w:t> </w:t>
            </w:r>
            <w:r w:rsidRPr="005D2010">
              <w:rPr>
                <w:i/>
              </w:rPr>
              <w:t>niektorými</w:t>
            </w:r>
            <w:r w:rsidR="003500CE" w:rsidRPr="005D2010">
              <w:rPr>
                <w:i/>
              </w:rPr>
              <w:t xml:space="preserve"> </w:t>
            </w:r>
            <w:r w:rsidRPr="005D2010">
              <w:rPr>
                <w:i/>
              </w:rPr>
              <w:t>podnikmi alebo produktmi zaobchádzať v porovnateľnej situácii rôzne (špeciálne režimy pre mikro, malé a stredné podniky tzv. MSP)? Ak áno, popíšte.</w:t>
            </w:r>
          </w:p>
          <w:p w:rsidR="009F2DFA" w:rsidRPr="005D2010" w:rsidRDefault="009F2DFA" w:rsidP="00241D39">
            <w:pPr>
              <w:jc w:val="both"/>
              <w:rPr>
                <w:i/>
              </w:rPr>
            </w:pPr>
            <w:r w:rsidRPr="005D2010">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5D2010" w:rsidRDefault="009F2DFA" w:rsidP="00241D39">
            <w:pPr>
              <w:jc w:val="both"/>
              <w:rPr>
                <w:i/>
              </w:rPr>
            </w:pPr>
            <w:r w:rsidRPr="005D2010">
              <w:rPr>
                <w:i/>
              </w:rPr>
              <w:t>Ako ovplyvní cenu alebo dostupnosť základných zdrojov (suroviny, mechanizmy, pracovná sila, energie atď.)?</w:t>
            </w:r>
          </w:p>
          <w:p w:rsidR="00C92901" w:rsidRPr="005D2010" w:rsidRDefault="009F2DFA" w:rsidP="00241D39">
            <w:pPr>
              <w:jc w:val="both"/>
              <w:rPr>
                <w:i/>
              </w:rPr>
            </w:pPr>
            <w:r w:rsidRPr="005D2010">
              <w:rPr>
                <w:i/>
              </w:rPr>
              <w:t>Ovplyvňuje prístup k financiám? Ak áno, ako?</w:t>
            </w:r>
          </w:p>
        </w:tc>
      </w:tr>
      <w:tr w:rsidR="005D2010" w:rsidRPr="005D2010" w:rsidTr="007E0516">
        <w:trPr>
          <w:trHeight w:val="2218"/>
        </w:trPr>
        <w:tc>
          <w:tcPr>
            <w:tcW w:w="9212" w:type="dxa"/>
          </w:tcPr>
          <w:p w:rsidR="00836C43" w:rsidRPr="005D2010" w:rsidRDefault="00BE052A" w:rsidP="00C96034">
            <w:pPr>
              <w:jc w:val="both"/>
              <w:rPr>
                <w:sz w:val="22"/>
                <w:szCs w:val="22"/>
              </w:rPr>
            </w:pPr>
            <w:r w:rsidRPr="005D2010">
              <w:rPr>
                <w:sz w:val="22"/>
                <w:szCs w:val="22"/>
              </w:rPr>
              <w:lastRenderedPageBreak/>
              <w:t>N</w:t>
            </w:r>
            <w:r w:rsidR="003500CE" w:rsidRPr="005D2010">
              <w:rPr>
                <w:sz w:val="22"/>
                <w:szCs w:val="22"/>
              </w:rPr>
              <w:t>ávrhom zákona nedochádza</w:t>
            </w:r>
            <w:r w:rsidR="00836C43" w:rsidRPr="005D2010">
              <w:rPr>
                <w:sz w:val="22"/>
                <w:szCs w:val="22"/>
              </w:rPr>
              <w:t xml:space="preserve"> k vytváraniu bariér pre vstup na trh </w:t>
            </w:r>
            <w:r w:rsidR="002D1387" w:rsidRPr="005D2010">
              <w:rPr>
                <w:sz w:val="22"/>
                <w:szCs w:val="22"/>
              </w:rPr>
              <w:t xml:space="preserve">a </w:t>
            </w:r>
            <w:r w:rsidR="00836C43" w:rsidRPr="005D2010">
              <w:rPr>
                <w:sz w:val="22"/>
                <w:szCs w:val="22"/>
              </w:rPr>
              <w:t>nej</w:t>
            </w:r>
            <w:r w:rsidR="002D1387" w:rsidRPr="005D2010">
              <w:rPr>
                <w:sz w:val="22"/>
                <w:szCs w:val="22"/>
              </w:rPr>
              <w:t>de o</w:t>
            </w:r>
            <w:r w:rsidR="00836C43" w:rsidRPr="005D2010">
              <w:rPr>
                <w:sz w:val="22"/>
                <w:szCs w:val="22"/>
              </w:rPr>
              <w:t> prísnejšiu reguláciu. Zároveň návrh zákona nebude mať vplyv na obchodné bariéry</w:t>
            </w:r>
            <w:r w:rsidR="00C96034" w:rsidRPr="005D2010">
              <w:rPr>
                <w:sz w:val="22"/>
                <w:szCs w:val="22"/>
              </w:rPr>
              <w:t>,</w:t>
            </w:r>
            <w:r w:rsidR="00836C43" w:rsidRPr="005D2010">
              <w:rPr>
                <w:sz w:val="22"/>
                <w:szCs w:val="22"/>
              </w:rPr>
              <w:t xml:space="preserve"> ani vplyv na vyv</w:t>
            </w:r>
            <w:r w:rsidR="00E406B2" w:rsidRPr="005D2010">
              <w:rPr>
                <w:sz w:val="22"/>
                <w:szCs w:val="22"/>
              </w:rPr>
              <w:t>olanie cezhraničných investícií</w:t>
            </w:r>
            <w:r w:rsidR="00C96034" w:rsidRPr="005D2010">
              <w:rPr>
                <w:sz w:val="22"/>
                <w:szCs w:val="22"/>
              </w:rPr>
              <w:t>,</w:t>
            </w:r>
            <w:r w:rsidR="00E406B2" w:rsidRPr="005D2010">
              <w:rPr>
                <w:sz w:val="22"/>
                <w:szCs w:val="22"/>
              </w:rPr>
              <w:t xml:space="preserve"> ani na</w:t>
            </w:r>
            <w:r w:rsidR="00E91481" w:rsidRPr="005D2010">
              <w:rPr>
                <w:sz w:val="22"/>
                <w:szCs w:val="22"/>
              </w:rPr>
              <w:t> </w:t>
            </w:r>
            <w:r w:rsidR="00E406B2" w:rsidRPr="005D2010">
              <w:rPr>
                <w:sz w:val="22"/>
                <w:szCs w:val="22"/>
              </w:rPr>
              <w:t>cenu a dostupnosť služieb. Návrh zákona nevytvára nové možnosti financovania aktivít</w:t>
            </w:r>
            <w:r w:rsidR="00DA26A8" w:rsidRPr="005D2010">
              <w:rPr>
                <w:sz w:val="22"/>
                <w:szCs w:val="22"/>
              </w:rPr>
              <w:t>.</w:t>
            </w:r>
            <w:r w:rsidR="00F77699" w:rsidRPr="005D2010">
              <w:rPr>
                <w:sz w:val="22"/>
                <w:szCs w:val="22"/>
              </w:rPr>
              <w:t xml:space="preserve"> </w:t>
            </w:r>
          </w:p>
          <w:p w:rsidR="00CA6865" w:rsidRPr="005D2010" w:rsidRDefault="00CA6865" w:rsidP="008D1836">
            <w:pPr>
              <w:jc w:val="both"/>
              <w:rPr>
                <w:sz w:val="22"/>
                <w:szCs w:val="22"/>
              </w:rPr>
            </w:pPr>
            <w:r w:rsidRPr="005D2010">
              <w:rPr>
                <w:sz w:val="22"/>
                <w:szCs w:val="22"/>
              </w:rPr>
              <w:t>Návrhom zákona dôjde k prehodnoteniu parametrov týkajúci</w:t>
            </w:r>
            <w:r w:rsidR="008D1836" w:rsidRPr="005D2010">
              <w:rPr>
                <w:sz w:val="22"/>
                <w:szCs w:val="22"/>
              </w:rPr>
              <w:t>ch</w:t>
            </w:r>
            <w:r w:rsidRPr="005D2010">
              <w:rPr>
                <w:sz w:val="22"/>
                <w:szCs w:val="22"/>
              </w:rPr>
              <w:t xml:space="preserve"> sa povolenia zriadenia stanice technickej kontroly nad rámec existujúcej siete, ktoré vychádza z dát z celoštátneho informačného systému technických kontrol za roky 2019 a 2020, č</w:t>
            </w:r>
            <w:r w:rsidR="008D1836" w:rsidRPr="005D2010">
              <w:rPr>
                <w:sz w:val="22"/>
                <w:szCs w:val="22"/>
              </w:rPr>
              <w:t>í</w:t>
            </w:r>
            <w:r w:rsidRPr="005D2010">
              <w:rPr>
                <w:sz w:val="22"/>
                <w:szCs w:val="22"/>
              </w:rPr>
              <w:t>m môže na trhu vzniknúť viacero subjektov poskytujúcich služby technickej kontroly.</w:t>
            </w:r>
          </w:p>
        </w:tc>
      </w:tr>
      <w:tr w:rsidR="005D2010" w:rsidRPr="005D2010" w:rsidTr="007B71A4">
        <w:tc>
          <w:tcPr>
            <w:tcW w:w="9212" w:type="dxa"/>
            <w:shd w:val="clear" w:color="auto" w:fill="D9D9D9" w:themeFill="background1" w:themeFillShade="D9"/>
          </w:tcPr>
          <w:p w:rsidR="009F2DFA" w:rsidRPr="005D2010" w:rsidRDefault="002B1108" w:rsidP="007B71A4">
            <w:pPr>
              <w:rPr>
                <w:b/>
                <w:sz w:val="24"/>
              </w:rPr>
            </w:pPr>
            <w:r w:rsidRPr="005D2010">
              <w:rPr>
                <w:b/>
                <w:sz w:val="24"/>
              </w:rPr>
              <w:t>3</w:t>
            </w:r>
            <w:r w:rsidR="009F2DFA" w:rsidRPr="005D2010">
              <w:rPr>
                <w:b/>
                <w:sz w:val="24"/>
              </w:rPr>
              <w:t xml:space="preserve">.5 Inovácie </w:t>
            </w:r>
          </w:p>
          <w:p w:rsidR="009F2DFA" w:rsidRPr="005D2010" w:rsidRDefault="009F2DFA" w:rsidP="007B71A4">
            <w:pPr>
              <w:rPr>
                <w:b/>
              </w:rPr>
            </w:pPr>
            <w:r w:rsidRPr="005D2010">
              <w:rPr>
                <w:sz w:val="24"/>
              </w:rPr>
              <w:t xml:space="preserve">       - </w:t>
            </w:r>
            <w:r w:rsidRPr="005D2010">
              <w:rPr>
                <w:b/>
                <w:sz w:val="24"/>
              </w:rPr>
              <w:t>z toho MSP</w:t>
            </w:r>
          </w:p>
        </w:tc>
      </w:tr>
      <w:tr w:rsidR="005D2010" w:rsidRPr="005D2010" w:rsidTr="007B71A4">
        <w:tc>
          <w:tcPr>
            <w:tcW w:w="9212" w:type="dxa"/>
          </w:tcPr>
          <w:p w:rsidR="009F2DFA" w:rsidRPr="005D2010" w:rsidRDefault="009F2DFA" w:rsidP="006B28B1">
            <w:pPr>
              <w:jc w:val="both"/>
              <w:rPr>
                <w:i/>
              </w:rPr>
            </w:pPr>
            <w:r w:rsidRPr="005D2010">
              <w:rPr>
                <w:i/>
              </w:rPr>
              <w:t>Uveďte, ako podporuje navrhovaná zmena inovácie.</w:t>
            </w:r>
          </w:p>
          <w:p w:rsidR="009F2DFA" w:rsidRPr="005D2010" w:rsidRDefault="009F2DFA" w:rsidP="006B28B1">
            <w:pPr>
              <w:jc w:val="both"/>
              <w:rPr>
                <w:i/>
              </w:rPr>
            </w:pPr>
            <w:r w:rsidRPr="005D2010">
              <w:rPr>
                <w:i/>
              </w:rPr>
              <w:t>Zjednodušuje uvedenie alebo rozšírenie nových výrobných metód, technológií a výrobkov na trh?</w:t>
            </w:r>
          </w:p>
          <w:p w:rsidR="009F2DFA" w:rsidRPr="005D2010" w:rsidRDefault="009F2DFA" w:rsidP="006B28B1">
            <w:pPr>
              <w:jc w:val="both"/>
              <w:rPr>
                <w:i/>
              </w:rPr>
            </w:pPr>
            <w:r w:rsidRPr="005D2010">
              <w:rPr>
                <w:i/>
              </w:rPr>
              <w:t xml:space="preserve">Uveďte, ako vplýva navrhovaná zmena na </w:t>
            </w:r>
            <w:r w:rsidR="00904C9B" w:rsidRPr="005D2010">
              <w:rPr>
                <w:i/>
              </w:rPr>
              <w:t xml:space="preserve">jednotlivé </w:t>
            </w:r>
            <w:r w:rsidRPr="005D2010">
              <w:rPr>
                <w:i/>
              </w:rPr>
              <w:t>práva duševného vlastníctva (</w:t>
            </w:r>
            <w:r w:rsidR="00904C9B" w:rsidRPr="005D2010">
              <w:rPr>
                <w:i/>
              </w:rPr>
              <w:t xml:space="preserve">napr. </w:t>
            </w:r>
            <w:r w:rsidRPr="005D2010">
              <w:rPr>
                <w:i/>
              </w:rPr>
              <w:t xml:space="preserve">patenty, ochranné známky, </w:t>
            </w:r>
            <w:r w:rsidR="00904C9B" w:rsidRPr="005D2010">
              <w:rPr>
                <w:i/>
              </w:rPr>
              <w:t>autorské práva</w:t>
            </w:r>
            <w:r w:rsidRPr="005D2010">
              <w:rPr>
                <w:i/>
              </w:rPr>
              <w:t>, vlastníctvo know-how).</w:t>
            </w:r>
          </w:p>
          <w:p w:rsidR="009F2DFA" w:rsidRPr="005D2010" w:rsidRDefault="009F2DFA" w:rsidP="006B28B1">
            <w:pPr>
              <w:jc w:val="both"/>
              <w:rPr>
                <w:i/>
              </w:rPr>
            </w:pPr>
            <w:r w:rsidRPr="005D2010">
              <w:rPr>
                <w:i/>
              </w:rPr>
              <w:t>Podporuje vyššiu efektivitu výroby/využívania zdrojov? Ak áno, ako?</w:t>
            </w:r>
          </w:p>
          <w:p w:rsidR="00C92901" w:rsidRPr="005D2010" w:rsidRDefault="00837639" w:rsidP="003367CF">
            <w:pPr>
              <w:jc w:val="both"/>
              <w:rPr>
                <w:i/>
              </w:rPr>
            </w:pPr>
            <w:r w:rsidRPr="005D2010">
              <w:rPr>
                <w:i/>
              </w:rPr>
              <w:t>Vytvorí zmena nové pracovné miesta pre zamestnancov výskumu a vývoja v SR?</w:t>
            </w:r>
          </w:p>
        </w:tc>
      </w:tr>
      <w:tr w:rsidR="009F2DFA" w:rsidRPr="005D2010" w:rsidTr="00C92901">
        <w:trPr>
          <w:trHeight w:val="800"/>
        </w:trPr>
        <w:tc>
          <w:tcPr>
            <w:tcW w:w="9212" w:type="dxa"/>
          </w:tcPr>
          <w:p w:rsidR="009F2DFA" w:rsidRPr="005D2010" w:rsidRDefault="00E406B2" w:rsidP="00DF4133">
            <w:pPr>
              <w:jc w:val="both"/>
              <w:rPr>
                <w:sz w:val="22"/>
                <w:szCs w:val="22"/>
              </w:rPr>
            </w:pPr>
            <w:r w:rsidRPr="005D2010">
              <w:rPr>
                <w:sz w:val="22"/>
                <w:szCs w:val="22"/>
              </w:rPr>
              <w:t>Návrh zákona nemá vplyv na inovácie podnikateľov.</w:t>
            </w:r>
          </w:p>
        </w:tc>
      </w:tr>
    </w:tbl>
    <w:p w:rsidR="009F2DFA" w:rsidRPr="005D2010" w:rsidRDefault="009F2DFA" w:rsidP="00B512BC">
      <w:pPr>
        <w:jc w:val="both"/>
      </w:pPr>
    </w:p>
    <w:sectPr w:rsidR="009F2DFA" w:rsidRPr="005D20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99D" w:rsidRDefault="0095199D" w:rsidP="009F2DFA">
      <w:r>
        <w:separator/>
      </w:r>
    </w:p>
  </w:endnote>
  <w:endnote w:type="continuationSeparator" w:id="0">
    <w:p w:rsidR="0095199D" w:rsidRDefault="0095199D"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DFA" w:rsidRDefault="009F2DFA">
    <w:pPr>
      <w:pStyle w:val="Pta"/>
      <w:jc w:val="right"/>
    </w:pPr>
    <w:r>
      <w:fldChar w:fldCharType="begin"/>
    </w:r>
    <w:r>
      <w:instrText>PAGE   \* MERGEFORMAT</w:instrText>
    </w:r>
    <w:r>
      <w:fldChar w:fldCharType="separate"/>
    </w:r>
    <w:r w:rsidR="005D2010">
      <w:rPr>
        <w:noProof/>
      </w:rPr>
      <w:t>1</w:t>
    </w:r>
    <w:r>
      <w:fldChar w:fldCharType="end"/>
    </w:r>
  </w:p>
  <w:p w:rsidR="009F2DFA" w:rsidRDefault="009F2D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99D" w:rsidRDefault="0095199D" w:rsidP="009F2DFA">
      <w:r>
        <w:separator/>
      </w:r>
    </w:p>
  </w:footnote>
  <w:footnote w:type="continuationSeparator" w:id="0">
    <w:p w:rsidR="0095199D" w:rsidRDefault="0095199D" w:rsidP="009F2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E921C0B"/>
    <w:multiLevelType w:val="hybridMultilevel"/>
    <w:tmpl w:val="2A2E8F70"/>
    <w:lvl w:ilvl="0" w:tplc="8AF66A2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F573033"/>
    <w:multiLevelType w:val="hybridMultilevel"/>
    <w:tmpl w:val="D428BFC2"/>
    <w:lvl w:ilvl="0" w:tplc="0B040A14">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B66859"/>
    <w:multiLevelType w:val="hybridMultilevel"/>
    <w:tmpl w:val="F4145C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C1E5125"/>
    <w:multiLevelType w:val="hybridMultilevel"/>
    <w:tmpl w:val="6818CAB8"/>
    <w:lvl w:ilvl="0" w:tplc="BEC291D6">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CF7775D"/>
    <w:multiLevelType w:val="hybridMultilevel"/>
    <w:tmpl w:val="D428BFC2"/>
    <w:lvl w:ilvl="0" w:tplc="0B040A14">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6305A5"/>
    <w:multiLevelType w:val="hybridMultilevel"/>
    <w:tmpl w:val="7BDC4D0E"/>
    <w:lvl w:ilvl="0" w:tplc="041B0017">
      <w:start w:val="1"/>
      <w:numFmt w:val="lowerLetter"/>
      <w:lvlText w:val="%1)"/>
      <w:lvlJc w:val="left"/>
      <w:pPr>
        <w:ind w:left="720" w:hanging="360"/>
      </w:pPr>
      <w:rPr>
        <w:rFonts w:cs="Times New Roman" w:hint="default"/>
      </w:rPr>
    </w:lvl>
    <w:lvl w:ilvl="1" w:tplc="971CA2AA">
      <w:start w:val="1"/>
      <w:numFmt w:val="decimal"/>
      <w:lvlText w:val="%2."/>
      <w:lvlJc w:val="left"/>
      <w:pPr>
        <w:ind w:left="1440" w:hanging="360"/>
      </w:pPr>
      <w:rPr>
        <w:rFonts w:cs="Times New Roman" w:hint="default"/>
      </w:rPr>
    </w:lvl>
    <w:lvl w:ilvl="2" w:tplc="30F48A9C">
      <w:start w:val="1"/>
      <w:numFmt w:val="decimal"/>
      <w:lvlText w:val="(%3)"/>
      <w:lvlJc w:val="left"/>
      <w:pPr>
        <w:ind w:left="2160"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4693938"/>
    <w:multiLevelType w:val="hybridMultilevel"/>
    <w:tmpl w:val="8FB0BDA8"/>
    <w:lvl w:ilvl="0" w:tplc="041B0017">
      <w:start w:val="1"/>
      <w:numFmt w:val="lowerLetter"/>
      <w:lvlText w:val="%1)"/>
      <w:lvlJc w:val="left"/>
      <w:pPr>
        <w:ind w:left="708" w:hanging="360"/>
      </w:pPr>
    </w:lvl>
    <w:lvl w:ilvl="1" w:tplc="041B0019" w:tentative="1">
      <w:start w:val="1"/>
      <w:numFmt w:val="lowerLetter"/>
      <w:lvlText w:val="%2."/>
      <w:lvlJc w:val="left"/>
      <w:pPr>
        <w:ind w:left="1428" w:hanging="360"/>
      </w:pPr>
    </w:lvl>
    <w:lvl w:ilvl="2" w:tplc="041B001B" w:tentative="1">
      <w:start w:val="1"/>
      <w:numFmt w:val="lowerRoman"/>
      <w:lvlText w:val="%3."/>
      <w:lvlJc w:val="right"/>
      <w:pPr>
        <w:ind w:left="2148" w:hanging="180"/>
      </w:pPr>
    </w:lvl>
    <w:lvl w:ilvl="3" w:tplc="041B000F" w:tentative="1">
      <w:start w:val="1"/>
      <w:numFmt w:val="decimal"/>
      <w:lvlText w:val="%4."/>
      <w:lvlJc w:val="left"/>
      <w:pPr>
        <w:ind w:left="2868" w:hanging="360"/>
      </w:pPr>
    </w:lvl>
    <w:lvl w:ilvl="4" w:tplc="041B0019" w:tentative="1">
      <w:start w:val="1"/>
      <w:numFmt w:val="lowerLetter"/>
      <w:lvlText w:val="%5."/>
      <w:lvlJc w:val="left"/>
      <w:pPr>
        <w:ind w:left="3588" w:hanging="360"/>
      </w:pPr>
    </w:lvl>
    <w:lvl w:ilvl="5" w:tplc="041B001B" w:tentative="1">
      <w:start w:val="1"/>
      <w:numFmt w:val="lowerRoman"/>
      <w:lvlText w:val="%6."/>
      <w:lvlJc w:val="right"/>
      <w:pPr>
        <w:ind w:left="4308" w:hanging="180"/>
      </w:pPr>
    </w:lvl>
    <w:lvl w:ilvl="6" w:tplc="041B000F" w:tentative="1">
      <w:start w:val="1"/>
      <w:numFmt w:val="decimal"/>
      <w:lvlText w:val="%7."/>
      <w:lvlJc w:val="left"/>
      <w:pPr>
        <w:ind w:left="5028" w:hanging="360"/>
      </w:pPr>
    </w:lvl>
    <w:lvl w:ilvl="7" w:tplc="041B0019" w:tentative="1">
      <w:start w:val="1"/>
      <w:numFmt w:val="lowerLetter"/>
      <w:lvlText w:val="%8."/>
      <w:lvlJc w:val="left"/>
      <w:pPr>
        <w:ind w:left="5748" w:hanging="360"/>
      </w:pPr>
    </w:lvl>
    <w:lvl w:ilvl="8" w:tplc="041B001B" w:tentative="1">
      <w:start w:val="1"/>
      <w:numFmt w:val="lowerRoman"/>
      <w:lvlText w:val="%9."/>
      <w:lvlJc w:val="right"/>
      <w:pPr>
        <w:ind w:left="6468" w:hanging="180"/>
      </w:pPr>
    </w:lvl>
  </w:abstractNum>
  <w:abstractNum w:abstractNumId="11" w15:restartNumberingAfterBreak="0">
    <w:nsid w:val="493958B1"/>
    <w:multiLevelType w:val="hybridMultilevel"/>
    <w:tmpl w:val="7BDC4D0E"/>
    <w:lvl w:ilvl="0" w:tplc="041B0017">
      <w:start w:val="1"/>
      <w:numFmt w:val="lowerLetter"/>
      <w:lvlText w:val="%1)"/>
      <w:lvlJc w:val="left"/>
      <w:pPr>
        <w:ind w:left="720" w:hanging="360"/>
      </w:pPr>
      <w:rPr>
        <w:rFonts w:cs="Times New Roman" w:hint="default"/>
      </w:rPr>
    </w:lvl>
    <w:lvl w:ilvl="1" w:tplc="971CA2AA">
      <w:start w:val="1"/>
      <w:numFmt w:val="decimal"/>
      <w:lvlText w:val="%2."/>
      <w:lvlJc w:val="left"/>
      <w:pPr>
        <w:ind w:left="1440" w:hanging="360"/>
      </w:pPr>
      <w:rPr>
        <w:rFonts w:cs="Times New Roman" w:hint="default"/>
      </w:rPr>
    </w:lvl>
    <w:lvl w:ilvl="2" w:tplc="30F48A9C">
      <w:start w:val="1"/>
      <w:numFmt w:val="decimal"/>
      <w:lvlText w:val="(%3)"/>
      <w:lvlJc w:val="left"/>
      <w:pPr>
        <w:ind w:left="2160"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E680BAD"/>
    <w:multiLevelType w:val="hybridMultilevel"/>
    <w:tmpl w:val="41D4CC1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8B871DD"/>
    <w:multiLevelType w:val="hybridMultilevel"/>
    <w:tmpl w:val="4E9070D4"/>
    <w:lvl w:ilvl="0" w:tplc="979E3770">
      <w:numFmt w:val="bullet"/>
      <w:lvlText w:val="-"/>
      <w:lvlJc w:val="left"/>
      <w:pPr>
        <w:ind w:left="720" w:hanging="360"/>
      </w:pPr>
      <w:rPr>
        <w:rFonts w:ascii="Times New Roman" w:eastAsia="Times New Roman" w:hAnsi="Times New Roman" w:hint="default"/>
        <w:sz w:val="22"/>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A0F7134"/>
    <w:multiLevelType w:val="hybridMultilevel"/>
    <w:tmpl w:val="5FBE8D7C"/>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14"/>
  </w:num>
  <w:num w:numId="2">
    <w:abstractNumId w:val="9"/>
  </w:num>
  <w:num w:numId="3">
    <w:abstractNumId w:val="16"/>
  </w:num>
  <w:num w:numId="4">
    <w:abstractNumId w:val="15"/>
  </w:num>
  <w:num w:numId="5">
    <w:abstractNumId w:val="3"/>
  </w:num>
  <w:num w:numId="6">
    <w:abstractNumId w:val="12"/>
  </w:num>
  <w:num w:numId="7">
    <w:abstractNumId w:val="17"/>
  </w:num>
  <w:num w:numId="8">
    <w:abstractNumId w:val="7"/>
  </w:num>
  <w:num w:numId="9">
    <w:abstractNumId w:val="0"/>
  </w:num>
  <w:num w:numId="10">
    <w:abstractNumId w:val="20"/>
  </w:num>
  <w:num w:numId="11">
    <w:abstractNumId w:val="13"/>
  </w:num>
  <w:num w:numId="12">
    <w:abstractNumId w:val="8"/>
  </w:num>
  <w:num w:numId="13">
    <w:abstractNumId w:val="6"/>
  </w:num>
  <w:num w:numId="14">
    <w:abstractNumId w:val="11"/>
  </w:num>
  <w:num w:numId="15">
    <w:abstractNumId w:val="4"/>
  </w:num>
  <w:num w:numId="16">
    <w:abstractNumId w:val="1"/>
  </w:num>
  <w:num w:numId="17">
    <w:abstractNumId w:val="19"/>
  </w:num>
  <w:num w:numId="18">
    <w:abstractNumId w:val="18"/>
  </w:num>
  <w:num w:numId="19">
    <w:abstractNumId w:val="2"/>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25ECA"/>
    <w:rsid w:val="00042C66"/>
    <w:rsid w:val="00062455"/>
    <w:rsid w:val="000713C7"/>
    <w:rsid w:val="00086C92"/>
    <w:rsid w:val="000D2622"/>
    <w:rsid w:val="000E61CB"/>
    <w:rsid w:val="000E74CA"/>
    <w:rsid w:val="000F3DD9"/>
    <w:rsid w:val="00101483"/>
    <w:rsid w:val="00146597"/>
    <w:rsid w:val="00154881"/>
    <w:rsid w:val="00186F9A"/>
    <w:rsid w:val="001B3B4F"/>
    <w:rsid w:val="001D5A16"/>
    <w:rsid w:val="00223491"/>
    <w:rsid w:val="00241852"/>
    <w:rsid w:val="00241D39"/>
    <w:rsid w:val="00251450"/>
    <w:rsid w:val="00251590"/>
    <w:rsid w:val="00254A27"/>
    <w:rsid w:val="002730BD"/>
    <w:rsid w:val="002A1BA0"/>
    <w:rsid w:val="002A35A6"/>
    <w:rsid w:val="002B1108"/>
    <w:rsid w:val="002D1387"/>
    <w:rsid w:val="002E73E2"/>
    <w:rsid w:val="00302D69"/>
    <w:rsid w:val="00312D95"/>
    <w:rsid w:val="00327741"/>
    <w:rsid w:val="0033505A"/>
    <w:rsid w:val="003367CF"/>
    <w:rsid w:val="00336D8B"/>
    <w:rsid w:val="003500CE"/>
    <w:rsid w:val="00362AE3"/>
    <w:rsid w:val="00390F94"/>
    <w:rsid w:val="003A7475"/>
    <w:rsid w:val="003B110A"/>
    <w:rsid w:val="003C7F2A"/>
    <w:rsid w:val="003D1528"/>
    <w:rsid w:val="003D440D"/>
    <w:rsid w:val="00402262"/>
    <w:rsid w:val="004470A2"/>
    <w:rsid w:val="00453BDA"/>
    <w:rsid w:val="004572DA"/>
    <w:rsid w:val="00464960"/>
    <w:rsid w:val="00477AF6"/>
    <w:rsid w:val="004C2B06"/>
    <w:rsid w:val="004C7B45"/>
    <w:rsid w:val="004D0A80"/>
    <w:rsid w:val="004D594B"/>
    <w:rsid w:val="004F3175"/>
    <w:rsid w:val="004F79AE"/>
    <w:rsid w:val="0052297F"/>
    <w:rsid w:val="00550EBA"/>
    <w:rsid w:val="00567A32"/>
    <w:rsid w:val="005833BB"/>
    <w:rsid w:val="00587437"/>
    <w:rsid w:val="005D2010"/>
    <w:rsid w:val="0063010E"/>
    <w:rsid w:val="0066102E"/>
    <w:rsid w:val="00671E3A"/>
    <w:rsid w:val="006A525F"/>
    <w:rsid w:val="006A641A"/>
    <w:rsid w:val="006B28B1"/>
    <w:rsid w:val="006B306A"/>
    <w:rsid w:val="006E4620"/>
    <w:rsid w:val="006F2E8A"/>
    <w:rsid w:val="00722507"/>
    <w:rsid w:val="00736168"/>
    <w:rsid w:val="0074456A"/>
    <w:rsid w:val="00780BA6"/>
    <w:rsid w:val="00781C9E"/>
    <w:rsid w:val="0079269B"/>
    <w:rsid w:val="00796B9A"/>
    <w:rsid w:val="007B4666"/>
    <w:rsid w:val="007B71A4"/>
    <w:rsid w:val="007D0970"/>
    <w:rsid w:val="007E0516"/>
    <w:rsid w:val="007E121A"/>
    <w:rsid w:val="00836C43"/>
    <w:rsid w:val="00837639"/>
    <w:rsid w:val="00843187"/>
    <w:rsid w:val="00862514"/>
    <w:rsid w:val="00863B0B"/>
    <w:rsid w:val="0088369B"/>
    <w:rsid w:val="008874BC"/>
    <w:rsid w:val="00895496"/>
    <w:rsid w:val="008A1252"/>
    <w:rsid w:val="008D1836"/>
    <w:rsid w:val="008D66BF"/>
    <w:rsid w:val="00904C9B"/>
    <w:rsid w:val="00913BD6"/>
    <w:rsid w:val="009203CD"/>
    <w:rsid w:val="0094580B"/>
    <w:rsid w:val="00945E38"/>
    <w:rsid w:val="0095199D"/>
    <w:rsid w:val="00963623"/>
    <w:rsid w:val="00966E7B"/>
    <w:rsid w:val="00973E58"/>
    <w:rsid w:val="009A3F74"/>
    <w:rsid w:val="009E57DF"/>
    <w:rsid w:val="009F2DFA"/>
    <w:rsid w:val="00A317F8"/>
    <w:rsid w:val="00A33106"/>
    <w:rsid w:val="00A33E56"/>
    <w:rsid w:val="00A952BD"/>
    <w:rsid w:val="00A95ED1"/>
    <w:rsid w:val="00A97915"/>
    <w:rsid w:val="00AA0026"/>
    <w:rsid w:val="00B20148"/>
    <w:rsid w:val="00B25604"/>
    <w:rsid w:val="00B31A8E"/>
    <w:rsid w:val="00B512BC"/>
    <w:rsid w:val="00B534BC"/>
    <w:rsid w:val="00B6122B"/>
    <w:rsid w:val="00B66E37"/>
    <w:rsid w:val="00B74D62"/>
    <w:rsid w:val="00B77486"/>
    <w:rsid w:val="00B90D79"/>
    <w:rsid w:val="00B96B64"/>
    <w:rsid w:val="00BA073A"/>
    <w:rsid w:val="00BA31D3"/>
    <w:rsid w:val="00BC0337"/>
    <w:rsid w:val="00BC5C24"/>
    <w:rsid w:val="00BE052A"/>
    <w:rsid w:val="00BF2F50"/>
    <w:rsid w:val="00BF4CE7"/>
    <w:rsid w:val="00C008DB"/>
    <w:rsid w:val="00C87D60"/>
    <w:rsid w:val="00C92901"/>
    <w:rsid w:val="00C96034"/>
    <w:rsid w:val="00CA5E99"/>
    <w:rsid w:val="00CA6865"/>
    <w:rsid w:val="00CB306F"/>
    <w:rsid w:val="00CB3623"/>
    <w:rsid w:val="00CD199E"/>
    <w:rsid w:val="00CE5733"/>
    <w:rsid w:val="00CF4568"/>
    <w:rsid w:val="00D24448"/>
    <w:rsid w:val="00D517E6"/>
    <w:rsid w:val="00D5490D"/>
    <w:rsid w:val="00D55EF5"/>
    <w:rsid w:val="00D716BA"/>
    <w:rsid w:val="00D77D37"/>
    <w:rsid w:val="00D81C19"/>
    <w:rsid w:val="00DA26A8"/>
    <w:rsid w:val="00DB054F"/>
    <w:rsid w:val="00DB7F64"/>
    <w:rsid w:val="00DC3F30"/>
    <w:rsid w:val="00DD4179"/>
    <w:rsid w:val="00DF4133"/>
    <w:rsid w:val="00E406B2"/>
    <w:rsid w:val="00E53646"/>
    <w:rsid w:val="00E559B4"/>
    <w:rsid w:val="00E83B93"/>
    <w:rsid w:val="00E84384"/>
    <w:rsid w:val="00E86AD1"/>
    <w:rsid w:val="00E91481"/>
    <w:rsid w:val="00E945EC"/>
    <w:rsid w:val="00EA0F8C"/>
    <w:rsid w:val="00ED620C"/>
    <w:rsid w:val="00EE0C3E"/>
    <w:rsid w:val="00EE36B5"/>
    <w:rsid w:val="00EE67D1"/>
    <w:rsid w:val="00EF2B81"/>
    <w:rsid w:val="00EF2BD7"/>
    <w:rsid w:val="00F04CCD"/>
    <w:rsid w:val="00F05685"/>
    <w:rsid w:val="00F41620"/>
    <w:rsid w:val="00F44062"/>
    <w:rsid w:val="00F77699"/>
    <w:rsid w:val="00F828AE"/>
    <w:rsid w:val="00FA6D1A"/>
    <w:rsid w:val="00FB2D32"/>
    <w:rsid w:val="00FB5C13"/>
    <w:rsid w:val="00FE4301"/>
    <w:rsid w:val="00FF68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B6C162-0667-43B6-A2D1-98C963EE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sek zoznamu1,Odsek"/>
    <w:basedOn w:val="Normlny"/>
    <w:link w:val="OdsekzoznamuChar"/>
    <w:uiPriority w:val="34"/>
    <w:qFormat/>
    <w:rsid w:val="009F2DFA"/>
    <w:pPr>
      <w:spacing w:after="200" w:line="276" w:lineRule="auto"/>
      <w:ind w:left="720"/>
      <w:contextualSpacing/>
    </w:pPr>
    <w:rPr>
      <w:rFonts w:asciiTheme="minorHAnsi" w:hAnsiTheme="minorHAnsi"/>
      <w:sz w:val="22"/>
      <w:szCs w:val="22"/>
      <w:lang w:eastAsia="en-US"/>
    </w:rPr>
  </w:style>
  <w:style w:type="paragraph" w:customStyle="1" w:styleId="BodyText1">
    <w:name w:val="Body Text1"/>
    <w:qFormat/>
    <w:rsid w:val="009F2DFA"/>
    <w:pPr>
      <w:spacing w:after="120" w:line="240" w:lineRule="auto"/>
    </w:pPr>
    <w:rPr>
      <w:rFonts w:ascii="Arial"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hAnsi="Arial" w:cs="Times New Roman"/>
      <w:color w:val="000000"/>
      <w:szCs w:val="48"/>
    </w:rPr>
  </w:style>
  <w:style w:type="paragraph" w:customStyle="1" w:styleId="TableColumnheader">
    <w:name w:val="Table Column header"/>
    <w:basedOn w:val="Normlny"/>
    <w:rsid w:val="009F2DFA"/>
    <w:pPr>
      <w:spacing w:before="80" w:after="80"/>
    </w:pPr>
    <w:rPr>
      <w:rFonts w:ascii="Arial"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F2DFA"/>
    <w:rPr>
      <w:rFonts w:ascii="Tahoma" w:hAnsi="Tahoma" w:cs="Tahoma"/>
      <w:sz w:val="16"/>
      <w:szCs w:val="16"/>
      <w:lang w:val="x-none"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locked/>
    <w:rsid w:val="009F2DFA"/>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locked/>
    <w:rsid w:val="009F2DFA"/>
    <w:rPr>
      <w:rFonts w:ascii="Times New Roman" w:hAnsi="Times New Roman" w:cs="Times New Roman"/>
      <w:sz w:val="20"/>
      <w:szCs w:val="20"/>
      <w:lang w:val="x-none" w:eastAsia="sk-SK"/>
    </w:rPr>
  </w:style>
  <w:style w:type="character" w:styleId="Siln">
    <w:name w:val="Strong"/>
    <w:basedOn w:val="Predvolenpsmoodseku"/>
    <w:uiPriority w:val="22"/>
    <w:qFormat/>
    <w:rsid w:val="003B110A"/>
    <w:rPr>
      <w:rFonts w:ascii="Times New Roman" w:hAnsi="Times New Roman" w:cs="Times New Roman"/>
      <w:b/>
      <w:bCs/>
    </w:rPr>
  </w:style>
  <w:style w:type="paragraph" w:styleId="Zkladntext">
    <w:name w:val="Body Text"/>
    <w:basedOn w:val="Normlny"/>
    <w:link w:val="ZkladntextChar"/>
    <w:uiPriority w:val="99"/>
    <w:rsid w:val="00186F9A"/>
    <w:pPr>
      <w:suppressAutoHyphens/>
      <w:spacing w:after="120" w:line="100" w:lineRule="atLeast"/>
    </w:pPr>
    <w:rPr>
      <w:lang w:val="cs-CZ" w:eastAsia="ar-SA"/>
    </w:rPr>
  </w:style>
  <w:style w:type="character" w:customStyle="1" w:styleId="ZkladntextChar">
    <w:name w:val="Základný text Char"/>
    <w:basedOn w:val="Predvolenpsmoodseku"/>
    <w:link w:val="Zkladntext"/>
    <w:uiPriority w:val="99"/>
    <w:locked/>
    <w:rsid w:val="00186F9A"/>
    <w:rPr>
      <w:rFonts w:ascii="Times New Roman" w:hAnsi="Times New Roman" w:cs="Times New Roman"/>
      <w:sz w:val="20"/>
      <w:szCs w:val="20"/>
      <w:lang w:val="cs-CZ" w:eastAsia="ar-SA" w:bidi="ar-SA"/>
    </w:rPr>
  </w:style>
  <w:style w:type="paragraph" w:customStyle="1" w:styleId="Odstavecseseznamem">
    <w:name w:val="Odstavec se seznamem"/>
    <w:basedOn w:val="Normlny"/>
    <w:uiPriority w:val="34"/>
    <w:qFormat/>
    <w:rsid w:val="00F828AE"/>
    <w:pPr>
      <w:spacing w:after="200" w:line="276" w:lineRule="auto"/>
      <w:ind w:left="720"/>
      <w:contextualSpacing/>
    </w:pPr>
    <w:rPr>
      <w:rFonts w:ascii="Calibri" w:hAnsi="Calibri"/>
      <w:sz w:val="22"/>
      <w:szCs w:val="22"/>
      <w:lang w:eastAsia="en-US"/>
    </w:rPr>
  </w:style>
  <w:style w:type="character" w:customStyle="1" w:styleId="apple-tab-span">
    <w:name w:val="apple-tab-span"/>
    <w:basedOn w:val="Predvolenpsmoodseku"/>
    <w:rsid w:val="00F828AE"/>
    <w:rPr>
      <w:rFonts w:cs="Times New Roman"/>
    </w:rPr>
  </w:style>
  <w:style w:type="paragraph" w:styleId="Textpoznmkypodiarou">
    <w:name w:val="footnote text"/>
    <w:basedOn w:val="Normlny"/>
    <w:link w:val="TextpoznmkypodiarouChar"/>
    <w:uiPriority w:val="99"/>
    <w:unhideWhenUsed/>
    <w:rsid w:val="00F77699"/>
    <w:rPr>
      <w:rFonts w:ascii="Calibri" w:hAnsi="Calibri"/>
      <w:lang w:eastAsia="en-US"/>
    </w:rPr>
  </w:style>
  <w:style w:type="character" w:customStyle="1" w:styleId="TextpoznmkypodiarouChar">
    <w:name w:val="Text poznámky pod čiarou Char"/>
    <w:basedOn w:val="Predvolenpsmoodseku"/>
    <w:link w:val="Textpoznmkypodiarou"/>
    <w:uiPriority w:val="99"/>
    <w:locked/>
    <w:rsid w:val="00F77699"/>
    <w:rPr>
      <w:rFonts w:ascii="Calibri" w:hAnsi="Calibri" w:cs="Times New Roman"/>
      <w:sz w:val="20"/>
      <w:szCs w:val="20"/>
    </w:rPr>
  </w:style>
  <w:style w:type="character" w:styleId="Odkaznapoznmkupodiarou">
    <w:name w:val="footnote reference"/>
    <w:basedOn w:val="Predvolenpsmoodseku"/>
    <w:uiPriority w:val="99"/>
    <w:semiHidden/>
    <w:unhideWhenUsed/>
    <w:rsid w:val="00F77699"/>
    <w:rPr>
      <w:rFonts w:cs="Times New Roman"/>
      <w:vertAlign w:val="superscript"/>
    </w:rPr>
  </w:style>
  <w:style w:type="character" w:customStyle="1" w:styleId="apple-converted-space">
    <w:name w:val="apple-converted-space"/>
    <w:basedOn w:val="Predvolenpsmoodseku"/>
    <w:rsid w:val="00973E58"/>
    <w:rPr>
      <w:rFonts w:cs="Times New Roman"/>
    </w:rPr>
  </w:style>
  <w:style w:type="paragraph" w:styleId="Obyajntext">
    <w:name w:val="Plain Text"/>
    <w:basedOn w:val="Normlny"/>
    <w:link w:val="ObyajntextChar"/>
    <w:uiPriority w:val="99"/>
    <w:semiHidden/>
    <w:unhideWhenUsed/>
    <w:rsid w:val="006E4620"/>
    <w:rPr>
      <w:rFonts w:ascii="Calibri" w:hAnsi="Calibri"/>
      <w:sz w:val="22"/>
      <w:szCs w:val="22"/>
      <w:lang w:eastAsia="en-US"/>
    </w:rPr>
  </w:style>
  <w:style w:type="character" w:customStyle="1" w:styleId="ObyajntextChar">
    <w:name w:val="Obyčajný text Char"/>
    <w:basedOn w:val="Predvolenpsmoodseku"/>
    <w:link w:val="Obyajntext"/>
    <w:uiPriority w:val="99"/>
    <w:semiHidden/>
    <w:locked/>
    <w:rsid w:val="006E4620"/>
    <w:rPr>
      <w:rFonts w:ascii="Calibri" w:hAnsi="Calibri" w:cs="Times New Roman"/>
    </w:rPr>
  </w:style>
  <w:style w:type="character" w:customStyle="1" w:styleId="OdsekzoznamuChar">
    <w:name w:val="Odsek zoznamu Char"/>
    <w:aliases w:val="Odsek zoznamu1 Char,Odsek Char"/>
    <w:link w:val="Odsekzoznamu"/>
    <w:uiPriority w:val="34"/>
    <w:locked/>
    <w:rsid w:val="00587437"/>
  </w:style>
  <w:style w:type="character" w:styleId="Odkaznakomentr">
    <w:name w:val="annotation reference"/>
    <w:basedOn w:val="Predvolenpsmoodseku"/>
    <w:uiPriority w:val="99"/>
    <w:semiHidden/>
    <w:unhideWhenUsed/>
    <w:rsid w:val="00CF4568"/>
    <w:rPr>
      <w:rFonts w:cs="Times New Roman"/>
      <w:sz w:val="16"/>
      <w:szCs w:val="16"/>
    </w:rPr>
  </w:style>
  <w:style w:type="paragraph" w:styleId="Textkomentra">
    <w:name w:val="annotation text"/>
    <w:basedOn w:val="Normlny"/>
    <w:link w:val="TextkomentraChar"/>
    <w:uiPriority w:val="99"/>
    <w:semiHidden/>
    <w:unhideWhenUsed/>
    <w:rsid w:val="00CF4568"/>
  </w:style>
  <w:style w:type="character" w:customStyle="1" w:styleId="TextkomentraChar">
    <w:name w:val="Text komentára Char"/>
    <w:basedOn w:val="Predvolenpsmoodseku"/>
    <w:link w:val="Textkomentra"/>
    <w:uiPriority w:val="99"/>
    <w:semiHidden/>
    <w:locked/>
    <w:rsid w:val="00CF4568"/>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CF4568"/>
    <w:rPr>
      <w:b/>
      <w:bCs/>
    </w:rPr>
  </w:style>
  <w:style w:type="character" w:customStyle="1" w:styleId="PredmetkomentraChar">
    <w:name w:val="Predmet komentára Char"/>
    <w:basedOn w:val="TextkomentraChar"/>
    <w:link w:val="Predmetkomentra"/>
    <w:uiPriority w:val="99"/>
    <w:semiHidden/>
    <w:locked/>
    <w:rsid w:val="00CF4568"/>
    <w:rPr>
      <w:rFonts w:ascii="Times New Roman" w:hAnsi="Times New Roman" w:cs="Times New Roman"/>
      <w:b/>
      <w:bCs/>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669448">
      <w:bodyDiv w:val="1"/>
      <w:marLeft w:val="0"/>
      <w:marRight w:val="0"/>
      <w:marTop w:val="0"/>
      <w:marBottom w:val="0"/>
      <w:divBdr>
        <w:top w:val="none" w:sz="0" w:space="0" w:color="auto"/>
        <w:left w:val="none" w:sz="0" w:space="0" w:color="auto"/>
        <w:bottom w:val="none" w:sz="0" w:space="0" w:color="auto"/>
        <w:right w:val="none" w:sz="0" w:space="0" w:color="auto"/>
      </w:divBdr>
    </w:div>
    <w:div w:id="1553419865">
      <w:marLeft w:val="0"/>
      <w:marRight w:val="0"/>
      <w:marTop w:val="0"/>
      <w:marBottom w:val="0"/>
      <w:divBdr>
        <w:top w:val="none" w:sz="0" w:space="0" w:color="auto"/>
        <w:left w:val="none" w:sz="0" w:space="0" w:color="auto"/>
        <w:bottom w:val="none" w:sz="0" w:space="0" w:color="auto"/>
        <w:right w:val="none" w:sz="0" w:space="0" w:color="auto"/>
      </w:divBdr>
    </w:div>
    <w:div w:id="1553419868">
      <w:marLeft w:val="0"/>
      <w:marRight w:val="0"/>
      <w:marTop w:val="0"/>
      <w:marBottom w:val="0"/>
      <w:divBdr>
        <w:top w:val="none" w:sz="0" w:space="0" w:color="auto"/>
        <w:left w:val="none" w:sz="0" w:space="0" w:color="auto"/>
        <w:bottom w:val="none" w:sz="0" w:space="0" w:color="auto"/>
        <w:right w:val="none" w:sz="0" w:space="0" w:color="auto"/>
      </w:divBdr>
    </w:div>
    <w:div w:id="1553419869">
      <w:marLeft w:val="0"/>
      <w:marRight w:val="0"/>
      <w:marTop w:val="0"/>
      <w:marBottom w:val="0"/>
      <w:divBdr>
        <w:top w:val="none" w:sz="0" w:space="0" w:color="auto"/>
        <w:left w:val="none" w:sz="0" w:space="0" w:color="auto"/>
        <w:bottom w:val="none" w:sz="0" w:space="0" w:color="auto"/>
        <w:right w:val="none" w:sz="0" w:space="0" w:color="auto"/>
      </w:divBdr>
    </w:div>
    <w:div w:id="1553419874">
      <w:marLeft w:val="0"/>
      <w:marRight w:val="0"/>
      <w:marTop w:val="0"/>
      <w:marBottom w:val="0"/>
      <w:divBdr>
        <w:top w:val="none" w:sz="0" w:space="0" w:color="auto"/>
        <w:left w:val="none" w:sz="0" w:space="0" w:color="auto"/>
        <w:bottom w:val="none" w:sz="0" w:space="0" w:color="auto"/>
        <w:right w:val="none" w:sz="0" w:space="0" w:color="auto"/>
      </w:divBdr>
    </w:div>
    <w:div w:id="1553419875">
      <w:marLeft w:val="0"/>
      <w:marRight w:val="0"/>
      <w:marTop w:val="0"/>
      <w:marBottom w:val="0"/>
      <w:divBdr>
        <w:top w:val="none" w:sz="0" w:space="0" w:color="auto"/>
        <w:left w:val="none" w:sz="0" w:space="0" w:color="auto"/>
        <w:bottom w:val="none" w:sz="0" w:space="0" w:color="auto"/>
        <w:right w:val="none" w:sz="0" w:space="0" w:color="auto"/>
      </w:divBdr>
    </w:div>
    <w:div w:id="1553419876">
      <w:marLeft w:val="0"/>
      <w:marRight w:val="0"/>
      <w:marTop w:val="0"/>
      <w:marBottom w:val="0"/>
      <w:divBdr>
        <w:top w:val="none" w:sz="0" w:space="0" w:color="auto"/>
        <w:left w:val="none" w:sz="0" w:space="0" w:color="auto"/>
        <w:bottom w:val="none" w:sz="0" w:space="0" w:color="auto"/>
        <w:right w:val="none" w:sz="0" w:space="0" w:color="auto"/>
      </w:divBdr>
      <w:divsChild>
        <w:div w:id="1553419867">
          <w:marLeft w:val="0"/>
          <w:marRight w:val="0"/>
          <w:marTop w:val="100"/>
          <w:marBottom w:val="100"/>
          <w:divBdr>
            <w:top w:val="none" w:sz="0" w:space="0" w:color="auto"/>
            <w:left w:val="none" w:sz="0" w:space="0" w:color="auto"/>
            <w:bottom w:val="none" w:sz="0" w:space="0" w:color="auto"/>
            <w:right w:val="none" w:sz="0" w:space="0" w:color="auto"/>
          </w:divBdr>
          <w:divsChild>
            <w:div w:id="1553419866">
              <w:marLeft w:val="0"/>
              <w:marRight w:val="0"/>
              <w:marTop w:val="225"/>
              <w:marBottom w:val="750"/>
              <w:divBdr>
                <w:top w:val="none" w:sz="0" w:space="0" w:color="auto"/>
                <w:left w:val="none" w:sz="0" w:space="0" w:color="auto"/>
                <w:bottom w:val="none" w:sz="0" w:space="0" w:color="auto"/>
                <w:right w:val="none" w:sz="0" w:space="0" w:color="auto"/>
              </w:divBdr>
              <w:divsChild>
                <w:div w:id="1553419879">
                  <w:marLeft w:val="0"/>
                  <w:marRight w:val="0"/>
                  <w:marTop w:val="0"/>
                  <w:marBottom w:val="0"/>
                  <w:divBdr>
                    <w:top w:val="none" w:sz="0" w:space="0" w:color="auto"/>
                    <w:left w:val="none" w:sz="0" w:space="0" w:color="auto"/>
                    <w:bottom w:val="none" w:sz="0" w:space="0" w:color="auto"/>
                    <w:right w:val="none" w:sz="0" w:space="0" w:color="auto"/>
                  </w:divBdr>
                  <w:divsChild>
                    <w:div w:id="1553419877">
                      <w:marLeft w:val="0"/>
                      <w:marRight w:val="0"/>
                      <w:marTop w:val="0"/>
                      <w:marBottom w:val="0"/>
                      <w:divBdr>
                        <w:top w:val="none" w:sz="0" w:space="0" w:color="auto"/>
                        <w:left w:val="none" w:sz="0" w:space="0" w:color="auto"/>
                        <w:bottom w:val="none" w:sz="0" w:space="0" w:color="auto"/>
                        <w:right w:val="none" w:sz="0" w:space="0" w:color="auto"/>
                      </w:divBdr>
                      <w:divsChild>
                        <w:div w:id="1553419864">
                          <w:marLeft w:val="0"/>
                          <w:marRight w:val="0"/>
                          <w:marTop w:val="0"/>
                          <w:marBottom w:val="0"/>
                          <w:divBdr>
                            <w:top w:val="none" w:sz="0" w:space="0" w:color="auto"/>
                            <w:left w:val="none" w:sz="0" w:space="0" w:color="auto"/>
                            <w:bottom w:val="none" w:sz="0" w:space="0" w:color="auto"/>
                            <w:right w:val="none" w:sz="0" w:space="0" w:color="auto"/>
                          </w:divBdr>
                          <w:divsChild>
                            <w:div w:id="1553419872">
                              <w:marLeft w:val="0"/>
                              <w:marRight w:val="0"/>
                              <w:marTop w:val="0"/>
                              <w:marBottom w:val="0"/>
                              <w:divBdr>
                                <w:top w:val="none" w:sz="0" w:space="0" w:color="auto"/>
                                <w:left w:val="none" w:sz="0" w:space="0" w:color="auto"/>
                                <w:bottom w:val="none" w:sz="0" w:space="0" w:color="auto"/>
                                <w:right w:val="none" w:sz="0" w:space="0" w:color="auto"/>
                              </w:divBdr>
                              <w:divsChild>
                                <w:div w:id="1553419871">
                                  <w:marLeft w:val="0"/>
                                  <w:marRight w:val="0"/>
                                  <w:marTop w:val="0"/>
                                  <w:marBottom w:val="0"/>
                                  <w:divBdr>
                                    <w:top w:val="none" w:sz="0" w:space="0" w:color="auto"/>
                                    <w:left w:val="none" w:sz="0" w:space="0" w:color="auto"/>
                                    <w:bottom w:val="none" w:sz="0" w:space="0" w:color="auto"/>
                                    <w:right w:val="none" w:sz="0" w:space="0" w:color="auto"/>
                                  </w:divBdr>
                                  <w:divsChild>
                                    <w:div w:id="1553419870">
                                      <w:marLeft w:val="0"/>
                                      <w:marRight w:val="0"/>
                                      <w:marTop w:val="0"/>
                                      <w:marBottom w:val="0"/>
                                      <w:divBdr>
                                        <w:top w:val="none" w:sz="0" w:space="0" w:color="auto"/>
                                        <w:left w:val="none" w:sz="0" w:space="0" w:color="auto"/>
                                        <w:bottom w:val="none" w:sz="0" w:space="0" w:color="auto"/>
                                        <w:right w:val="none" w:sz="0" w:space="0" w:color="auto"/>
                                      </w:divBdr>
                                      <w:divsChild>
                                        <w:div w:id="1553419873">
                                          <w:marLeft w:val="0"/>
                                          <w:marRight w:val="0"/>
                                          <w:marTop w:val="100"/>
                                          <w:marBottom w:val="300"/>
                                          <w:divBdr>
                                            <w:top w:val="none" w:sz="0" w:space="0" w:color="auto"/>
                                            <w:left w:val="none" w:sz="0" w:space="0" w:color="auto"/>
                                            <w:bottom w:val="none" w:sz="0" w:space="0" w:color="auto"/>
                                            <w:right w:val="none" w:sz="0" w:space="0" w:color="auto"/>
                                          </w:divBdr>
                                          <w:divsChild>
                                            <w:div w:id="1553419881">
                                              <w:marLeft w:val="0"/>
                                              <w:marRight w:val="0"/>
                                              <w:marTop w:val="0"/>
                                              <w:marBottom w:val="0"/>
                                              <w:divBdr>
                                                <w:top w:val="single" w:sz="6" w:space="11" w:color="C0C2C5"/>
                                                <w:left w:val="single" w:sz="6" w:space="0" w:color="C0C2C5"/>
                                                <w:bottom w:val="single" w:sz="6" w:space="11" w:color="C0C2C5"/>
                                                <w:right w:val="single" w:sz="6" w:space="0" w:color="C0C2C5"/>
                                              </w:divBdr>
                                            </w:div>
                                          </w:divsChild>
                                        </w:div>
                                      </w:divsChild>
                                    </w:div>
                                  </w:divsChild>
                                </w:div>
                              </w:divsChild>
                            </w:div>
                          </w:divsChild>
                        </w:div>
                      </w:divsChild>
                    </w:div>
                  </w:divsChild>
                </w:div>
              </w:divsChild>
            </w:div>
          </w:divsChild>
        </w:div>
      </w:divsChild>
    </w:div>
    <w:div w:id="1553419878">
      <w:marLeft w:val="0"/>
      <w:marRight w:val="0"/>
      <w:marTop w:val="0"/>
      <w:marBottom w:val="0"/>
      <w:divBdr>
        <w:top w:val="none" w:sz="0" w:space="0" w:color="auto"/>
        <w:left w:val="none" w:sz="0" w:space="0" w:color="auto"/>
        <w:bottom w:val="none" w:sz="0" w:space="0" w:color="auto"/>
        <w:right w:val="none" w:sz="0" w:space="0" w:color="auto"/>
      </w:divBdr>
    </w:div>
    <w:div w:id="1553419880">
      <w:marLeft w:val="0"/>
      <w:marRight w:val="0"/>
      <w:marTop w:val="0"/>
      <w:marBottom w:val="0"/>
      <w:divBdr>
        <w:top w:val="none" w:sz="0" w:space="0" w:color="auto"/>
        <w:left w:val="none" w:sz="0" w:space="0" w:color="auto"/>
        <w:bottom w:val="none" w:sz="0" w:space="0" w:color="auto"/>
        <w:right w:val="none" w:sz="0" w:space="0" w:color="auto"/>
      </w:divBdr>
    </w:div>
    <w:div w:id="1553419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1720</Words>
  <Characters>9805</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
    </vt:vector>
  </TitlesOfParts>
  <Company>Ministerstvo dopravy a výstavby SR</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dopravy a výstavby SR;Lubomir.Moravcik@mindop.sk</dc:creator>
  <cp:keywords/>
  <dc:description/>
  <cp:lastModifiedBy>Moravčík, Ľubomír</cp:lastModifiedBy>
  <cp:revision>26</cp:revision>
  <cp:lastPrinted>2021-05-11T14:35:00Z</cp:lastPrinted>
  <dcterms:created xsi:type="dcterms:W3CDTF">2019-02-19T20:26:00Z</dcterms:created>
  <dcterms:modified xsi:type="dcterms:W3CDTF">2021-05-11T14:35:00Z</dcterms:modified>
</cp:coreProperties>
</file>