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BFA151" w14:textId="4BE506E1" w:rsidR="0073141C" w:rsidRPr="00043535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ktorým sa mení a dopĺňa zákon č. 336/2015 Z. z. o podpore najmenej rozvinutých okresov a o zmene a doplnení niektorých zákonov v znení neskorších predpisov</w:t>
      </w:r>
    </w:p>
    <w:p w14:paraId="319C9038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558E7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Národná rada Slovenskej republiky sa uzniesla na tomto zákone: </w:t>
      </w:r>
    </w:p>
    <w:p w14:paraId="1347F23B" w14:textId="77777777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248A57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</w:t>
      </w:r>
    </w:p>
    <w:p w14:paraId="76DBFB53" w14:textId="77777777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7045A98B" w14:textId="613A878A" w:rsidR="0073141C" w:rsidRPr="00227783" w:rsidRDefault="0073141C" w:rsidP="002277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Zákon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č.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pacing w:val="10"/>
          <w:sz w:val="24"/>
          <w:szCs w:val="24"/>
          <w:lang w:eastAsia="sk-SK"/>
        </w:rPr>
        <w:t xml:space="preserve"> </w:t>
      </w:r>
      <w:r w:rsidRPr="002277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336/2015 Z. z. o podpore najmenej rozvinutých okresov a o zmene a doplnení niektorých zákonov v znení </w:t>
      </w:r>
      <w:r w:rsidR="00843C4E" w:rsidRPr="00227783">
        <w:rPr>
          <w:rFonts w:ascii="Times New Roman" w:hAnsi="Times New Roman" w:cs="Times New Roman"/>
          <w:b/>
          <w:sz w:val="24"/>
          <w:szCs w:val="24"/>
        </w:rPr>
        <w:t xml:space="preserve"> zákona č. 378/2016 Z. z., zákona č. 58/2018 Z. z., zákona č. 313/2018 Z. z., zákona č. 221/2019 Z. z. a zákona č. 134/2020 Z. z.</w:t>
      </w:r>
      <w:r w:rsidRPr="00227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sa mení a dopĺňa takto:</w:t>
      </w:r>
    </w:p>
    <w:p w14:paraId="3B862638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474FB67" w14:textId="2ECE363B" w:rsidR="0073141C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1.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§ 2 ods</w:t>
      </w:r>
      <w:r w:rsidR="0017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ek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2 znie:</w:t>
      </w:r>
    </w:p>
    <w:p w14:paraId="38033653" w14:textId="77777777" w:rsidR="00515D09" w:rsidRPr="00043535" w:rsidRDefault="00515D09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DD55B7" w14:textId="73226046" w:rsidR="0073141C" w:rsidRPr="00043535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515D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(2)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Najmenej rozvinutému okresu sa poskytuje podpora v súlade s týmto zákonom. Prijímateľom podpory v najmenej rozvinutom okrese sú subjekty územnej spolupráce</w:t>
      </w:r>
      <w:hyperlink r:id="rId7" w:anchor="poznamky.poznamka-1" w:tooltip="Odkaz na predpis alebo ustanovenie" w:history="1">
        <w:r w:rsidRPr="00043535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</w:t>
        </w:r>
        <w:r w:rsidRPr="00043535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a iné právnické osoby v súlade s plánom 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Prijímateľom podpory v najmenej rozvinu</w:t>
      </w:r>
      <w:r w:rsidR="002A7A04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tom okrese môžu byť v súlade s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plánom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aj fyzické osoby – podnikatelia.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“. </w:t>
      </w:r>
    </w:p>
    <w:p w14:paraId="642E2944" w14:textId="77777777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6A463C" w14:textId="77777777" w:rsidR="000D2226" w:rsidRPr="00043535" w:rsidRDefault="000D2226" w:rsidP="005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E5E894" w14:textId="08D455EB" w:rsidR="00316C0D" w:rsidRDefault="0073141C" w:rsidP="0017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2.</w:t>
      </w:r>
      <w:r w:rsidR="00474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</w:t>
      </w:r>
      <w:r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0D2226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34566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ods</w:t>
      </w:r>
      <w:r w:rsidR="006A2C4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.</w:t>
      </w:r>
      <w:r w:rsidR="0034566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1 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písm</w:t>
      </w:r>
      <w:r w:rsidR="00271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ená</w:t>
      </w:r>
      <w:r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0D2226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0E4EB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a b)</w:t>
      </w:r>
      <w:r w:rsidR="00316C0D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znejú: </w:t>
      </w:r>
    </w:p>
    <w:p w14:paraId="741833A7" w14:textId="353C1055" w:rsidR="00316C0D" w:rsidRPr="00043535" w:rsidRDefault="00316C0D" w:rsidP="00316C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a) </w:t>
      </w:r>
      <w:r w:rsidR="0062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spolupracuje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9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okresným úradom v sídle najmenej rozvinut</w:t>
      </w:r>
      <w:r w:rsidR="0062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ého</w:t>
      </w:r>
      <w:r w:rsidR="002719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okres</w:t>
      </w:r>
      <w:r w:rsidR="0062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2719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 </w:t>
      </w:r>
      <w:r w:rsidRPr="00316C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vypracovan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 plánu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5F828F38" w14:textId="03598D5E" w:rsidR="00316C0D" w:rsidRDefault="00316C0D" w:rsidP="00316C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85C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316C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vyhodnocuje a kontroluje plnenie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plánu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8BC8EE5" w14:textId="77777777" w:rsidR="000D2226" w:rsidRPr="00043535" w:rsidRDefault="000D2226" w:rsidP="005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F0A853" w14:textId="65852FF2" w:rsidR="00FD17B3" w:rsidRPr="00FD17B3" w:rsidRDefault="000E4EBF" w:rsidP="0017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3</w:t>
      </w:r>
      <w:r w:rsidR="00FD17B3" w:rsidRPr="00FD1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474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 ods. 1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písm.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FD1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FD17B3" w:rsidRPr="00043535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</w:t>
      </w:r>
      <w:r w:rsidR="00690FF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sa slová „akčného plánu“</w:t>
      </w:r>
      <w:r w:rsidR="00D0290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 xml:space="preserve"> na</w:t>
      </w:r>
      <w:r w:rsidR="00D33AE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hrádzajú slovami „plánu rozvoja</w:t>
      </w:r>
      <w:r w:rsidR="00690FFE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eastAsia="sk-SK"/>
        </w:rPr>
        <w:t>“.</w:t>
      </w:r>
      <w:r w:rsidR="00690FFE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60765AE8" w14:textId="77777777" w:rsidR="00FD17B3" w:rsidRPr="00043535" w:rsidRDefault="00FD17B3" w:rsidP="0055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78A5F8E" w14:textId="79057922" w:rsidR="00557495" w:rsidRPr="00043535" w:rsidRDefault="000E4EB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4</w:t>
      </w:r>
      <w:r w:rsidR="00557495" w:rsidRPr="000435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557495"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57495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§ 3 ods. 3 písm</w:t>
      </w:r>
      <w:r w:rsidR="00435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eno</w:t>
      </w:r>
      <w:r w:rsidR="00557495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b)</w:t>
      </w:r>
      <w:r w:rsidR="00D70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5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znie</w:t>
      </w:r>
      <w:r w:rsidR="004F674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C2AA53B" w14:textId="77777777" w:rsidR="00506534" w:rsidRDefault="004F674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506534" w:rsidRPr="00506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</w:t>
      </w:r>
      <w:r w:rsidR="00506534" w:rsidRPr="00506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ku dňu zverejnenia informácií o miere evidovanej nezamestnanosti za vykazovaný mesiac, ktorý je posledným mesiacom kalendárneho štvrťroka,</w:t>
      </w:r>
    </w:p>
    <w:p w14:paraId="7C9D5FB3" w14:textId="620507DC" w:rsidR="002028E2" w:rsidRDefault="001612E7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E1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zapíše </w:t>
      </w:r>
      <w:r w:rsidR="004F674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zoznamu naj</w:t>
      </w:r>
      <w:r w:rsidR="00345663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menej rozvinutých okresov okres</w:t>
      </w:r>
      <w:r w:rsidR="004F674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 ktorom miera evidovanej nezamestnanosti vypočítaná z disponibilného počtu uchádzačov o zamestnanie, ktorú ústredie vykazuje, bola v období za aspoň deväť kalendárnych štvrťrokov počas predchádzajúcich dvanástich po sebe nasledujúcich kale</w:t>
      </w:r>
      <w:r w:rsidR="00FE55AD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ndárnych štvrťrokov vyššia ako 1,5</w:t>
      </w:r>
      <w:r w:rsidR="004F674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-násobok priemernej miery evidovanej nezamestnanosti v Slovenskej republike za rovnaké obdobie</w:t>
      </w:r>
      <w:r w:rsidR="002028E2" w:rsidRPr="002028E2">
        <w:t xml:space="preserve"> </w:t>
      </w:r>
      <w:r w:rsidR="002028E2" w:rsidRPr="00202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zároveň dosiahla aspoň 8 %, ako aj ten okres, ktorého hranice obklopujú najmenej rozvinuté okresy alebo štátna hranica Slovenskej republiky</w:t>
      </w:r>
      <w:r w:rsidR="00D31E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376FB89F" w14:textId="77777777" w:rsidR="00294275" w:rsidRDefault="00294275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70D2DF" w14:textId="4CD6870D" w:rsidR="000D3D9B" w:rsidRDefault="00294275" w:rsidP="000D3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122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zapíše </w:t>
      </w:r>
      <w:r w:rsidR="00712247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zoznamu najmenej rozvinutých okresov </w:t>
      </w:r>
      <w:r w:rsidR="00E436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aj </w:t>
      </w:r>
      <w:r w:rsidR="00712247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okres, </w:t>
      </w:r>
      <w:r w:rsidR="00712247" w:rsidRPr="00202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ktorého hranice obklopujú najmenej rozvinuté okresy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spĺňajúce podmienku podľa prvého bodu</w:t>
      </w:r>
      <w:r w:rsidR="00712247" w:rsidRPr="002028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alebo štátna hranica Slovenskej republiky</w:t>
      </w:r>
      <w:r w:rsidR="000D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0D3D9B" w:rsidRPr="00DA6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3D9B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zoznamu najmenej rozvinutých okresov však nemožno zapísať okres krajského mesta</w:t>
      </w:r>
      <w:r w:rsidR="000D3D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6C7BFF3E" w14:textId="77777777" w:rsidR="00294275" w:rsidRPr="00043535" w:rsidRDefault="00294275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497F04" w14:textId="50F6526E" w:rsidR="004F674F" w:rsidRPr="00043535" w:rsidRDefault="00294275" w:rsidP="004F67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3</w:t>
      </w:r>
      <w:r w:rsidR="0016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27CAD" w:rsidRPr="00027CAD">
        <w:rPr>
          <w:rFonts w:ascii="Times New Roman" w:hAnsi="Times New Roman" w:cs="Times New Roman"/>
          <w:color w:val="000000" w:themeColor="text1"/>
          <w:sz w:val="24"/>
          <w:szCs w:val="24"/>
        </w:rPr>
        <w:t>vymaže zo zoznamu najmenej rozvinutých okresov okres, ktorý nespĺňa podmienku podľa prvého bodu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7CAD" w:rsidRPr="0002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 ktorom bolo plnenie akčného plánu podľa oznámenia ministerstva investícií ukončené.</w:t>
      </w:r>
      <w:r w:rsidR="004F674F"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70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9ABC6E" w14:textId="77777777" w:rsidR="004F674F" w:rsidRPr="00043535" w:rsidRDefault="004F674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83BAB17" w14:textId="1F9B43ED" w:rsidR="00572F36" w:rsidRPr="00043535" w:rsidRDefault="000E4EB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572F36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 § 3 ods. 4 písm</w:t>
      </w:r>
      <w:r w:rsidR="00DB0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</w:t>
      </w:r>
      <w:r w:rsidR="00E25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b) </w:t>
      </w:r>
      <w:r w:rsidR="00624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 c) 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zn</w:t>
      </w:r>
      <w:r w:rsidR="00624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ejú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24F3CFA4" w14:textId="695C0D67" w:rsidR="00572F36" w:rsidRPr="00043535" w:rsidRDefault="00572F36" w:rsidP="00572F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624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71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pripravuje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návrh plánu</w:t>
      </w:r>
      <w:r w:rsidR="00D0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rozvoja</w:t>
      </w:r>
      <w:r w:rsidR="0071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predkladá ho </w:t>
      </w:r>
      <w:r w:rsidR="00435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schválenie </w:t>
      </w:r>
      <w:r w:rsidR="00712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ministerstvu investícií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38718405" w14:textId="2289A1AF" w:rsidR="00572F36" w:rsidRDefault="00624E39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76093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plní úlohy</w:t>
      </w:r>
      <w:r w:rsidR="002A7A04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súvisiace s </w:t>
      </w:r>
      <w:r w:rsidR="00235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plnením</w:t>
      </w:r>
      <w:r w:rsidR="00235149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093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plánu</w:t>
      </w:r>
      <w:r w:rsidR="00D0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rozvoja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,“</w:t>
      </w:r>
      <w:r w:rsidR="00C1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50C6E19" w14:textId="18E87F6A" w:rsidR="000E4EBF" w:rsidRDefault="000E4EB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A6CC02E" w14:textId="0B7B0A0E" w:rsidR="000E4EBF" w:rsidRPr="000E4EBF" w:rsidRDefault="000E4EB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4E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293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§ 3 ods. 4 písm. 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293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prvom bode sa čiarka nahrádza </w:t>
      </w:r>
      <w:r w:rsidR="004363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slovom </w:t>
      </w:r>
      <w:r w:rsidR="002934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„a“.</w:t>
      </w:r>
    </w:p>
    <w:p w14:paraId="75E28B8E" w14:textId="77777777" w:rsidR="00572F36" w:rsidRPr="00043535" w:rsidRDefault="00572F36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10BB54" w14:textId="7C60C602" w:rsidR="00572F36" w:rsidRPr="00043535" w:rsidRDefault="00A3664A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760932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76093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2F36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§ 3 ods. 4 písm. d) sa vypúšťa </w:t>
      </w:r>
      <w:r w:rsidR="00DB0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druhý bod.</w:t>
      </w:r>
    </w:p>
    <w:p w14:paraId="0FEF38FF" w14:textId="77777777" w:rsidR="00557495" w:rsidRPr="00043535" w:rsidRDefault="00557495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6A39F1" w14:textId="3C03A117" w:rsidR="00557495" w:rsidRPr="00043535" w:rsidRDefault="00760932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Doterajší </w:t>
      </w:r>
      <w:r w:rsidR="00DB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tretí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 sa označuje ako </w:t>
      </w:r>
      <w:r w:rsidR="00DB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druhý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bod.</w:t>
      </w:r>
    </w:p>
    <w:p w14:paraId="713DD24D" w14:textId="77777777" w:rsidR="00760932" w:rsidRPr="00043535" w:rsidRDefault="00760932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9C88F" w14:textId="47120393" w:rsidR="00F021EB" w:rsidRDefault="00A3664A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60932" w:rsidRPr="0004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6093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§ 3 ods. 4 písm</w:t>
      </w:r>
      <w:r w:rsidR="008B75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eno</w:t>
      </w:r>
      <w:r w:rsidR="0076093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e) </w:t>
      </w:r>
      <w:r w:rsidR="00F021EB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znie: </w:t>
      </w:r>
    </w:p>
    <w:p w14:paraId="51500810" w14:textId="4C8363AD" w:rsidR="00760932" w:rsidRPr="00043535" w:rsidRDefault="00760932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6A2C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e) </w:t>
      </w:r>
      <w:r w:rsidR="00F02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vedie agendu súvisiacu s </w:t>
      </w:r>
      <w:r w:rsidR="002351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plnením </w:t>
      </w:r>
      <w:r w:rsidR="00D02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plánu 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rozvoja</w:t>
      </w:r>
      <w:r w:rsidR="001C32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14:paraId="0652403B" w14:textId="77777777" w:rsidR="00191CEF" w:rsidRPr="00043535" w:rsidRDefault="00191CEF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76D8EC" w14:textId="23D8762F" w:rsidR="00191CEF" w:rsidRPr="00043535" w:rsidRDefault="00A3664A" w:rsidP="005574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191CEF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91CE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</w:t>
      </w:r>
      <w:r w:rsidR="00345663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1CEF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667BBA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vrátane nadpisu znie:</w:t>
      </w:r>
    </w:p>
    <w:p w14:paraId="7DB2393F" w14:textId="77777777" w:rsidR="00572DE5" w:rsidRDefault="00667BBA" w:rsidP="00572D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„§</w:t>
      </w:r>
      <w:r w:rsidR="00345663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 </w:t>
      </w:r>
    </w:p>
    <w:p w14:paraId="166CA623" w14:textId="12529C72" w:rsidR="00667BBA" w:rsidRDefault="00FD2D80" w:rsidP="00572D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67BBA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lán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rozvoja</w:t>
      </w:r>
    </w:p>
    <w:p w14:paraId="3000EE99" w14:textId="77777777" w:rsidR="00515D09" w:rsidRPr="00043535" w:rsidRDefault="00515D09" w:rsidP="00F35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2E3C5E" w14:textId="3A99283B" w:rsidR="001B3915" w:rsidRPr="00043535" w:rsidRDefault="001B3915" w:rsidP="001B39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474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Najmenej rozvinutému okresu sa poskytuje podpora v súlade s </w:t>
      </w:r>
      <w:r w:rsidR="00D33AE3">
        <w:rPr>
          <w:rFonts w:ascii="Times New Roman" w:hAnsi="Times New Roman" w:cs="Times New Roman"/>
          <w:color w:val="000000" w:themeColor="text1"/>
          <w:sz w:val="24"/>
          <w:szCs w:val="24"/>
        </w:rPr>
        <w:t>plánom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5CED011" w14:textId="7F6C9145" w:rsidR="001B3915" w:rsidRPr="005F3E0B" w:rsidRDefault="00D0290E" w:rsidP="00474B81">
      <w:p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C01423" w:rsidRPr="00C01423">
        <w:rPr>
          <w:rFonts w:ascii="Times New Roman" w:hAnsi="Times New Roman" w:cs="Times New Roman"/>
          <w:color w:val="000000" w:themeColor="text1"/>
          <w:sz w:val="24"/>
          <w:szCs w:val="24"/>
        </w:rPr>
        <w:t>Plán rozvoja predstavuje súbor aktivít zameraných na odstraňovanie zaostávania najmenej rozvinutého okresu. Aktivita môže presahovať hran</w:t>
      </w:r>
      <w:r w:rsidR="00C0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najmenej rozvinutého okresu, </w:t>
      </w:r>
      <w:r w:rsidR="00C01423" w:rsidRPr="00C01423">
        <w:rPr>
          <w:rFonts w:ascii="Times New Roman" w:hAnsi="Times New Roman" w:cs="Times New Roman"/>
          <w:color w:val="000000" w:themeColor="text1"/>
          <w:sz w:val="24"/>
          <w:szCs w:val="24"/>
        </w:rPr>
        <w:t>ak má priamy vplyv na najmenej rozvinutý okres.</w:t>
      </w:r>
      <w:r w:rsidR="00C0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1107ED" w14:textId="4A11AE4B" w:rsidR="001B3915" w:rsidRPr="00043535" w:rsidRDefault="001B3915" w:rsidP="001B39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</w:rPr>
        <w:t>Vyšší územný celok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navrhuje </w:t>
      </w:r>
      <w:r w:rsidR="00030D51">
        <w:rPr>
          <w:rFonts w:ascii="Times New Roman" w:hAnsi="Times New Roman" w:cs="Times New Roman"/>
          <w:color w:val="000000" w:themeColor="text1"/>
          <w:sz w:val="24"/>
          <w:szCs w:val="24"/>
        </w:rPr>
        <w:t>okresn</w:t>
      </w:r>
      <w:r w:rsidR="0050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ému úradu v sídle najmenej rozvinutého okresu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okruh 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aktivít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zodpovedajúci hraniciam </w:t>
      </w:r>
      <w:r w:rsidR="00436393">
        <w:rPr>
          <w:rFonts w:ascii="Times New Roman" w:hAnsi="Times New Roman" w:cs="Times New Roman"/>
          <w:color w:val="000000" w:themeColor="text1"/>
          <w:sz w:val="24"/>
          <w:szCs w:val="24"/>
        </w:rPr>
        <w:t>vyššieho územného celku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súlade s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príslušn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ým </w:t>
      </w:r>
      <w:r w:rsidR="0069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programom 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</w:rPr>
        <w:t>hospodárskeho rozvoja a sociálneho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FFE">
        <w:rPr>
          <w:rFonts w:ascii="Times New Roman" w:hAnsi="Times New Roman" w:cs="Times New Roman"/>
          <w:color w:val="000000" w:themeColor="text1"/>
          <w:sz w:val="24"/>
          <w:szCs w:val="24"/>
        </w:rPr>
        <w:t>vyššieho územného celku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anchor="poznamky.poznamka-3" w:tooltip="Odkaz na predpis alebo ustanovenie" w:history="1">
        <w:r w:rsidR="00114A09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</w:t>
        </w:r>
        <w:r w:rsidR="00C82945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b</w:t>
        </w:r>
        <w:r w:rsidR="00690FFE" w:rsidRPr="00043535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</w:p>
    <w:p w14:paraId="6A69CA37" w14:textId="0C1F0B94" w:rsidR="001B3915" w:rsidRPr="008401A8" w:rsidRDefault="001B3915" w:rsidP="001B39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FD2D8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lán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ministerstvom investícií schválený záväzný dokument zameraný na odstraňovanie zaostávania najmenej rozvinutého okresu. </w:t>
      </w:r>
      <w:r w:rsidR="00FD2D8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lán rozvoja</w:t>
      </w:r>
      <w:r w:rsidR="008401A8" w:rsidRPr="00840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1A8" w:rsidRPr="00840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vychádza zo základných dokumentov podpory regionálneho rozvoja</w:t>
      </w:r>
      <w:r w:rsidR="00162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hyperlink r:id="rId9" w:anchor="poznamky.poznamka-2" w:tooltip="Odkaz na predpis alebo ustanovenie" w:history="1">
        <w:r w:rsidR="008401A8" w:rsidRPr="008401A8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2</w:t>
        </w:r>
        <w:r w:rsidR="008401A8" w:rsidRPr="008401A8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</w:p>
    <w:p w14:paraId="21C6924B" w14:textId="0EF7216B" w:rsidR="00566AAC" w:rsidRDefault="001B3915" w:rsidP="008B7B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</w:t>
      </w:r>
      <w:r w:rsidR="00FD2D8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lán 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1905E2">
        <w:rPr>
          <w:rFonts w:ascii="Times New Roman" w:hAnsi="Times New Roman" w:cs="Times New Roman"/>
          <w:color w:val="000000" w:themeColor="text1"/>
          <w:sz w:val="24"/>
          <w:szCs w:val="24"/>
        </w:rPr>
        <w:t>bsa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huje zdôvodnenie výberu aktiv</w:t>
      </w:r>
      <w:r w:rsidR="00B31397">
        <w:rPr>
          <w:rFonts w:ascii="Times New Roman" w:hAnsi="Times New Roman" w:cs="Times New Roman"/>
          <w:color w:val="000000" w:themeColor="text1"/>
          <w:sz w:val="24"/>
          <w:szCs w:val="24"/>
        </w:rPr>
        <w:t>ít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daný najmenej rozvinutý okres, návrh opatrení a úloh na zabezpečenie</w:t>
      </w:r>
      <w:r w:rsidR="00B3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realizácie a plnenia plánu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783A" w:rsidRPr="00BE783A">
        <w:rPr>
          <w:rFonts w:ascii="Times New Roman" w:hAnsi="Times New Roman" w:cs="Times New Roman"/>
          <w:color w:val="000000" w:themeColor="text1"/>
          <w:sz w:val="24"/>
          <w:szCs w:val="24"/>
        </w:rPr>
        <w:t>časový harmonogram,</w:t>
      </w:r>
      <w:r w:rsidR="00BE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možnosti </w:t>
      </w:r>
      <w:r w:rsidR="00BE783A" w:rsidRPr="00BE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financovania</w:t>
      </w:r>
      <w:r w:rsidR="00B3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očakávané výsledky</w:t>
      </w:r>
      <w:r w:rsidR="00BE7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783A" w:rsidRPr="00BE783A">
        <w:t xml:space="preserve"> </w:t>
      </w:r>
      <w:r w:rsidR="00BE783A" w:rsidRPr="00BE783A">
        <w:rPr>
          <w:rFonts w:ascii="Times New Roman" w:hAnsi="Times New Roman" w:cs="Times New Roman"/>
          <w:color w:val="000000" w:themeColor="text1"/>
          <w:sz w:val="24"/>
          <w:szCs w:val="24"/>
        </w:rPr>
        <w:t>monitorovanie a hodnotenie dosiahnutého pokroku.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D1D53B" w14:textId="6C648D95" w:rsidR="001B3915" w:rsidRPr="00566AAC" w:rsidRDefault="00566AAC" w:rsidP="008B7B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915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B3915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Príspevok na opatrenia v </w:t>
      </w:r>
      <w:r w:rsidR="00FD2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190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láne </w:t>
      </w:r>
      <w:r w:rsidR="00D6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rozvoja</w:t>
      </w:r>
      <w:r w:rsidR="001B3915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pri ktorých sa predpokladá financovanie z prostriedkov Európskych štrukturálnych a investičných fondov, sa poskytuje podľa osobitných predpisov.</w:t>
      </w:r>
      <w:r w:rsidR="00690FFE" w:rsidRPr="006726F1" w:rsidDel="00690FFE">
        <w:rPr>
          <w:color w:val="000000" w:themeColor="text1"/>
        </w:rPr>
        <w:t xml:space="preserve"> </w:t>
      </w:r>
      <w:hyperlink r:id="rId10" w:anchor="poznamky.poznamka-3" w:tooltip="Odkaz na predpis alebo ustanovenie" w:history="1">
        <w:r w:rsidR="00116F3F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3</w:t>
        </w:r>
        <w:r w:rsidR="00116F3F" w:rsidRPr="008401A8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</w:p>
    <w:p w14:paraId="15EDFD4C" w14:textId="296B685E" w:rsidR="001B3915" w:rsidRPr="00043535" w:rsidRDefault="001B3915" w:rsidP="001B39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D2D8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92BC9">
        <w:rPr>
          <w:rFonts w:ascii="Times New Roman" w:hAnsi="Times New Roman" w:cs="Times New Roman"/>
          <w:color w:val="000000" w:themeColor="text1"/>
          <w:sz w:val="24"/>
          <w:szCs w:val="24"/>
        </w:rPr>
        <w:t>lán rozvoja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81">
        <w:rPr>
          <w:rFonts w:ascii="Times New Roman" w:hAnsi="Times New Roman" w:cs="Times New Roman"/>
          <w:color w:val="000000" w:themeColor="text1"/>
          <w:sz w:val="24"/>
          <w:szCs w:val="24"/>
        </w:rPr>
        <w:t>schváli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="00F77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investícií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najneskôr do </w:t>
      </w:r>
      <w:r w:rsidR="00443A2A">
        <w:rPr>
          <w:rFonts w:ascii="Times New Roman" w:hAnsi="Times New Roman" w:cs="Times New Roman"/>
          <w:color w:val="000000" w:themeColor="text1"/>
          <w:sz w:val="24"/>
          <w:szCs w:val="24"/>
        </w:rPr>
        <w:t>deviati</w:t>
      </w:r>
      <w:r w:rsidR="00443A2A"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mesiacov od zápisu do zoznamu najmenej rozvinutých okresov</w:t>
      </w:r>
      <w:r w:rsidR="00B4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od dátumu </w:t>
      </w:r>
      <w:r w:rsidR="0012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kedy </w:t>
      </w:r>
      <w:r w:rsidR="00B43385" w:rsidRPr="0002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bolo plnenie </w:t>
      </w:r>
      <w:r w:rsidR="00125F25">
        <w:rPr>
          <w:rFonts w:ascii="Times New Roman" w:hAnsi="Times New Roman" w:cs="Times New Roman"/>
          <w:color w:val="000000" w:themeColor="text1"/>
          <w:sz w:val="24"/>
          <w:szCs w:val="24"/>
        </w:rPr>
        <w:t>plánu rozvoja</w:t>
      </w:r>
      <w:r w:rsidR="00B43385" w:rsidRPr="00027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oznámenia ministerstva investícií ukončené</w:t>
      </w:r>
      <w:r w:rsidR="00B2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D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najmenej rozvinutý okres </w:t>
      </w:r>
      <w:r w:rsidR="00AE0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nebol vymazaný zo zoznamu </w:t>
      </w:r>
      <w:r w:rsidR="00AE0BE2" w:rsidRPr="00AE0BE2">
        <w:rPr>
          <w:rFonts w:ascii="Times New Roman" w:hAnsi="Times New Roman" w:cs="Times New Roman"/>
          <w:color w:val="000000" w:themeColor="text1"/>
          <w:sz w:val="24"/>
          <w:szCs w:val="24"/>
        </w:rPr>
        <w:t>najmenej rozvinutých okresov</w:t>
      </w:r>
      <w:r w:rsidR="00B43385" w:rsidRPr="00027C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9A65B4" w14:textId="0014C650" w:rsidR="00F35AEA" w:rsidRDefault="001B3915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="00A60F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06E1" w:rsidRPr="00470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Plán rozvoja sa vypracováva spravidla na obdobie piatich rokov. Vypracovať ho možno</w:t>
      </w:r>
      <w:r w:rsidR="004905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aj</w:t>
      </w:r>
      <w:r w:rsidR="004706E1" w:rsidRPr="004706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 skupinu vzájomne susediacich najmenej rozvinutých okresov ako plán rozvoja najmenej rozvinutého územia.</w:t>
      </w:r>
      <w:r w:rsidR="00754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14:paraId="68E2BAD7" w14:textId="5D26B613" w:rsidR="00867492" w:rsidRDefault="00867492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E3E8225" w14:textId="77777777" w:rsidR="00867492" w:rsidRPr="00043535" w:rsidRDefault="00867492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AFB160E" w14:textId="2B0BE5DA" w:rsidR="00114A09" w:rsidRPr="00043535" w:rsidRDefault="00114A09" w:rsidP="0011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Poznámk</w:t>
      </w:r>
      <w:r w:rsidR="00272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 pod čiarou k odkazom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C82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DE2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až</w:t>
      </w:r>
      <w:r w:rsidR="00272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 zn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272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jú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D8A0C94" w14:textId="77777777" w:rsidR="00114A09" w:rsidRPr="00043535" w:rsidRDefault="00114A09" w:rsidP="00114A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80FA6" w14:textId="4EFC9C22" w:rsidR="002721E4" w:rsidRDefault="00114A09" w:rsidP="002721E4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C8294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b</w:t>
      </w:r>
      <w:r w:rsidRPr="0004353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§ 7 zákona č. 539/2008 Z. z. o podpore regionálneho rozvoja v znení zákona č. 309/2014 Z. z</w:t>
      </w:r>
      <w:r w:rsidR="002721E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018EFC75" w14:textId="04FE1569" w:rsidR="002721E4" w:rsidRDefault="002721E4" w:rsidP="002721E4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F457999" w14:textId="682EA1C7" w:rsidR="002721E4" w:rsidRDefault="002721E4" w:rsidP="00114A09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12542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50653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  <w:r w:rsidR="00492EA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§ 5 zákona č. 539/2008 Z. z. v znení zákona č. 309/2014 Z. z.</w:t>
      </w:r>
    </w:p>
    <w:p w14:paraId="4A366243" w14:textId="77777777" w:rsidR="00F35AEA" w:rsidRPr="00043535" w:rsidRDefault="00F35AEA" w:rsidP="00F35A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23647B69" w14:textId="4E168165" w:rsidR="00F35AEA" w:rsidRDefault="00F35AEA" w:rsidP="00F35A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3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04353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Napríklad </w:t>
      </w:r>
      <w:r w:rsidR="00E25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zákon </w:t>
      </w:r>
      <w:r w:rsidR="006026C7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č. 528/2008 Z. z. o pomoci a podpore poskytovanej z fondov Európskeho spoločenstva v znení neskorších predpisov</w:t>
      </w:r>
      <w:r w:rsidR="00602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026C7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zákon č. </w:t>
      </w:r>
      <w:hyperlink r:id="rId11" w:tooltip="Odkaz na predpis alebo ustanovenie" w:history="1">
        <w:r w:rsidRPr="00043535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292/2014 Z. z.</w:t>
        </w:r>
      </w:hyperlink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 príspevku poskytovanom z európskych štrukturálnych a investičných fondov a o zmene a doplnení niektorých zákonov</w:t>
      </w:r>
      <w:r w:rsidR="00602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znení </w:t>
      </w:r>
      <w:r w:rsidR="00C67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neskorších predpisov, zákon č. 57/2018 Z. z. o regionálnej investičnej pomoci a o zmene a doplnení niektorých zákonov v znení neskorších predpisov.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E4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EF257" w14:textId="77777777" w:rsidR="0013560E" w:rsidRDefault="0013560E" w:rsidP="00135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084709" w14:textId="7BF04166" w:rsidR="00F35AEA" w:rsidRPr="00043535" w:rsidRDefault="003C1AA7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366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F35AEA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F35AEA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 4a sa vypúšťa.</w:t>
      </w:r>
    </w:p>
    <w:p w14:paraId="379A0AFF" w14:textId="77777777" w:rsidR="00F35AEA" w:rsidRPr="00043535" w:rsidRDefault="00F35AEA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A4B3AD" w14:textId="621BD7B4" w:rsidR="00F7394A" w:rsidRPr="00043535" w:rsidRDefault="003C1AA7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366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F35AEA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5 vrátane nadpisu znie:</w:t>
      </w:r>
    </w:p>
    <w:p w14:paraId="50597839" w14:textId="2532FBF7" w:rsidR="00506983" w:rsidRDefault="005D5012" w:rsidP="00572D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„§ 5</w:t>
      </w:r>
    </w:p>
    <w:p w14:paraId="4CD53EAA" w14:textId="77777777" w:rsidR="00506983" w:rsidRDefault="00506983" w:rsidP="00572D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8DC1EC" w14:textId="13660B89" w:rsidR="005D5012" w:rsidRPr="00043535" w:rsidRDefault="005D5012" w:rsidP="00572D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Riadiaci výbor</w:t>
      </w:r>
    </w:p>
    <w:p w14:paraId="2F7B32E4" w14:textId="77777777" w:rsidR="00506983" w:rsidRDefault="00506983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555EEA" w14:textId="0EA03FEB" w:rsidR="005D5012" w:rsidRPr="00043535" w:rsidRDefault="005D5012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</w:t>
      </w:r>
      <w:r w:rsidR="005B6F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Riadiaci výbor je poradným orgánom ministerstva investícií.</w:t>
      </w:r>
    </w:p>
    <w:p w14:paraId="63270B3A" w14:textId="0A1F49C7" w:rsidR="005D5012" w:rsidRPr="00043535" w:rsidRDefault="005B6FD9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Riadiaci výbor </w:t>
      </w:r>
      <w:r w:rsidR="00D23A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zriadený ministerstvom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5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investícií 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každom najmenej rozvinutom okrese.</w:t>
      </w:r>
    </w:p>
    <w:p w14:paraId="6BE69033" w14:textId="04B12A9B" w:rsidR="005D5012" w:rsidRPr="00043535" w:rsidRDefault="005D5012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6254" w:rsidRPr="00E66254">
        <w:t xml:space="preserve"> </w:t>
      </w:r>
      <w:r w:rsidR="00E66254" w:rsidRPr="00E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 to plán rozvoja určí, v určených najmenej rozvinutých okresoch pôsobia viaceré riadiace výbory spoločne ako jeden spoločný riadiaci výbor</w:t>
      </w:r>
      <w:r w:rsidR="00E662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736F675" w14:textId="767FB9A2" w:rsidR="005D5012" w:rsidRPr="00043535" w:rsidRDefault="005D5012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Riadiaci výbor </w:t>
      </w:r>
      <w:r w:rsidR="00D57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 podieľa na príprave výzvy na predkladanie žiadosti o poskytnutie regionálneho príspevku podľa tohto zákona a na jej vyhodnocovaní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29998C7" w14:textId="188DD74E" w:rsidR="005D5012" w:rsidRPr="00043535" w:rsidRDefault="005D5012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Členov riadiaceho výboru </w:t>
      </w:r>
      <w:r w:rsidR="00E25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vymenúva </w:t>
      </w:r>
      <w:r w:rsidR="00566A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odvoláva minister investícií, regionálneho rozvoja a informatizácie Slovenskej republiky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528A576" w14:textId="77777777" w:rsidR="00232F52" w:rsidRDefault="00232F52" w:rsidP="00232F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(6)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Členmi riadiaceho výboru sú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zástupcovia</w:t>
      </w:r>
    </w:p>
    <w:p w14:paraId="53B58B4F" w14:textId="77777777" w:rsidR="00623035" w:rsidRDefault="00232F52" w:rsidP="00232F5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62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ministerstva investícií, </w:t>
      </w:r>
    </w:p>
    <w:p w14:paraId="600F8B77" w14:textId="77777777" w:rsidR="00623035" w:rsidRDefault="00623035" w:rsidP="00232F5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vyššieho územného celku, do ktorého najmenej rozvinutý okres patrí,</w:t>
      </w:r>
    </w:p>
    <w:p w14:paraId="3A5E532D" w14:textId="77777777" w:rsidR="00623035" w:rsidRDefault="00623035" w:rsidP="00232F5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okresného úradu najmenej rozvinutého okresu,</w:t>
      </w:r>
    </w:p>
    <w:p w14:paraId="0179E537" w14:textId="1BBC2571" w:rsidR="005E2490" w:rsidRDefault="00623035" w:rsidP="00232F52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</w:t>
      </w:r>
      <w:r w:rsidDel="00623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24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miest a obcí patriacich do najmenej rozvinutého okresu,</w:t>
      </w:r>
    </w:p>
    <w:p w14:paraId="1331D3F8" w14:textId="309AFC9E" w:rsidR="005E2490" w:rsidRPr="009008D6" w:rsidRDefault="00623035" w:rsidP="005E2490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232F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5E24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sociálno-ekonomických partnerov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E2490" w:rsidRPr="00DE2A3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1a</w:t>
      </w:r>
      <w:r w:rsidR="005E2490" w:rsidRPr="00DE2A3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</w:p>
    <w:p w14:paraId="0BFB23B3" w14:textId="3BBA3C3F" w:rsidR="005D5012" w:rsidRPr="00043535" w:rsidRDefault="005B6FD9" w:rsidP="005D501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(7)</w:t>
      </w:r>
      <w:r w:rsidR="00515D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Podrobnosti o</w:t>
      </w:r>
      <w:r w:rsidR="007E2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zriadení,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B3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zložení, 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úlohách a činnosti riadiac</w:t>
      </w:r>
      <w:r w:rsidR="00506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eho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výbor</w:t>
      </w:r>
      <w:r w:rsidR="005065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ustanovuje štatút, ktorý schvaľuje ministerstvo investícií.“</w:t>
      </w:r>
      <w:r w:rsidR="000E4E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D501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73D297C" w14:textId="72A6124D" w:rsidR="00DD5330" w:rsidRPr="00043535" w:rsidRDefault="00DD5330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3C7CB1" w14:textId="79F67BEB" w:rsidR="009B3796" w:rsidRDefault="003C1AA7" w:rsidP="00302E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366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7394A" w:rsidRPr="007B0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F7394A" w:rsidRPr="007B0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6 </w:t>
      </w:r>
      <w:r w:rsidR="009B3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vrátane nadpisu znie: </w:t>
      </w:r>
    </w:p>
    <w:p w14:paraId="33C5CB15" w14:textId="77777777" w:rsidR="009B3796" w:rsidRDefault="009B3796" w:rsidP="00492EA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„§ 6</w:t>
      </w:r>
    </w:p>
    <w:p w14:paraId="474E23CB" w14:textId="77777777" w:rsidR="009B3796" w:rsidRDefault="009B3796" w:rsidP="00492EA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43D46B4" w14:textId="5DCE1D7D" w:rsidR="009B3796" w:rsidRDefault="009B3796" w:rsidP="00492EA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Podpora</w:t>
      </w:r>
    </w:p>
    <w:p w14:paraId="309A2909" w14:textId="77777777" w:rsidR="009B3796" w:rsidRDefault="009B3796" w:rsidP="00302E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C09FF49" w14:textId="1BC0055B" w:rsidR="00F7394A" w:rsidRDefault="009B3796" w:rsidP="00302E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Podpora sa poskytuje v súlade s plánom rozvoja v súlade s osobitnými predpismi,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zákonom o štátnom rozpočte na príslušný rozpočtový rok a podľa § 8.“</w:t>
      </w:r>
      <w:r w:rsidR="0030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12EB04B" w14:textId="77777777" w:rsidR="007B05CA" w:rsidRPr="007B05CA" w:rsidRDefault="007B05CA" w:rsidP="00F35A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5990A9" w14:textId="314F71FE" w:rsidR="00867492" w:rsidRDefault="00A3664A" w:rsidP="008674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</w:t>
      </w:r>
      <w:r w:rsidR="00F7394A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F7394A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§</w:t>
      </w:r>
      <w:r w:rsidR="00302E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394A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</w:t>
      </w:r>
      <w:r w:rsidR="00867492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 vypúšťa.</w:t>
      </w:r>
    </w:p>
    <w:p w14:paraId="54E9A7D9" w14:textId="77777777" w:rsidR="00F35AEA" w:rsidRPr="00043535" w:rsidRDefault="00F35AEA" w:rsidP="0086749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22D90C85" w14:textId="30815423" w:rsidR="0099383E" w:rsidRPr="00043535" w:rsidRDefault="00A3664A" w:rsidP="009938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99383E" w:rsidRPr="000435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15D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83E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162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83E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vrátane nadpisu znie:</w:t>
      </w:r>
    </w:p>
    <w:p w14:paraId="7B49D7E6" w14:textId="676D8394" w:rsidR="00506983" w:rsidRDefault="001C1F1C" w:rsidP="00813D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81208D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</w:t>
      </w:r>
      <w:r w:rsidR="00162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208D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</w:p>
    <w:p w14:paraId="407C3196" w14:textId="77777777" w:rsidR="00506983" w:rsidRDefault="00506983" w:rsidP="00813D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C2183D" w14:textId="5AEC90CF" w:rsidR="00F35AEA" w:rsidRPr="00043535" w:rsidRDefault="0081208D" w:rsidP="00813D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Regionálny príspevok</w:t>
      </w:r>
    </w:p>
    <w:p w14:paraId="15DFEE03" w14:textId="77777777" w:rsidR="00506983" w:rsidRDefault="00506983" w:rsidP="007A71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D9BA87" w14:textId="77777777" w:rsidR="00293471" w:rsidRPr="008B7B35" w:rsidRDefault="00293471" w:rsidP="002934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Regionálny príspevok je finančný príspevok poskytovaný z rozpočtovej kapitoly ministerstva in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vestícií v súlade s plánom rozvoja</w:t>
      </w: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978503C" w14:textId="7FFCEEA9" w:rsidR="001D1BBD" w:rsidRPr="001D1BBD" w:rsidRDefault="001D1BBD" w:rsidP="001D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 Regionálny príspevok možno poskytnúť na základe písomnej žiadosti. Žiadosť o poskytnutie regionálneho príspevku  obsahuje najmä</w:t>
      </w:r>
    </w:p>
    <w:p w14:paraId="07AAD9DA" w14:textId="77777777" w:rsidR="001D1BBD" w:rsidRPr="001D1BBD" w:rsidRDefault="001D1BBD" w:rsidP="001D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 údaje o žiadateľovi,</w:t>
      </w:r>
    </w:p>
    <w:p w14:paraId="407441AF" w14:textId="77777777" w:rsidR="001D1BBD" w:rsidRPr="001D1BBD" w:rsidRDefault="001D1BBD" w:rsidP="001D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účel, na ktorý sa regionálny príspevok žiada, </w:t>
      </w:r>
    </w:p>
    <w:p w14:paraId="4708A6F9" w14:textId="77777777" w:rsidR="001D1BBD" w:rsidRPr="001D1BBD" w:rsidRDefault="001D1BBD" w:rsidP="001D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 počet podporených pracovných miest,</w:t>
      </w:r>
    </w:p>
    <w:p w14:paraId="31FA747A" w14:textId="77777777" w:rsidR="001D1BBD" w:rsidRPr="001D1BBD" w:rsidRDefault="001D1BBD" w:rsidP="001D1B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požadovanú výšku regionálneho príspevku,</w:t>
      </w:r>
    </w:p>
    <w:p w14:paraId="712E0FB3" w14:textId="77777777" w:rsidR="0027191C" w:rsidRDefault="001D1BBD" w:rsidP="002934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e) </w:t>
      </w:r>
      <w:r w:rsidR="00301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požadovanú </w:t>
      </w:r>
      <w:r w:rsidRPr="001D1B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výšku celkových nákladov a rozpočet projektu. </w:t>
      </w:r>
    </w:p>
    <w:p w14:paraId="46CCCB7A" w14:textId="22E5A5B8" w:rsidR="00293471" w:rsidRPr="008B7B35" w:rsidRDefault="00293471" w:rsidP="002934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 Poskytovanie</w:t>
      </w: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regionálneho príspevku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 jeho následné monitorovanie a hodnotenie podľa </w:t>
      </w:r>
      <w:r w:rsidR="00362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určených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ukazovateľov upravuje záväzná metodika vydaná</w:t>
      </w: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ministerstvom investícií.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Prijímateľ je povinný poskytovať údaje ministerstvu investícií v požadovanom rozsahu na účely transparentného riadenia a kontroly poskytovania regionálneho príspevku.</w:t>
      </w:r>
    </w:p>
    <w:p w14:paraId="39A6D818" w14:textId="77777777" w:rsidR="00293471" w:rsidRPr="008B7B35" w:rsidRDefault="00293471" w:rsidP="002934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(4) Pri poskytovaní regionálneho príspevku sa uplatňujú princípy transparentnosti, hospodárnosti, efektívnosti, účinnosti a účelnosti a zákaz konfliktu záujmov.</w:t>
      </w:r>
    </w:p>
    <w:p w14:paraId="7B4FCF0D" w14:textId="7B0BCB96" w:rsidR="00943C89" w:rsidRPr="008B7B35" w:rsidRDefault="00293471" w:rsidP="00943C8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 Regionálny príspevok možno poskytnúť prijímateľovi, ak</w:t>
      </w:r>
      <w:r w:rsidR="00544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FDC" w:rsidRPr="00544F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spĺňa podmienky podľa osobitného predpisu</w:t>
      </w:r>
      <w:r w:rsidR="00C9213E" w:rsidRPr="00DE2A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hyperlink r:id="rId12" w:anchor="poznamky.poznamka-3a" w:tooltip="Odkaz na predpis alebo ustanovenie" w:history="1">
        <w:r w:rsidR="00943C89" w:rsidRPr="00DE2A3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3a</w:t>
        </w:r>
        <w:r w:rsidR="00943C89" w:rsidRPr="00DE2A3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14:paraId="60F51399" w14:textId="5A9F0272" w:rsidR="00A44B47" w:rsidRDefault="00943C89" w:rsidP="002934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B7B35" w:rsidDel="00943C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3471" w:rsidRPr="008B7B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(6) 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Regionálny príspevok možno poskytnúť prijímateľovi, ak nespĺňa podmienky podľa odseku 5</w:t>
      </w:r>
      <w:r w:rsidR="00A612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</w:p>
    <w:p w14:paraId="1FC38C37" w14:textId="63744D3C" w:rsidR="00A44B47" w:rsidRDefault="00A44B47" w:rsidP="002934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táto skutočnosť </w:t>
      </w:r>
      <w:r w:rsidR="0050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uvedená v pláne rozvoja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</w:p>
    <w:p w14:paraId="6C503B13" w14:textId="074B6CB5" w:rsidR="00293471" w:rsidRPr="008B7B35" w:rsidRDefault="00A44B47" w:rsidP="0029347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b) 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ĺňa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podmienk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8A055E" w:rsidRPr="008A0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osobitného predpisu</w:t>
      </w:r>
      <w:r w:rsidR="00293471"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hyperlink r:id="rId13" w:anchor="poznamky.poznamka-3aa" w:tooltip="Odkaz na predpis alebo ustanovenie" w:history="1">
        <w:r w:rsidR="000E6722" w:rsidRPr="00DE2A3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3aa</w:t>
        </w:r>
        <w:r w:rsidR="000E6722" w:rsidRPr="00DE2A30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14:paraId="5CF73E10" w14:textId="77777777" w:rsidR="00293471" w:rsidRPr="005041EA" w:rsidRDefault="00293471" w:rsidP="00293471">
      <w:pPr>
        <w:jc w:val="both"/>
        <w:rPr>
          <w:rFonts w:ascii="Times New Roman" w:hAnsi="Times New Roman" w:cs="Times New Roman"/>
          <w:sz w:val="24"/>
          <w:szCs w:val="24"/>
        </w:rPr>
      </w:pPr>
      <w:r w:rsidRPr="005041EA">
        <w:rPr>
          <w:rFonts w:ascii="Times New Roman" w:hAnsi="Times New Roman" w:cs="Times New Roman"/>
          <w:sz w:val="24"/>
          <w:szCs w:val="24"/>
        </w:rPr>
        <w:t xml:space="preserve">(7) Ak sa má regionálny príspevok poskytnúť na výstavbu, podmienkou jeho poskytnutia je vlastnícke právo alebo iné právo prijímateľa k pozemku a jeho záväzok, že tieto práva k pozemku a vlastnícke právo k nadobudnutej stavbe sa nezmenia najmenej po dobu piatich </w:t>
      </w:r>
      <w:r w:rsidRPr="005041EA">
        <w:rPr>
          <w:rFonts w:ascii="Times New Roman" w:hAnsi="Times New Roman" w:cs="Times New Roman"/>
          <w:sz w:val="24"/>
          <w:szCs w:val="24"/>
        </w:rPr>
        <w:lastRenderedPageBreak/>
        <w:t>rokov od dokončenia výstavby. Ak sa má regionálny príspevok poskytnúť na zmenu stavby alebo stavebné úpravy, podmienkou jeho poskytnutia je vlastnícke právo alebo iné právo prijímateľa k pozemku a k stavbe a jeho záväzok, že tieto práva k pozemku a k stavbe sa nezmenia najmenej po dobu piatich rokov od dokončenia zmeny stavby alebo dokončenia stavebných úprav.</w:t>
      </w:r>
    </w:p>
    <w:p w14:paraId="1414D6E3" w14:textId="77777777" w:rsidR="00293471" w:rsidRPr="008B7B35" w:rsidRDefault="00293471" w:rsidP="0029347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(8) Ak je poskytnutie regionálneho príspevku štátnou pomocou alebo minimálnou pomocou, za poskytovateľa regionálneho príspevku sa považuje ministerstvo investícií.</w:t>
      </w:r>
    </w:p>
    <w:p w14:paraId="7E848B97" w14:textId="77777777" w:rsidR="00293471" w:rsidRPr="008B7B35" w:rsidRDefault="00293471" w:rsidP="0029347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(9) Regionálny príspevok sa poskytuje na základe zmluvy, ktorú uzatvára s prijímateľom ministerstvo investícií.</w:t>
      </w:r>
    </w:p>
    <w:p w14:paraId="3DEC2AD9" w14:textId="60D2C515" w:rsidR="00293471" w:rsidRPr="008B7B35" w:rsidRDefault="00293471" w:rsidP="002934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</w:rPr>
        <w:t>(10) Právny nárok na poskytnutie regionálneho príspevku vzniká nadobudnutím účinnosti zmluvy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za podmienok v zmluve uvedených</w:t>
      </w:r>
      <w:r w:rsidRPr="008B7B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D14C56" w14:textId="10DFB1BD" w:rsidR="00345663" w:rsidRDefault="00293471" w:rsidP="00293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(11) Na poskytovanie regionálneho príspevku podľa tohto zákona sa nevzťahuje správny poriadok.</w:t>
      </w:r>
      <w:r w:rsidR="00754F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  <w:r w:rsidR="006947EF" w:rsidDel="006947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ED575D" w14:textId="403D5B09" w:rsidR="00C739A2" w:rsidRDefault="00C739A2" w:rsidP="00293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DA305B" w14:textId="2D2E66E8" w:rsidR="00C739A2" w:rsidRDefault="00C739A2" w:rsidP="00293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Poznámky pod čiarou k odkazom 3a</w:t>
      </w:r>
      <w:r w:rsidR="0020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3aa</w:t>
      </w:r>
      <w:r w:rsidR="00492E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znejú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3F9755E4" w14:textId="2BC6DEED" w:rsidR="00C739A2" w:rsidRPr="00C739A2" w:rsidRDefault="00C739A2" w:rsidP="00293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1D9200" w14:textId="20AB38C0" w:rsidR="00C739A2" w:rsidRPr="00B76731" w:rsidRDefault="00C739A2" w:rsidP="00C739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6731">
        <w:rPr>
          <w:rFonts w:ascii="Times New Roman" w:hAnsi="Times New Roman" w:cs="Times New Roman"/>
          <w:sz w:val="24"/>
          <w:szCs w:val="24"/>
        </w:rPr>
        <w:t>„</w:t>
      </w:r>
      <w:r w:rsidR="0062303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3a</w:t>
      </w:r>
      <w:r w:rsidRPr="00B76731">
        <w:rPr>
          <w:rFonts w:ascii="Times New Roman" w:hAnsi="Times New Roman" w:cs="Times New Roman"/>
          <w:sz w:val="24"/>
          <w:szCs w:val="24"/>
        </w:rPr>
        <w:t xml:space="preserve">) </w:t>
      </w:r>
      <w:r w:rsidR="00943C89" w:rsidRPr="00B76731">
        <w:rPr>
          <w:rFonts w:ascii="Times New Roman" w:hAnsi="Times New Roman" w:cs="Times New Roman"/>
          <w:sz w:val="24"/>
          <w:szCs w:val="24"/>
        </w:rPr>
        <w:t>§ 8a ods. 4 zákona č. 523/2004 Z. z. v znení neskorších predpisov</w:t>
      </w:r>
      <w:r w:rsidRPr="00B767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E024316" w14:textId="5AB5332C" w:rsidR="00C739A2" w:rsidRPr="00B76731" w:rsidRDefault="00623035" w:rsidP="00C739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</w:rPr>
        <w:t>3aa</w:t>
      </w:r>
      <w:r w:rsidR="00C739A2" w:rsidRPr="00B76731">
        <w:rPr>
          <w:rFonts w:ascii="Times New Roman" w:hAnsi="Times New Roman" w:cs="Times New Roman"/>
          <w:sz w:val="24"/>
          <w:szCs w:val="24"/>
        </w:rPr>
        <w:t xml:space="preserve">) </w:t>
      </w:r>
      <w:r w:rsidR="00943C89" w:rsidRPr="00B76731">
        <w:rPr>
          <w:rFonts w:ascii="Times New Roman" w:hAnsi="Times New Roman" w:cs="Times New Roman"/>
          <w:sz w:val="24"/>
          <w:szCs w:val="24"/>
        </w:rPr>
        <w:t>§ 8 ods. 11 zákona č. 523/2004 Z. z. v znení neskorších predpisov.</w:t>
      </w:r>
      <w:r w:rsidR="00754F8F">
        <w:rPr>
          <w:rFonts w:ascii="Times New Roman" w:hAnsi="Times New Roman" w:cs="Times New Roman"/>
          <w:sz w:val="24"/>
          <w:szCs w:val="24"/>
        </w:rPr>
        <w:t>“.</w:t>
      </w:r>
      <w:r w:rsidR="00C739A2" w:rsidRPr="00B76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6D5DA" w14:textId="77777777" w:rsidR="002C170D" w:rsidRPr="00043535" w:rsidRDefault="002C170D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6D780" w14:textId="5A0245B8" w:rsidR="002C170D" w:rsidRPr="00043535" w:rsidRDefault="00624E39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36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C170D" w:rsidRPr="0004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C170D" w:rsidRPr="0004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70D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 § 11 sa </w:t>
      </w:r>
      <w:r w:rsidR="00060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dopĺňa</w:t>
      </w:r>
      <w:r w:rsidR="000605C4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70D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12, ktorý vrátane nadpisu znie:</w:t>
      </w:r>
    </w:p>
    <w:p w14:paraId="5D815144" w14:textId="77777777" w:rsidR="00ED3CB7" w:rsidRDefault="00ED3CB7" w:rsidP="00813D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061207" w14:textId="760FF6F0" w:rsidR="0048691F" w:rsidRDefault="002C170D" w:rsidP="00813D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„§ 12</w:t>
      </w:r>
    </w:p>
    <w:p w14:paraId="051CFA85" w14:textId="4084C54B" w:rsidR="002C170D" w:rsidRDefault="002C170D" w:rsidP="00813D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Prechodné ustanoveni</w:t>
      </w:r>
      <w:r w:rsidR="00AA31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 úpravám účinným od 1. </w:t>
      </w:r>
      <w:r w:rsidR="004E7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novembra</w:t>
      </w:r>
      <w:r w:rsidR="00CE0489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</w:t>
      </w:r>
    </w:p>
    <w:p w14:paraId="3869D74F" w14:textId="77777777" w:rsidR="004602DA" w:rsidRDefault="004602DA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A46F906" w14:textId="7E4956E6" w:rsidR="00861B4F" w:rsidRDefault="00120CD7" w:rsidP="001B0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61B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861B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6F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kčn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plán </w:t>
      </w:r>
      <w:r w:rsidR="00F26F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schválen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 31. októbra 2021 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 považuj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 plán rozvoja 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podľa § 4 v znení účinnom od 1. novembra 2021</w:t>
      </w:r>
      <w:r w:rsidR="00861B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790D8B3" w14:textId="77777777" w:rsidR="00861B4F" w:rsidRDefault="00861B4F" w:rsidP="001B0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1A442129" w14:textId="23426823" w:rsidR="001B0512" w:rsidRPr="00B96F14" w:rsidRDefault="00120CD7" w:rsidP="001B05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(2)</w:t>
      </w:r>
      <w:r w:rsidR="00F26F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861B4F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kčn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861B4F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plán </w:t>
      </w:r>
      <w:r w:rsidR="00F26F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schválen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861B4F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 31. októbra 2021 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bud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prepracovan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6F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podľa tohto zákona</w:t>
      </w:r>
      <w:r w:rsidR="00A44B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najneskôr do 31. mája 2022. Povinnosť podľa prvej vety sa nevzťahuje na akčn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ý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plán, ktor</w:t>
      </w:r>
      <w:r w:rsidR="00CD7F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ého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doba plnenia uplynie do 31. decembra 2021.</w:t>
      </w:r>
      <w:r w:rsidR="001B05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“</w:t>
      </w:r>
      <w:r w:rsidR="00754F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B0512" w:rsidRPr="00B96F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4A04333" w14:textId="77777777" w:rsidR="004C2CFB" w:rsidRPr="00043535" w:rsidRDefault="004C2CFB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26815E" w14:textId="77777777" w:rsidR="0000662A" w:rsidRPr="00043535" w:rsidRDefault="0000662A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3D9F6E" w14:textId="77777777" w:rsidR="00345663" w:rsidRPr="00043535" w:rsidRDefault="00345663" w:rsidP="003456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E1A2635" w14:textId="77777777" w:rsidR="0073141C" w:rsidRPr="00043535" w:rsidRDefault="0073141C" w:rsidP="0034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38CAFF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Čl. II</w:t>
      </w:r>
    </w:p>
    <w:p w14:paraId="39D06956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B65D3C6" w14:textId="65EEC22E" w:rsidR="0073141C" w:rsidRPr="00043535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zákon nadobúda účinnosť </w:t>
      </w:r>
      <w:r w:rsidR="002E205B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4E7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novembra</w:t>
      </w:r>
      <w:r w:rsidR="00460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205B" w:rsidRPr="00043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</w:t>
      </w:r>
      <w:r w:rsidRPr="0004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5C7A0A00" w14:textId="77777777" w:rsidR="00952539" w:rsidRPr="00043535" w:rsidRDefault="00984C0C" w:rsidP="0073141C">
      <w:pPr>
        <w:rPr>
          <w:rFonts w:ascii="Times New Roman" w:hAnsi="Times New Roman" w:cs="Times New Roman"/>
          <w:sz w:val="24"/>
          <w:szCs w:val="24"/>
        </w:rPr>
      </w:pPr>
    </w:p>
    <w:sectPr w:rsidR="00952539" w:rsidRPr="000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27CAD"/>
    <w:rsid w:val="00030D51"/>
    <w:rsid w:val="00033C9A"/>
    <w:rsid w:val="00043535"/>
    <w:rsid w:val="000605C4"/>
    <w:rsid w:val="00060818"/>
    <w:rsid w:val="0007632C"/>
    <w:rsid w:val="000A4861"/>
    <w:rsid w:val="000A5CBB"/>
    <w:rsid w:val="000D2226"/>
    <w:rsid w:val="000D3D9B"/>
    <w:rsid w:val="000E4EBF"/>
    <w:rsid w:val="000E6722"/>
    <w:rsid w:val="00114A09"/>
    <w:rsid w:val="00116F3F"/>
    <w:rsid w:val="00120CD7"/>
    <w:rsid w:val="0012542A"/>
    <w:rsid w:val="00125F25"/>
    <w:rsid w:val="0013560E"/>
    <w:rsid w:val="001612E7"/>
    <w:rsid w:val="00162528"/>
    <w:rsid w:val="0017226E"/>
    <w:rsid w:val="001905E2"/>
    <w:rsid w:val="00191CEF"/>
    <w:rsid w:val="001B0512"/>
    <w:rsid w:val="001B3915"/>
    <w:rsid w:val="001C1F1C"/>
    <w:rsid w:val="001C3270"/>
    <w:rsid w:val="001D1BBD"/>
    <w:rsid w:val="001F3AA4"/>
    <w:rsid w:val="00200579"/>
    <w:rsid w:val="002028E2"/>
    <w:rsid w:val="0020313D"/>
    <w:rsid w:val="0021372B"/>
    <w:rsid w:val="00227783"/>
    <w:rsid w:val="00232F52"/>
    <w:rsid w:val="00235149"/>
    <w:rsid w:val="002500E4"/>
    <w:rsid w:val="0027191C"/>
    <w:rsid w:val="002721E4"/>
    <w:rsid w:val="00277CE2"/>
    <w:rsid w:val="00293471"/>
    <w:rsid w:val="0029369D"/>
    <w:rsid w:val="00294275"/>
    <w:rsid w:val="00294C2B"/>
    <w:rsid w:val="00295F4B"/>
    <w:rsid w:val="002A7A04"/>
    <w:rsid w:val="002C170D"/>
    <w:rsid w:val="002E205B"/>
    <w:rsid w:val="002F118E"/>
    <w:rsid w:val="00301491"/>
    <w:rsid w:val="00301C39"/>
    <w:rsid w:val="00302E07"/>
    <w:rsid w:val="00316C0D"/>
    <w:rsid w:val="00331FF4"/>
    <w:rsid w:val="00342585"/>
    <w:rsid w:val="00345663"/>
    <w:rsid w:val="00362AB6"/>
    <w:rsid w:val="00393C71"/>
    <w:rsid w:val="003A430C"/>
    <w:rsid w:val="003C1AA7"/>
    <w:rsid w:val="003E6655"/>
    <w:rsid w:val="003F22BB"/>
    <w:rsid w:val="00425CF2"/>
    <w:rsid w:val="00435483"/>
    <w:rsid w:val="00436393"/>
    <w:rsid w:val="00443A2A"/>
    <w:rsid w:val="00450225"/>
    <w:rsid w:val="004602DA"/>
    <w:rsid w:val="004706E1"/>
    <w:rsid w:val="00474B81"/>
    <w:rsid w:val="00475CDC"/>
    <w:rsid w:val="0048691F"/>
    <w:rsid w:val="004905AB"/>
    <w:rsid w:val="00492EAE"/>
    <w:rsid w:val="004A4585"/>
    <w:rsid w:val="004B46ED"/>
    <w:rsid w:val="004B5335"/>
    <w:rsid w:val="004C2CFB"/>
    <w:rsid w:val="004D66D8"/>
    <w:rsid w:val="004E7480"/>
    <w:rsid w:val="004F674F"/>
    <w:rsid w:val="005041EA"/>
    <w:rsid w:val="00506534"/>
    <w:rsid w:val="00506983"/>
    <w:rsid w:val="00515D09"/>
    <w:rsid w:val="00543812"/>
    <w:rsid w:val="00544FDC"/>
    <w:rsid w:val="00557495"/>
    <w:rsid w:val="005632B8"/>
    <w:rsid w:val="00566AAC"/>
    <w:rsid w:val="00572DE5"/>
    <w:rsid w:val="00572F36"/>
    <w:rsid w:val="00582FAD"/>
    <w:rsid w:val="00584B2C"/>
    <w:rsid w:val="00584E45"/>
    <w:rsid w:val="005864B2"/>
    <w:rsid w:val="00590851"/>
    <w:rsid w:val="00592BC9"/>
    <w:rsid w:val="00596C5C"/>
    <w:rsid w:val="005A2038"/>
    <w:rsid w:val="005B6FD9"/>
    <w:rsid w:val="005D5012"/>
    <w:rsid w:val="005E121F"/>
    <w:rsid w:val="005E2490"/>
    <w:rsid w:val="005E6BB9"/>
    <w:rsid w:val="005F3E0B"/>
    <w:rsid w:val="005F6004"/>
    <w:rsid w:val="005F71D4"/>
    <w:rsid w:val="006026C7"/>
    <w:rsid w:val="0060541D"/>
    <w:rsid w:val="00623035"/>
    <w:rsid w:val="00624E39"/>
    <w:rsid w:val="00625C12"/>
    <w:rsid w:val="006323EA"/>
    <w:rsid w:val="00667BBA"/>
    <w:rsid w:val="00667FDB"/>
    <w:rsid w:val="006726F1"/>
    <w:rsid w:val="006743EA"/>
    <w:rsid w:val="0068707C"/>
    <w:rsid w:val="00690FFE"/>
    <w:rsid w:val="006947EF"/>
    <w:rsid w:val="006A2C4C"/>
    <w:rsid w:val="006B6AD5"/>
    <w:rsid w:val="006C0D1C"/>
    <w:rsid w:val="006D7263"/>
    <w:rsid w:val="006E7B41"/>
    <w:rsid w:val="00704237"/>
    <w:rsid w:val="00712247"/>
    <w:rsid w:val="007126DB"/>
    <w:rsid w:val="00726D94"/>
    <w:rsid w:val="0073141C"/>
    <w:rsid w:val="0074050B"/>
    <w:rsid w:val="00751A5A"/>
    <w:rsid w:val="00754F8F"/>
    <w:rsid w:val="00760932"/>
    <w:rsid w:val="00770211"/>
    <w:rsid w:val="00775821"/>
    <w:rsid w:val="007844E6"/>
    <w:rsid w:val="00786497"/>
    <w:rsid w:val="007A3048"/>
    <w:rsid w:val="007A58AE"/>
    <w:rsid w:val="007A71B4"/>
    <w:rsid w:val="007B05CA"/>
    <w:rsid w:val="007B49F9"/>
    <w:rsid w:val="007E2AB9"/>
    <w:rsid w:val="00800273"/>
    <w:rsid w:val="0081208D"/>
    <w:rsid w:val="00813D41"/>
    <w:rsid w:val="008154E8"/>
    <w:rsid w:val="00836925"/>
    <w:rsid w:val="008401A8"/>
    <w:rsid w:val="00843C4E"/>
    <w:rsid w:val="00861B4F"/>
    <w:rsid w:val="0086245B"/>
    <w:rsid w:val="00867492"/>
    <w:rsid w:val="0087049A"/>
    <w:rsid w:val="00883ED0"/>
    <w:rsid w:val="0089006B"/>
    <w:rsid w:val="00895018"/>
    <w:rsid w:val="008A055E"/>
    <w:rsid w:val="008B750C"/>
    <w:rsid w:val="008B7B35"/>
    <w:rsid w:val="008D2B35"/>
    <w:rsid w:val="008E1AB4"/>
    <w:rsid w:val="008E7BF4"/>
    <w:rsid w:val="00941ACA"/>
    <w:rsid w:val="00943C89"/>
    <w:rsid w:val="009456B5"/>
    <w:rsid w:val="00951DB3"/>
    <w:rsid w:val="00956FD3"/>
    <w:rsid w:val="00961721"/>
    <w:rsid w:val="00970707"/>
    <w:rsid w:val="0099383E"/>
    <w:rsid w:val="00997600"/>
    <w:rsid w:val="009A7639"/>
    <w:rsid w:val="009B11F8"/>
    <w:rsid w:val="009B3796"/>
    <w:rsid w:val="00A01E64"/>
    <w:rsid w:val="00A13AAD"/>
    <w:rsid w:val="00A1784E"/>
    <w:rsid w:val="00A3664A"/>
    <w:rsid w:val="00A37D84"/>
    <w:rsid w:val="00A44B47"/>
    <w:rsid w:val="00A47BA8"/>
    <w:rsid w:val="00A513D8"/>
    <w:rsid w:val="00A60F70"/>
    <w:rsid w:val="00A61241"/>
    <w:rsid w:val="00A803A7"/>
    <w:rsid w:val="00A967C1"/>
    <w:rsid w:val="00AA2A78"/>
    <w:rsid w:val="00AA3190"/>
    <w:rsid w:val="00AD4CB1"/>
    <w:rsid w:val="00AE0BE2"/>
    <w:rsid w:val="00B14D56"/>
    <w:rsid w:val="00B240D2"/>
    <w:rsid w:val="00B31397"/>
    <w:rsid w:val="00B40235"/>
    <w:rsid w:val="00B43385"/>
    <w:rsid w:val="00B7314C"/>
    <w:rsid w:val="00B76731"/>
    <w:rsid w:val="00B77A43"/>
    <w:rsid w:val="00BC5681"/>
    <w:rsid w:val="00BD0F5B"/>
    <w:rsid w:val="00BE783A"/>
    <w:rsid w:val="00BF750F"/>
    <w:rsid w:val="00C01423"/>
    <w:rsid w:val="00C077AC"/>
    <w:rsid w:val="00C118B9"/>
    <w:rsid w:val="00C14414"/>
    <w:rsid w:val="00C343E9"/>
    <w:rsid w:val="00C63896"/>
    <w:rsid w:val="00C67506"/>
    <w:rsid w:val="00C739A2"/>
    <w:rsid w:val="00C807CC"/>
    <w:rsid w:val="00C8128C"/>
    <w:rsid w:val="00C82945"/>
    <w:rsid w:val="00C85C48"/>
    <w:rsid w:val="00C9213E"/>
    <w:rsid w:val="00C96048"/>
    <w:rsid w:val="00CB5181"/>
    <w:rsid w:val="00CC068C"/>
    <w:rsid w:val="00CC2BC0"/>
    <w:rsid w:val="00CC4414"/>
    <w:rsid w:val="00CD7F5F"/>
    <w:rsid w:val="00CE0489"/>
    <w:rsid w:val="00CE141F"/>
    <w:rsid w:val="00D0290E"/>
    <w:rsid w:val="00D159B1"/>
    <w:rsid w:val="00D172A7"/>
    <w:rsid w:val="00D23A29"/>
    <w:rsid w:val="00D31E37"/>
    <w:rsid w:val="00D33AE3"/>
    <w:rsid w:val="00D46000"/>
    <w:rsid w:val="00D46879"/>
    <w:rsid w:val="00D508BF"/>
    <w:rsid w:val="00D57A85"/>
    <w:rsid w:val="00D67B93"/>
    <w:rsid w:val="00D70235"/>
    <w:rsid w:val="00D82F42"/>
    <w:rsid w:val="00D84408"/>
    <w:rsid w:val="00D8473D"/>
    <w:rsid w:val="00DA65D6"/>
    <w:rsid w:val="00DA6970"/>
    <w:rsid w:val="00DB04A6"/>
    <w:rsid w:val="00DD0ABC"/>
    <w:rsid w:val="00DD5330"/>
    <w:rsid w:val="00DE0B5D"/>
    <w:rsid w:val="00DE2A30"/>
    <w:rsid w:val="00DE2C87"/>
    <w:rsid w:val="00DE3EAC"/>
    <w:rsid w:val="00E03604"/>
    <w:rsid w:val="00E06747"/>
    <w:rsid w:val="00E25F40"/>
    <w:rsid w:val="00E35009"/>
    <w:rsid w:val="00E436BA"/>
    <w:rsid w:val="00E465E9"/>
    <w:rsid w:val="00E5556B"/>
    <w:rsid w:val="00E66184"/>
    <w:rsid w:val="00E66254"/>
    <w:rsid w:val="00E678CC"/>
    <w:rsid w:val="00EB3922"/>
    <w:rsid w:val="00ED0201"/>
    <w:rsid w:val="00ED04C1"/>
    <w:rsid w:val="00ED1A7B"/>
    <w:rsid w:val="00ED3CB7"/>
    <w:rsid w:val="00F01990"/>
    <w:rsid w:val="00F021EB"/>
    <w:rsid w:val="00F07F38"/>
    <w:rsid w:val="00F24CB3"/>
    <w:rsid w:val="00F26A9D"/>
    <w:rsid w:val="00F26F92"/>
    <w:rsid w:val="00F35AEA"/>
    <w:rsid w:val="00F36646"/>
    <w:rsid w:val="00F51F11"/>
    <w:rsid w:val="00F661FC"/>
    <w:rsid w:val="00F7394A"/>
    <w:rsid w:val="00F7701D"/>
    <w:rsid w:val="00FA27D7"/>
    <w:rsid w:val="00FA368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  <w15:docId w15:val="{CCE5E174-CF9D-43AF-8E5A-29572B6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paragraph" w:customStyle="1" w:styleId="xmsonormal">
    <w:name w:val="x_msonormal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2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8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36/20200701" TargetMode="External"/><Relationship Id="rId13" Type="http://schemas.openxmlformats.org/officeDocument/2006/relationships/hyperlink" Target="https://www.slov-lex.sk/pravne-predpisy/SK/ZZ/2015/336/2020070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slov-lex.sk/pravne-predpisy/SK/ZZ/2015/336/20200701" TargetMode="External"/><Relationship Id="rId12" Type="http://schemas.openxmlformats.org/officeDocument/2006/relationships/hyperlink" Target="https://www.slov-lex.sk/pravne-predpisy/SK/ZZ/2015/336/202007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4/29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5/336/202007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336/20200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-Vlastný-materiál"/>
    <f:field ref="objsubject" par="" edit="true" text=""/>
    <f:field ref="objcreatedby" par="" text="Janíková, Michaela, Mgr."/>
    <f:field ref="objcreatedat" par="" text="4.3.2021 17:03:44"/>
    <f:field ref="objchangedby" par="" text="Administrator, System"/>
    <f:field ref="objmodifiedat" par="" text="4.3.2021 17:0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0F4772-EA1F-4918-A294-EDAC9527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Martaus, Tomáš</dc:creator>
  <cp:lastModifiedBy>Michaela Janíková</cp:lastModifiedBy>
  <cp:revision>2</cp:revision>
  <cp:lastPrinted>2021-05-11T11:49:00Z</cp:lastPrinted>
  <dcterms:created xsi:type="dcterms:W3CDTF">2021-05-11T14:31:00Z</dcterms:created>
  <dcterms:modified xsi:type="dcterms:W3CDTF">2021-05-11T14:31:00Z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COO.2145.1000.3.4278404</vt:lpwstr>
  </property>
  <property fmtid="{D5CDD505-2E9C-101B-9397-08002B2CF9AE}" pid="152" name="FSC#FSCFOLIO@1.1001:docpropproject">
    <vt:lpwstr/>
  </property>
</Properties>
</file>