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AC" w:rsidRDefault="000B35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PREDNOSTI</w:t>
      </w:r>
    </w:p>
    <w:p w:rsidR="000B35AC" w:rsidRDefault="000B35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medzinárodnej zmluvy pred zákonmi</w:t>
      </w:r>
    </w:p>
    <w:p w:rsidR="000B35AC" w:rsidRDefault="000B35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(čl. 7 ods. 5 ústavy)</w:t>
      </w:r>
    </w:p>
    <w:p w:rsidR="000B35AC" w:rsidRDefault="000B35AC">
      <w:pPr>
        <w:jc w:val="both"/>
        <w:rPr>
          <w:b/>
          <w:bCs/>
        </w:rPr>
      </w:pPr>
    </w:p>
    <w:p w:rsidR="000B35AC" w:rsidRDefault="000B35AC">
      <w:pPr>
        <w:jc w:val="both"/>
        <w:rPr>
          <w:b/>
          <w:bCs/>
        </w:rPr>
      </w:pPr>
    </w:p>
    <w:p w:rsidR="000B35AC" w:rsidRDefault="000B35AC" w:rsidP="000B35AC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Gestor zmluvy: </w:t>
      </w:r>
      <w:r w:rsidR="00EE6118">
        <w:t xml:space="preserve">Ministerstvo spravodlivosti </w:t>
      </w:r>
      <w:r>
        <w:t>Slovenskej republiky</w:t>
      </w:r>
    </w:p>
    <w:p w:rsidR="000B35AC" w:rsidRDefault="000B35AC" w:rsidP="000B35AC">
      <w:pPr>
        <w:numPr>
          <w:ilvl w:val="12"/>
          <w:numId w:val="0"/>
        </w:numPr>
        <w:jc w:val="both"/>
        <w:rPr>
          <w:b/>
          <w:bCs/>
        </w:rPr>
      </w:pPr>
    </w:p>
    <w:p w:rsidR="000B35AC" w:rsidRPr="00B37E97" w:rsidRDefault="000B35AC" w:rsidP="00463DE1">
      <w:pPr>
        <w:numPr>
          <w:ilvl w:val="0"/>
          <w:numId w:val="1"/>
        </w:numPr>
        <w:jc w:val="both"/>
      </w:pPr>
      <w:r>
        <w:rPr>
          <w:b/>
          <w:bCs/>
        </w:rPr>
        <w:t xml:space="preserve">Názov zmluvy: </w:t>
      </w:r>
      <w:r w:rsidR="00EE6118">
        <w:t xml:space="preserve">Návrh na uzavretie Protokolu </w:t>
      </w:r>
      <w:r w:rsidR="00463DE1" w:rsidRPr="00463DE1">
        <w:t xml:space="preserve">medzi Slovenskou republikou a Bosnou a Hercegovinou k Zmluve medzi Československou socialistickou republikou a Socialistickou federatívnou republikou Juhoslávie o úprave právnych vzťahov v občianskych, rodinných a trestných veciach z 20. januára 1964 </w:t>
      </w:r>
      <w:r w:rsidRPr="00B37E97">
        <w:t>(ďalej len „</w:t>
      </w:r>
      <w:r w:rsidR="00BD13F2">
        <w:t>z</w:t>
      </w:r>
      <w:r w:rsidRPr="00B37E97">
        <w:t>mluva“)</w:t>
      </w:r>
      <w:r w:rsidR="00D144D5">
        <w:t>.</w:t>
      </w:r>
    </w:p>
    <w:p w:rsidR="00BD13F2" w:rsidRDefault="00BD13F2" w:rsidP="00BD13F2">
      <w:pPr>
        <w:jc w:val="both"/>
      </w:pPr>
    </w:p>
    <w:p w:rsidR="00463DE1" w:rsidRDefault="00BD13F2" w:rsidP="00CE4596">
      <w:pPr>
        <w:numPr>
          <w:ilvl w:val="0"/>
          <w:numId w:val="2"/>
        </w:numPr>
        <w:ind w:hanging="284"/>
        <w:jc w:val="both"/>
      </w:pPr>
      <w:r w:rsidRPr="00463DE1">
        <w:rPr>
          <w:b/>
          <w:bCs/>
        </w:rPr>
        <w:t xml:space="preserve">Účel a predmet zmluvy a jeho úprava v právnom poriadku Slovenskej republiky: </w:t>
      </w:r>
      <w:r w:rsidR="007779F7" w:rsidRPr="00463DE1">
        <w:rPr>
          <w:bCs/>
        </w:rPr>
        <w:t>Ú</w:t>
      </w:r>
      <w:r>
        <w:t>čel</w:t>
      </w:r>
      <w:r w:rsidR="0056216C">
        <w:t>om</w:t>
      </w:r>
      <w:r w:rsidR="00EE6118">
        <w:t xml:space="preserve"> zmluvy, ktorej sa protokol týka, je úprava otázok medzinárodného práva súkromného a procesného upravených v zákone č. 97/1963 Zb. o medzinárodnom práve súkromnom a procesnom v znení neskorších predpisov</w:t>
      </w:r>
      <w:r w:rsidR="00463DE1">
        <w:t>.</w:t>
      </w:r>
      <w:r w:rsidR="00EE6118">
        <w:t xml:space="preserve"> </w:t>
      </w:r>
    </w:p>
    <w:p w:rsidR="00EE6118" w:rsidRDefault="00B116B4" w:rsidP="00463DE1">
      <w:pPr>
        <w:ind w:left="283"/>
        <w:jc w:val="both"/>
      </w:pPr>
      <w:r>
        <w:t>Účelom navrhovaného p</w:t>
      </w:r>
      <w:r w:rsidR="00EE6118">
        <w:t>rotokolu je odstrániť nezlučiteľnosť ustanovení zmluvy týkajúcich sa právomoci súdov v občianskych veciach, rozhodného práva a vzájomného uznávania a výkonu rozhodnutí v občianskych veciach a splniť tak povinnosť vyplývajúcu z článku 351 Zmluvy o fungovaní Európskej únie.</w:t>
      </w:r>
    </w:p>
    <w:p w:rsidR="00EE6118" w:rsidRPr="000E34E2" w:rsidRDefault="00EE6118" w:rsidP="00EE6118">
      <w:pPr>
        <w:ind w:left="283"/>
        <w:jc w:val="both"/>
      </w:pPr>
      <w:r>
        <w:t xml:space="preserve">Súčasne sa </w:t>
      </w:r>
      <w:r w:rsidR="00463DE1">
        <w:t>P</w:t>
      </w:r>
      <w:r>
        <w:t>rotokolom sledu</w:t>
      </w:r>
      <w:bookmarkStart w:id="0" w:name="_GoBack"/>
      <w:bookmarkEnd w:id="0"/>
      <w:r>
        <w:t xml:space="preserve">je úprava interpretačných nejasností </w:t>
      </w:r>
      <w:r w:rsidRPr="00B93AA8">
        <w:t>čl. 1</w:t>
      </w:r>
      <w:r w:rsidR="00463DE1">
        <w:t>5</w:t>
      </w:r>
      <w:r w:rsidRPr="00B93AA8">
        <w:t xml:space="preserve"> zmluvy o verejných listinách a upravujú sa otázky, ktoré súvisia so zmenou subjektov pôvodnej</w:t>
      </w:r>
      <w:r>
        <w:t xml:space="preserve"> zmluvy.</w:t>
      </w:r>
    </w:p>
    <w:p w:rsidR="000B35AC" w:rsidRDefault="000B35AC" w:rsidP="000B35AC">
      <w:pPr>
        <w:numPr>
          <w:ilvl w:val="12"/>
          <w:numId w:val="0"/>
        </w:numPr>
        <w:ind w:left="284" w:hanging="284"/>
        <w:jc w:val="both"/>
      </w:pPr>
    </w:p>
    <w:p w:rsidR="000B35AC" w:rsidRPr="00EE6118" w:rsidRDefault="000B35AC" w:rsidP="000B35AC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Priama úprava práv alebo povinností fyzických osôb alebo právnických osôb: </w:t>
      </w:r>
    </w:p>
    <w:p w:rsidR="00EE6118" w:rsidRDefault="00EE6118" w:rsidP="00EE6118">
      <w:pPr>
        <w:ind w:left="283"/>
        <w:jc w:val="both"/>
        <w:rPr>
          <w:bCs/>
        </w:rPr>
      </w:pPr>
      <w:r w:rsidRPr="00B93AA8">
        <w:rPr>
          <w:bCs/>
        </w:rPr>
        <w:t>Článok 1 zmluvy obsahuje princíp rovnakej právnej ochrany občanov oboch zmluvných strán.</w:t>
      </w:r>
    </w:p>
    <w:p w:rsidR="00B93AA8" w:rsidRDefault="00B93AA8" w:rsidP="00EE6118">
      <w:pPr>
        <w:ind w:left="283"/>
        <w:jc w:val="both"/>
        <w:rPr>
          <w:bCs/>
        </w:rPr>
      </w:pPr>
      <w:r>
        <w:rPr>
          <w:bCs/>
        </w:rPr>
        <w:t>Články 2 až 9 upravujú práva a povinnosti súdov zmluvných strán pri vybavovaní dožiadaní o právnu pomoc.</w:t>
      </w:r>
    </w:p>
    <w:p w:rsidR="00B93AA8" w:rsidRDefault="00B93AA8" w:rsidP="00EE6118">
      <w:pPr>
        <w:ind w:left="283"/>
        <w:jc w:val="both"/>
        <w:rPr>
          <w:bCs/>
        </w:rPr>
      </w:pPr>
      <w:r>
        <w:rPr>
          <w:bCs/>
        </w:rPr>
        <w:t>Článok 10 upravuje práva diplomatických misií a konzulárnych úradov pri doručovaní písomností občanom.</w:t>
      </w:r>
    </w:p>
    <w:p w:rsidR="00B93AA8" w:rsidRDefault="00B93AA8" w:rsidP="00EE6118">
      <w:pPr>
        <w:ind w:left="283"/>
        <w:jc w:val="both"/>
        <w:rPr>
          <w:bCs/>
        </w:rPr>
      </w:pPr>
      <w:r>
        <w:rPr>
          <w:bCs/>
        </w:rPr>
        <w:t>Články 12 až 17 upravujú povinnosti ministerstiev spravodlivosti zmluvných strán.</w:t>
      </w:r>
    </w:p>
    <w:p w:rsidR="00B93AA8" w:rsidRDefault="0086213B" w:rsidP="00EE6118">
      <w:pPr>
        <w:ind w:left="283"/>
        <w:jc w:val="both"/>
        <w:rPr>
          <w:bCs/>
        </w:rPr>
      </w:pPr>
      <w:r>
        <w:rPr>
          <w:bCs/>
        </w:rPr>
        <w:t>Články 50 až 60</w:t>
      </w:r>
      <w:r w:rsidR="00C71239">
        <w:rPr>
          <w:bCs/>
        </w:rPr>
        <w:t xml:space="preserve"> upravujú oprávnenia a povinnosti orgánov a práva účastníkov konania v súvislosti so vzájomným výkonom súdnych rozhodnutí.</w:t>
      </w:r>
    </w:p>
    <w:p w:rsidR="00B93AA8" w:rsidRPr="00B93AA8" w:rsidRDefault="00B93AA8" w:rsidP="00EE6118">
      <w:pPr>
        <w:ind w:left="283"/>
        <w:jc w:val="both"/>
        <w:rPr>
          <w:bCs/>
        </w:rPr>
      </w:pPr>
    </w:p>
    <w:p w:rsidR="00BD13F2" w:rsidRDefault="00BD13F2" w:rsidP="00BD13F2">
      <w:pPr>
        <w:jc w:val="both"/>
        <w:rPr>
          <w:b/>
          <w:bCs/>
        </w:rPr>
      </w:pPr>
    </w:p>
    <w:p w:rsidR="003372A3" w:rsidRDefault="003372A3" w:rsidP="000B35AC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Úprava predmetu medzinárodnej zmluvy v práve ES/EÚ:</w:t>
      </w:r>
    </w:p>
    <w:p w:rsidR="00C71239" w:rsidRDefault="00C71239" w:rsidP="00EE6118">
      <w:pPr>
        <w:ind w:left="283"/>
      </w:pPr>
    </w:p>
    <w:p w:rsidR="00C71239" w:rsidRDefault="00C71239" w:rsidP="009C6153">
      <w:pPr>
        <w:ind w:left="283"/>
        <w:jc w:val="both"/>
      </w:pPr>
      <w:r>
        <w:t>Protokol vypúšťa zo zmluvy otázky rozhodného práva, ktoré sú upravené týmito uplatňovanými právnymi aktmi EÚ:</w:t>
      </w:r>
    </w:p>
    <w:p w:rsidR="00DD1FB7" w:rsidRDefault="00DD1FB7" w:rsidP="009C6153">
      <w:pPr>
        <w:ind w:left="283"/>
        <w:jc w:val="both"/>
      </w:pPr>
    </w:p>
    <w:p w:rsidR="00C71239" w:rsidRDefault="00C71239" w:rsidP="009C6153">
      <w:pPr>
        <w:ind w:left="283"/>
        <w:jc w:val="both"/>
      </w:pPr>
      <w:r>
        <w:t>Nariadenie Rady (ES) č. 4/2009 z 18. decembra 2008 o právomoci, rozhodnom práve,</w:t>
      </w:r>
    </w:p>
    <w:p w:rsidR="00555A67" w:rsidRDefault="00C71239" w:rsidP="00555A67">
      <w:pPr>
        <w:ind w:left="283"/>
        <w:jc w:val="both"/>
      </w:pPr>
      <w:r>
        <w:t>uznávaní a výkone rozhodnutí a o spolupráci vo veciach vyživovacej povinnosti.</w:t>
      </w:r>
    </w:p>
    <w:p w:rsidR="00C71239" w:rsidRPr="000D19E8" w:rsidRDefault="00C71239" w:rsidP="00555A67">
      <w:pPr>
        <w:ind w:left="283"/>
        <w:jc w:val="both"/>
      </w:pPr>
      <w:r>
        <w:t>Nariadenie Európskeho parlamentu a Rady (ES) č. 864/2007 z 11. júla 2007 o</w:t>
      </w:r>
      <w:r w:rsidR="009C6153">
        <w:t> </w:t>
      </w:r>
      <w:r>
        <w:t>rozhodnom</w:t>
      </w:r>
      <w:r w:rsidR="009C6153">
        <w:t xml:space="preserve"> práve pre mimozmluvné záväzky (Rím II)</w:t>
      </w:r>
      <w:r w:rsidR="009C6153" w:rsidRPr="000D19E8">
        <w:t>;</w:t>
      </w:r>
    </w:p>
    <w:p w:rsidR="00C71239" w:rsidRDefault="00C71239" w:rsidP="00A628E8">
      <w:pPr>
        <w:ind w:left="283"/>
        <w:jc w:val="both"/>
      </w:pPr>
      <w:r>
        <w:t>Nariadenie Európskeho parlamentu a Rady (ES)</w:t>
      </w:r>
      <w:r w:rsidR="009C6153">
        <w:t xml:space="preserve"> č. 593/2008 zo 17. júna 2008 o </w:t>
      </w:r>
      <w:r>
        <w:t>rozhodnom</w:t>
      </w:r>
      <w:r w:rsidR="009C6153">
        <w:t xml:space="preserve"> </w:t>
      </w:r>
      <w:r>
        <w:t>práve pre zmluvné</w:t>
      </w:r>
      <w:r w:rsidR="009C6153">
        <w:t xml:space="preserve"> záväzky (Rím I);</w:t>
      </w:r>
    </w:p>
    <w:p w:rsidR="00C71239" w:rsidRDefault="009C6153" w:rsidP="00A628E8">
      <w:pPr>
        <w:ind w:left="283"/>
        <w:jc w:val="both"/>
      </w:pPr>
      <w:r>
        <w:t>Protokol o rozhodnom práve pre vyživovaciu povinnosť (Rozhodnutie Rady z 30.novembra 2009).</w:t>
      </w:r>
    </w:p>
    <w:p w:rsidR="009C6153" w:rsidRDefault="00BB77FA" w:rsidP="00C71239">
      <w:pPr>
        <w:ind w:left="283"/>
      </w:pPr>
      <w:r w:rsidRPr="00BB77FA">
        <w:t>Nariadenie (EÚ) č. 650/2012 o dedičských veciach a o zavedení európskeho osvedčenia o dedičstve</w:t>
      </w:r>
    </w:p>
    <w:p w:rsidR="00C71239" w:rsidRDefault="00C71239" w:rsidP="00C71239">
      <w:pPr>
        <w:ind w:left="283"/>
      </w:pPr>
      <w:r>
        <w:lastRenderedPageBreak/>
        <w:t>Protokol upravuje znenie ustanovení zmluvy týkajúcich sa otázok uznávania a výkonu</w:t>
      </w:r>
    </w:p>
    <w:p w:rsidR="00C71239" w:rsidRDefault="00C71239" w:rsidP="00C71239">
      <w:pPr>
        <w:ind w:left="283"/>
      </w:pPr>
      <w:r>
        <w:t xml:space="preserve">rozhodnutí, aby boli kompatibilné </w:t>
      </w:r>
      <w:r w:rsidR="00DD1FB7">
        <w:t>týmito</w:t>
      </w:r>
      <w:r>
        <w:t xml:space="preserve"> nariadeniami </w:t>
      </w:r>
      <w:r w:rsidR="00DD1FB7">
        <w:t xml:space="preserve">a nariadeniami uvedenými </w:t>
      </w:r>
      <w:r>
        <w:t>vyššie</w:t>
      </w:r>
      <w:r w:rsidR="00DD1FB7">
        <w:t>:</w:t>
      </w:r>
    </w:p>
    <w:p w:rsidR="00DD1FB7" w:rsidRDefault="00DD1FB7" w:rsidP="00C71239">
      <w:pPr>
        <w:ind w:left="283"/>
      </w:pPr>
    </w:p>
    <w:p w:rsidR="00DD1FB7" w:rsidRPr="000D19E8" w:rsidRDefault="00DD1FB7" w:rsidP="00DD1FB7">
      <w:pPr>
        <w:ind w:left="283"/>
        <w:jc w:val="both"/>
      </w:pPr>
      <w:r>
        <w:t>Nariadenie Európskeho parlamentu a Rady (EÚ) č. 1215/2012 z 12.decembra 2012 o právomoci a o uznávaní a výkone rozsudkov v občianskych a obchodných veciach (prepracované znenie)</w:t>
      </w:r>
      <w:r w:rsidRPr="000D19E8">
        <w:t>;</w:t>
      </w:r>
    </w:p>
    <w:p w:rsidR="00DD1FB7" w:rsidRDefault="00DD1FB7" w:rsidP="00DD1FB7">
      <w:pPr>
        <w:ind w:left="283"/>
        <w:jc w:val="both"/>
      </w:pPr>
      <w:r>
        <w:t>Nariadenie Rady (ES) č. 2201/2003 z 27. novembra 2003 o právomoci a uznávaní a výkone rozsudkov v manželských veciach a vo veciach rodičovských práv a povinností, ktorým sa zrušuje nariadenie (ES) č. 1347/2000;</w:t>
      </w:r>
    </w:p>
    <w:p w:rsidR="00DD1FB7" w:rsidRDefault="00DD1FB7" w:rsidP="00C71239">
      <w:pPr>
        <w:ind w:left="283"/>
      </w:pPr>
    </w:p>
    <w:p w:rsidR="00297129" w:rsidRPr="009650A8" w:rsidRDefault="00297129" w:rsidP="00DD1FB7"/>
    <w:p w:rsidR="000B35AC" w:rsidRPr="00EE6118" w:rsidRDefault="000B35AC" w:rsidP="000B35AC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Kategória zmluvy podľa čl. 7 ods. 4 Ústavy Slovenskej republiky (vyžaduje pred ratifikáciou súhlas Národnej rady Slovenskej republiky): </w:t>
      </w:r>
    </w:p>
    <w:p w:rsidR="00EE6118" w:rsidRDefault="00EE6118" w:rsidP="00EE6118">
      <w:pPr>
        <w:ind w:left="283"/>
        <w:jc w:val="both"/>
        <w:rPr>
          <w:b/>
          <w:bCs/>
        </w:rPr>
      </w:pPr>
      <w:r>
        <w:t xml:space="preserve">Zmluva, ktorej sa </w:t>
      </w:r>
      <w:r w:rsidR="00B116B4">
        <w:t>p</w:t>
      </w:r>
      <w:r>
        <w:t>rotokol týka, je medzinárodnou zmluvou, ktorá priamo zakladá práva alebo povinnosti fyzických osôb alebo právnických osôb.</w:t>
      </w:r>
    </w:p>
    <w:p w:rsidR="000B35AC" w:rsidRDefault="000B35AC" w:rsidP="000B35AC">
      <w:pPr>
        <w:numPr>
          <w:ilvl w:val="12"/>
          <w:numId w:val="0"/>
        </w:numPr>
        <w:jc w:val="both"/>
        <w:rPr>
          <w:b/>
          <w:bCs/>
        </w:rPr>
      </w:pPr>
    </w:p>
    <w:p w:rsidR="000B35AC" w:rsidRPr="00EE6118" w:rsidRDefault="000B35AC" w:rsidP="000B35AC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Kategória zmluvy podľa čl. 7 ods. 5 Ústavy Slovenskej republiky (má prednosť pred zákonmi):</w:t>
      </w:r>
      <w:r>
        <w:t xml:space="preserve"> </w:t>
      </w:r>
    </w:p>
    <w:p w:rsidR="000B35AC" w:rsidRDefault="00EE6118" w:rsidP="00EE6118">
      <w:pPr>
        <w:numPr>
          <w:ilvl w:val="12"/>
          <w:numId w:val="0"/>
        </w:numPr>
        <w:ind w:left="283"/>
        <w:jc w:val="both"/>
        <w:rPr>
          <w:bCs/>
        </w:rPr>
      </w:pPr>
      <w:r w:rsidRPr="00EE6118">
        <w:rPr>
          <w:bCs/>
        </w:rPr>
        <w:t xml:space="preserve">Zmluva, ktorej sa </w:t>
      </w:r>
      <w:r w:rsidR="00B116B4">
        <w:rPr>
          <w:bCs/>
        </w:rPr>
        <w:t>p</w:t>
      </w:r>
      <w:r w:rsidRPr="00EE6118">
        <w:rPr>
          <w:bCs/>
        </w:rPr>
        <w:t>rotokol týka, je prezidentskou medzinárodnou zmluvou, ktorá priamo zakladá práva alebo povinnosti fyzick</w:t>
      </w:r>
      <w:r>
        <w:rPr>
          <w:bCs/>
        </w:rPr>
        <w:t>ých osôb alebo právnických osôb</w:t>
      </w:r>
      <w:r>
        <w:t>, a súčasne aj medzinárodnou zmluvou, na vykonanie ktorej nie je potrebný zákon.</w:t>
      </w:r>
    </w:p>
    <w:p w:rsidR="00EE6118" w:rsidRPr="00EE6118" w:rsidRDefault="00EE6118" w:rsidP="00EE6118">
      <w:pPr>
        <w:numPr>
          <w:ilvl w:val="12"/>
          <w:numId w:val="0"/>
        </w:numPr>
        <w:jc w:val="both"/>
        <w:rPr>
          <w:bCs/>
        </w:rPr>
      </w:pPr>
    </w:p>
    <w:p w:rsidR="00EE6118" w:rsidRDefault="000B35AC" w:rsidP="00BD13F2">
      <w:pPr>
        <w:numPr>
          <w:ilvl w:val="0"/>
          <w:numId w:val="1"/>
        </w:numPr>
        <w:jc w:val="both"/>
      </w:pPr>
      <w:r w:rsidRPr="00BD13F2">
        <w:rPr>
          <w:b/>
          <w:bCs/>
        </w:rPr>
        <w:t>Dopady prijatia medzinárodnej zmluvy, ktorá má prednosť pred zákonmi, na slovenský právny poriadok (uvedú sa právne predpisy alebo ich jednotlivé ustanovenia, ktorých sa medzinárodná zmluva týka; potreba ich zrušenia alebo adaptácie z dôvodu duplicity):</w:t>
      </w:r>
      <w:r>
        <w:t xml:space="preserve"> </w:t>
      </w:r>
    </w:p>
    <w:p w:rsidR="00EE6118" w:rsidRDefault="00EE6118" w:rsidP="00DD1FB7">
      <w:pPr>
        <w:ind w:left="283"/>
        <w:jc w:val="both"/>
      </w:pPr>
      <w:r>
        <w:t>Protokolom sa vylúči uplatňovanie noriem o právomoci súdov a rozhodnom práve zo zmluvy v dôsledku čoho sa na posudzovanie týchto otázok budú uplatňovať v závislosti od okoln</w:t>
      </w:r>
      <w:r w:rsidR="00D144D5">
        <w:t>ostí nariadenia</w:t>
      </w:r>
      <w:r w:rsidR="00DD1FB7">
        <w:t>mi</w:t>
      </w:r>
      <w:r w:rsidR="00D144D5">
        <w:t xml:space="preserve"> EÚ, medzinárodnej</w:t>
      </w:r>
      <w:r>
        <w:t xml:space="preserve"> zmluvy alebo subsidiárne zákon č. 97/1963 Zb. o</w:t>
      </w:r>
      <w:r w:rsidR="00DD1FB7">
        <w:t xml:space="preserve"> </w:t>
      </w:r>
      <w:r>
        <w:t>medzinárodnom práv</w:t>
      </w:r>
      <w:r w:rsidR="00555A67">
        <w:t>e</w:t>
      </w:r>
      <w:r>
        <w:t xml:space="preserve"> súkromnom a procesnom v znení neskorších predpisov.</w:t>
      </w:r>
    </w:p>
    <w:p w:rsidR="000B35AC" w:rsidRPr="000E34E2" w:rsidRDefault="00664439" w:rsidP="00EE6118">
      <w:pPr>
        <w:ind w:left="283"/>
        <w:jc w:val="both"/>
      </w:pPr>
      <w:r>
        <w:t xml:space="preserve"> </w:t>
      </w:r>
    </w:p>
    <w:sectPr w:rsidR="000B35AC" w:rsidRPr="000E34E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 w15:restartNumberingAfterBreak="0">
    <w:nsid w:val="268C770C"/>
    <w:multiLevelType w:val="hybridMultilevel"/>
    <w:tmpl w:val="8C38A4E6"/>
    <w:lvl w:ilvl="0" w:tplc="B998A7A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893C6C"/>
    <w:multiLevelType w:val="hybridMultilevel"/>
    <w:tmpl w:val="035C464A"/>
    <w:lvl w:ilvl="0" w:tplc="B998A7A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B05789"/>
    <w:multiLevelType w:val="hybridMultilevel"/>
    <w:tmpl w:val="1CB6EB58"/>
    <w:lvl w:ilvl="0" w:tplc="F75E677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5AAF26D4"/>
    <w:multiLevelType w:val="hybridMultilevel"/>
    <w:tmpl w:val="979485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A65696"/>
    <w:multiLevelType w:val="singleLevel"/>
    <w:tmpl w:val="2564E0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bCs/>
          <w:i w:val="0"/>
          <w:iCs w:val="0"/>
        </w:rPr>
      </w:lvl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AC"/>
    <w:rsid w:val="000565D0"/>
    <w:rsid w:val="000B35AC"/>
    <w:rsid w:val="000D19E8"/>
    <w:rsid w:val="000E34E2"/>
    <w:rsid w:val="00123D8B"/>
    <w:rsid w:val="00224E11"/>
    <w:rsid w:val="00297129"/>
    <w:rsid w:val="003372A3"/>
    <w:rsid w:val="00443CDE"/>
    <w:rsid w:val="00463DE1"/>
    <w:rsid w:val="00496670"/>
    <w:rsid w:val="00555A67"/>
    <w:rsid w:val="0056216C"/>
    <w:rsid w:val="00620C75"/>
    <w:rsid w:val="00664439"/>
    <w:rsid w:val="00666319"/>
    <w:rsid w:val="006732B7"/>
    <w:rsid w:val="006B295B"/>
    <w:rsid w:val="006B61A9"/>
    <w:rsid w:val="006F0F7D"/>
    <w:rsid w:val="0070333E"/>
    <w:rsid w:val="007720D8"/>
    <w:rsid w:val="007779F7"/>
    <w:rsid w:val="007C1E68"/>
    <w:rsid w:val="007D115D"/>
    <w:rsid w:val="008111DB"/>
    <w:rsid w:val="008117B5"/>
    <w:rsid w:val="00852059"/>
    <w:rsid w:val="0086213B"/>
    <w:rsid w:val="0087529E"/>
    <w:rsid w:val="00883AB2"/>
    <w:rsid w:val="008A1350"/>
    <w:rsid w:val="00920615"/>
    <w:rsid w:val="009650A8"/>
    <w:rsid w:val="009A5E0C"/>
    <w:rsid w:val="009C6153"/>
    <w:rsid w:val="00A62300"/>
    <w:rsid w:val="00A628E8"/>
    <w:rsid w:val="00B116B4"/>
    <w:rsid w:val="00B21555"/>
    <w:rsid w:val="00B37E97"/>
    <w:rsid w:val="00B93AA8"/>
    <w:rsid w:val="00BA4985"/>
    <w:rsid w:val="00BA662A"/>
    <w:rsid w:val="00BB77FA"/>
    <w:rsid w:val="00BD13F2"/>
    <w:rsid w:val="00C34A49"/>
    <w:rsid w:val="00C47CCD"/>
    <w:rsid w:val="00C71239"/>
    <w:rsid w:val="00C84BBD"/>
    <w:rsid w:val="00D144D5"/>
    <w:rsid w:val="00D605A3"/>
    <w:rsid w:val="00D7162E"/>
    <w:rsid w:val="00DA0924"/>
    <w:rsid w:val="00DD1FB7"/>
    <w:rsid w:val="00EE6118"/>
    <w:rsid w:val="00F309AC"/>
    <w:rsid w:val="00FA48F7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7419B"/>
  <w14:defaultImageDpi w14:val="0"/>
  <w15:docId w15:val="{7AD7E9FD-B488-4FDA-9942-2F082DD1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psmoodst">
    <w:name w:val="Stand. písmo odst."/>
    <w:uiPriority w:val="99"/>
  </w:style>
  <w:style w:type="character" w:styleId="Siln">
    <w:name w:val="Strong"/>
    <w:basedOn w:val="Predvolenpsmoodseku"/>
    <w:uiPriority w:val="99"/>
    <w:qFormat/>
    <w:rsid w:val="00BD13F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8111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E6118"/>
    <w:pPr>
      <w:ind w:left="720"/>
      <w:contextualSpacing/>
    </w:pPr>
  </w:style>
  <w:style w:type="paragraph" w:styleId="Zkladntext2">
    <w:name w:val="Body Text 2"/>
    <w:basedOn w:val="Normlny"/>
    <w:link w:val="Zkladntext2Char"/>
    <w:rsid w:val="00DA0924"/>
    <w:pPr>
      <w:overflowPunct/>
      <w:autoSpaceDE/>
      <w:autoSpaceDN/>
      <w:adjustRightInd/>
      <w:spacing w:before="120" w:line="240" w:lineRule="atLeast"/>
      <w:jc w:val="both"/>
      <w:textAlignment w:val="auto"/>
    </w:pPr>
    <w:rPr>
      <w:i/>
      <w:szCs w:val="20"/>
    </w:rPr>
  </w:style>
  <w:style w:type="character" w:customStyle="1" w:styleId="Zkladntext2Char">
    <w:name w:val="Základný text 2 Char"/>
    <w:basedOn w:val="Predvolenpsmoodseku"/>
    <w:link w:val="Zkladntext2"/>
    <w:rsid w:val="00DA0924"/>
    <w:rPr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PREDNOSTI</vt:lpstr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PREDNOSTI</dc:title>
  <dc:creator>JAJO</dc:creator>
  <cp:lastModifiedBy>VOS KRIŠKOVÁ Martina</cp:lastModifiedBy>
  <cp:revision>7</cp:revision>
  <cp:lastPrinted>2003-10-23T11:54:00Z</cp:lastPrinted>
  <dcterms:created xsi:type="dcterms:W3CDTF">2021-01-13T09:30:00Z</dcterms:created>
  <dcterms:modified xsi:type="dcterms:W3CDTF">2021-01-14T07:26:00Z</dcterms:modified>
</cp:coreProperties>
</file>