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5D69" w14:textId="77777777" w:rsidR="009B5323" w:rsidRPr="000603AB" w:rsidRDefault="009B5323" w:rsidP="008407C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1902430A" w14:textId="77777777" w:rsidR="009B5323" w:rsidRPr="00C35BC3" w:rsidRDefault="009B5323" w:rsidP="0084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28B76" w14:textId="71903721" w:rsidR="00633F49" w:rsidRPr="00633F49" w:rsidRDefault="009B5323" w:rsidP="00527E5F">
      <w:pPr>
        <w:pStyle w:val="Normlnywebov"/>
        <w:spacing w:before="0" w:beforeAutospacing="0" w:after="0" w:afterAutospacing="0"/>
        <w:ind w:firstLine="708"/>
        <w:jc w:val="both"/>
        <w:rPr>
          <w:color w:val="FF0000"/>
        </w:rPr>
      </w:pPr>
      <w:r>
        <w:t xml:space="preserve">Podľa § 70 ods. 2 zákona Národnej rady Slovenskej republiky č. 350/1996 Z. z. o rokovacom poriadku Národnej rady Slovenskej republiky Ministerstvo zdravotníctva Slovenskej republiky </w:t>
      </w:r>
      <w:r w:rsidR="008407CD">
        <w:t xml:space="preserve">(ďalej len „Ministerstvo zdravotníctva SR“) </w:t>
      </w:r>
      <w:r>
        <w:t xml:space="preserve">ako ústredný orgán štátnej správy pre zdravotnú starostlivosť </w:t>
      </w:r>
      <w:r w:rsidR="000A5C7E">
        <w:t xml:space="preserve">predkladá </w:t>
      </w:r>
      <w:r w:rsidR="00C05AE2">
        <w:t xml:space="preserve">na rokovanie Legislatívnej rady vlády SR </w:t>
      </w:r>
      <w:r>
        <w:t xml:space="preserve">návrh skupiny poslancov Národnej rady Slovenskej republiky na vydanie zákona, ktorým sa mení a dopĺňa </w:t>
      </w:r>
      <w:r w:rsidR="00633F49" w:rsidRPr="00633F49">
        <w:t>zákon č. 355/2007 Z. z. o ochrane, podpore a rozvoji verejného zdravia a o zmene a doplnení niektorých zákonov v znení neskorších predpisov</w:t>
      </w:r>
      <w:r w:rsidR="00633F49">
        <w:t xml:space="preserve"> (tlač 460) </w:t>
      </w:r>
      <w:r w:rsidR="00633F49" w:rsidRPr="00633F49">
        <w:t>(ďa</w:t>
      </w:r>
      <w:r w:rsidR="00F15651">
        <w:t>lej len „poslanecký návrh zákona</w:t>
      </w:r>
      <w:r w:rsidR="00633F49" w:rsidRPr="00633F49">
        <w:t xml:space="preserve">“).    </w:t>
      </w:r>
    </w:p>
    <w:p w14:paraId="563CE384" w14:textId="77777777" w:rsidR="008E51B7" w:rsidRDefault="009B5323" w:rsidP="00527E5F">
      <w:pPr>
        <w:pStyle w:val="Normlnywebov"/>
        <w:spacing w:after="0" w:afterAutospacing="0"/>
        <w:jc w:val="both"/>
        <w:rPr>
          <w:rStyle w:val="Zvraznenie"/>
          <w:b/>
          <w:bCs/>
        </w:rPr>
      </w:pPr>
      <w:r>
        <w:rPr>
          <w:rStyle w:val="Zvraznenie"/>
          <w:b/>
          <w:bCs/>
        </w:rPr>
        <w:t>Všeobecne</w:t>
      </w:r>
      <w:r w:rsidR="008E51B7">
        <w:rPr>
          <w:rStyle w:val="Zvraznenie"/>
          <w:b/>
          <w:bCs/>
        </w:rPr>
        <w:t>:</w:t>
      </w:r>
    </w:p>
    <w:p w14:paraId="78F11AE3" w14:textId="77777777" w:rsidR="00CF3D42" w:rsidRDefault="002F7DCF" w:rsidP="00FB27E5">
      <w:pPr>
        <w:pStyle w:val="Normlnywebov"/>
        <w:spacing w:before="0" w:beforeAutospacing="0" w:after="0" w:afterAutospacing="0"/>
        <w:ind w:firstLine="539"/>
        <w:jc w:val="both"/>
        <w:rPr>
          <w:rFonts w:eastAsiaTheme="minorEastAsia" w:cstheme="minorBidi"/>
          <w:noProof/>
          <w:lang w:eastAsia="en-US"/>
        </w:rPr>
      </w:pPr>
      <w:r>
        <w:rPr>
          <w:rFonts w:eastAsiaTheme="minorEastAsia" w:cstheme="minorBidi"/>
          <w:noProof/>
          <w:lang w:eastAsia="en-US"/>
        </w:rPr>
        <w:t>C</w:t>
      </w:r>
      <w:r w:rsidR="00A6062C">
        <w:rPr>
          <w:rFonts w:eastAsiaTheme="minorEastAsia" w:cstheme="minorBidi"/>
          <w:noProof/>
          <w:lang w:eastAsia="en-US"/>
        </w:rPr>
        <w:t xml:space="preserve">ieľom </w:t>
      </w:r>
      <w:r>
        <w:rPr>
          <w:rFonts w:eastAsiaTheme="minorEastAsia" w:cstheme="minorBidi"/>
          <w:noProof/>
          <w:lang w:eastAsia="en-US"/>
        </w:rPr>
        <w:t xml:space="preserve">predloženého </w:t>
      </w:r>
      <w:r w:rsidR="002F0381" w:rsidRPr="00A6062C">
        <w:rPr>
          <w:color w:val="000000" w:themeColor="text1"/>
        </w:rPr>
        <w:t>poslaneck</w:t>
      </w:r>
      <w:r w:rsidR="00A6062C" w:rsidRPr="00A6062C">
        <w:rPr>
          <w:color w:val="000000" w:themeColor="text1"/>
        </w:rPr>
        <w:t>ého</w:t>
      </w:r>
      <w:r w:rsidR="002F0381" w:rsidRPr="00A6062C">
        <w:rPr>
          <w:color w:val="000000" w:themeColor="text1"/>
        </w:rPr>
        <w:t xml:space="preserve"> návrh</w:t>
      </w:r>
      <w:r w:rsidR="00A6062C" w:rsidRPr="00A6062C">
        <w:rPr>
          <w:color w:val="000000" w:themeColor="text1"/>
        </w:rPr>
        <w:t>u</w:t>
      </w:r>
      <w:r w:rsidR="002F0381" w:rsidRPr="00A6062C">
        <w:rPr>
          <w:color w:val="000000" w:themeColor="text1"/>
        </w:rPr>
        <w:t xml:space="preserve"> zákona</w:t>
      </w:r>
      <w:r w:rsidR="00A6062C" w:rsidRPr="00A6062C">
        <w:rPr>
          <w:color w:val="000000" w:themeColor="text1"/>
        </w:rPr>
        <w:t xml:space="preserve"> </w:t>
      </w:r>
      <w:r w:rsidR="001D2356" w:rsidRPr="00A6062C">
        <w:rPr>
          <w:rFonts w:eastAsiaTheme="minorEastAsia" w:cstheme="minorBidi"/>
          <w:noProof/>
          <w:lang w:eastAsia="en-US"/>
        </w:rPr>
        <w:t>je</w:t>
      </w:r>
      <w:r w:rsidR="001D2356" w:rsidRPr="007E3739">
        <w:rPr>
          <w:rFonts w:eastAsiaTheme="minorEastAsia" w:cstheme="minorBidi"/>
          <w:noProof/>
          <w:lang w:eastAsia="en-US"/>
        </w:rPr>
        <w:t xml:space="preserve"> </w:t>
      </w:r>
      <w:r>
        <w:rPr>
          <w:rFonts w:eastAsiaTheme="minorEastAsia" w:cstheme="minorBidi"/>
          <w:noProof/>
          <w:lang w:eastAsia="en-US"/>
        </w:rPr>
        <w:t xml:space="preserve">vyriešenie troch okruhov </w:t>
      </w:r>
      <w:r w:rsidRPr="002F7DCF">
        <w:rPr>
          <w:rFonts w:eastAsiaTheme="minorEastAsia" w:cstheme="minorBidi"/>
          <w:noProof/>
          <w:lang w:eastAsia="en-US"/>
        </w:rPr>
        <w:t xml:space="preserve">problémov </w:t>
      </w:r>
      <w:r>
        <w:rPr>
          <w:rFonts w:eastAsiaTheme="minorEastAsia" w:cstheme="minorBidi"/>
          <w:noProof/>
          <w:lang w:eastAsia="en-US"/>
        </w:rPr>
        <w:t>v súčasnom znení zákona</w:t>
      </w:r>
      <w:r w:rsidRPr="002F7DCF">
        <w:rPr>
          <w:rFonts w:eastAsiaTheme="minorEastAsia" w:cstheme="minorBidi"/>
          <w:noProof/>
          <w:lang w:eastAsia="en-US"/>
        </w:rPr>
        <w:t xml:space="preserve"> č. 355/2007 Z. z. o ochrane, podpore a rozvoji verejného zdravia a o zmene a doplnení niektorých zákonov v znení neskorších predpisov</w:t>
      </w:r>
      <w:r>
        <w:rPr>
          <w:rFonts w:eastAsiaTheme="minorEastAsia" w:cstheme="minorBidi"/>
          <w:noProof/>
          <w:lang w:eastAsia="en-US"/>
        </w:rPr>
        <w:t xml:space="preserve"> (ďalej len „zákon“):</w:t>
      </w:r>
    </w:p>
    <w:p w14:paraId="54A171CC" w14:textId="77777777" w:rsidR="00CF3D42" w:rsidRDefault="00CF3D42" w:rsidP="008407CD">
      <w:pPr>
        <w:pStyle w:val="Normlnywebov"/>
        <w:spacing w:before="0" w:beforeAutospacing="0" w:after="0" w:afterAutospacing="0"/>
        <w:jc w:val="both"/>
        <w:rPr>
          <w:rFonts w:eastAsiaTheme="minorEastAsia" w:cstheme="minorBidi"/>
          <w:noProof/>
          <w:lang w:eastAsia="en-US"/>
        </w:rPr>
      </w:pPr>
    </w:p>
    <w:p w14:paraId="50977859" w14:textId="77777777" w:rsidR="002F7DCF" w:rsidRPr="002F7DCF" w:rsidRDefault="002F7DCF" w:rsidP="008407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2F7DCF">
        <w:rPr>
          <w:rFonts w:ascii="Times New Roman" w:hAnsi="Times New Roman" w:cs="Times New Roman"/>
          <w:sz w:val="24"/>
        </w:rPr>
        <w:t xml:space="preserve">otázku ústavne konformného výkladu ustanovenia § 58 ods. 5 zákona, týkajúceho sa vylúčenia náhrady škody a ušlého zisku, </w:t>
      </w:r>
    </w:p>
    <w:p w14:paraId="5DF0D4FB" w14:textId="77777777" w:rsidR="002F7DCF" w:rsidRPr="00BC3C51" w:rsidRDefault="002F7DCF" w:rsidP="008407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3C51">
        <w:rPr>
          <w:rFonts w:ascii="Times New Roman" w:hAnsi="Times New Roman" w:cs="Times New Roman"/>
          <w:sz w:val="24"/>
        </w:rPr>
        <w:t xml:space="preserve">otázku možnosti povoľovania výnimiek z opatrení podľa § 12 a § 48 ods. 4 zákona, </w:t>
      </w:r>
    </w:p>
    <w:p w14:paraId="7B279B8A" w14:textId="6622ADCD" w:rsidR="0020314B" w:rsidRPr="00BC3C51" w:rsidRDefault="002F7DCF" w:rsidP="008407C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3C51">
        <w:rPr>
          <w:rFonts w:ascii="Times New Roman" w:hAnsi="Times New Roman" w:cs="Times New Roman"/>
          <w:sz w:val="24"/>
        </w:rPr>
        <w:t xml:space="preserve">otázku odôvodňovania vyhlášok Úradu verejného zdravotníctva Slovenskej republiky (ďalej len </w:t>
      </w:r>
      <w:r w:rsidR="00DA5AD6">
        <w:rPr>
          <w:rFonts w:ascii="Times New Roman" w:hAnsi="Times New Roman" w:cs="Times New Roman"/>
          <w:sz w:val="24"/>
        </w:rPr>
        <w:t xml:space="preserve">„Úrad verejného zdravotníctva“) </w:t>
      </w:r>
      <w:r w:rsidRPr="00BC3C51">
        <w:rPr>
          <w:rFonts w:ascii="Times New Roman" w:hAnsi="Times New Roman" w:cs="Times New Roman"/>
          <w:sz w:val="24"/>
        </w:rPr>
        <w:t>a regionálnych úradov verejného zdravotníctva vydaných podľa § 59b zákona.</w:t>
      </w:r>
    </w:p>
    <w:p w14:paraId="3986EEBA" w14:textId="77777777" w:rsidR="0020314B" w:rsidRPr="0020314B" w:rsidRDefault="0020314B" w:rsidP="008407CD">
      <w:pPr>
        <w:pStyle w:val="Odsekzoznamu"/>
        <w:ind w:left="899"/>
        <w:jc w:val="both"/>
        <w:rPr>
          <w:rFonts w:ascii="Times New Roman" w:hAnsi="Times New Roman" w:cs="Times New Roman"/>
          <w:sz w:val="24"/>
        </w:rPr>
      </w:pPr>
    </w:p>
    <w:p w14:paraId="08811723" w14:textId="77777777" w:rsidR="002F7DCF" w:rsidRDefault="002F7DCF" w:rsidP="008407CD">
      <w:pPr>
        <w:pStyle w:val="Normlnywebov"/>
        <w:spacing w:before="0" w:beforeAutospacing="0"/>
        <w:ind w:firstLine="539"/>
        <w:jc w:val="both"/>
        <w:rPr>
          <w:rFonts w:eastAsiaTheme="minorEastAsia" w:cstheme="minorBidi"/>
          <w:noProof/>
          <w:lang w:eastAsia="en-US"/>
        </w:rPr>
      </w:pPr>
      <w:r w:rsidRPr="002F7DCF">
        <w:rPr>
          <w:rFonts w:eastAsiaTheme="minorEastAsia" w:cstheme="minorBidi"/>
          <w:noProof/>
          <w:lang w:eastAsia="en-US"/>
        </w:rPr>
        <w:t>V otázke ustanovenia § 58 ods. 5 zákona týkajúceho sa vylúčenia náhrady škody a ušlého zisku sa navrhuje upraviť toto ustanovenie takým spôsobom, aby nevyvolávalo pochybnosti o tom, že sa má vyklad</w:t>
      </w:r>
      <w:r>
        <w:rPr>
          <w:rFonts w:eastAsiaTheme="minorEastAsia" w:cstheme="minorBidi"/>
          <w:noProof/>
          <w:lang w:eastAsia="en-US"/>
        </w:rPr>
        <w:t xml:space="preserve">ať ústavne konformným spôsobom. </w:t>
      </w:r>
      <w:r w:rsidRPr="002F7DCF">
        <w:rPr>
          <w:rFonts w:eastAsiaTheme="minorEastAsia" w:cstheme="minorBidi"/>
          <w:noProof/>
          <w:lang w:eastAsia="en-US"/>
        </w:rPr>
        <w:t>V záujme odstránenia interpretačných pochybností a nastolenia prá</w:t>
      </w:r>
      <w:r>
        <w:rPr>
          <w:rFonts w:eastAsiaTheme="minorEastAsia" w:cstheme="minorBidi"/>
          <w:noProof/>
          <w:lang w:eastAsia="en-US"/>
        </w:rPr>
        <w:t>vnej istoty v danej veci sa</w:t>
      </w:r>
      <w:r w:rsidRPr="002F7DCF">
        <w:rPr>
          <w:rFonts w:eastAsiaTheme="minorEastAsia" w:cstheme="minorBidi"/>
          <w:noProof/>
          <w:lang w:eastAsia="en-US"/>
        </w:rPr>
        <w:t xml:space="preserve"> navrhuje do zákona doplniť, že vylúčenie náhrady škody a ušlého zisku sa netýka náhrady škody spôsobenej nezákonným rozhodnutím alebo nesprávnym úradným postupom.</w:t>
      </w:r>
    </w:p>
    <w:p w14:paraId="5B614AB7" w14:textId="77777777" w:rsidR="00CF3D42" w:rsidRDefault="002F7DCF" w:rsidP="008407CD">
      <w:pPr>
        <w:pStyle w:val="Normlnywebov"/>
        <w:ind w:firstLine="539"/>
        <w:jc w:val="both"/>
        <w:rPr>
          <w:rFonts w:eastAsiaTheme="minorEastAsia" w:cstheme="minorBidi"/>
          <w:noProof/>
          <w:lang w:eastAsia="en-US"/>
        </w:rPr>
      </w:pPr>
      <w:r w:rsidRPr="002F7DCF">
        <w:rPr>
          <w:rFonts w:eastAsiaTheme="minorEastAsia" w:cstheme="minorBidi"/>
          <w:noProof/>
          <w:lang w:eastAsia="en-US"/>
        </w:rPr>
        <w:t>V otázke individuálnych výnimiek z nariadenia opatrení podľa § 12 alebo § 48 ods. 4 zákona sa navrhuje upraviť základný zákonný rámec pre ich povoľovanie a zrušovanie.</w:t>
      </w:r>
      <w:r w:rsidR="0020314B">
        <w:rPr>
          <w:rFonts w:eastAsiaTheme="minorEastAsia" w:cstheme="minorBidi"/>
          <w:noProof/>
          <w:lang w:eastAsia="en-US"/>
        </w:rPr>
        <w:t xml:space="preserve"> </w:t>
      </w:r>
      <w:r w:rsidR="0020314B" w:rsidRPr="0020314B">
        <w:rPr>
          <w:rFonts w:eastAsiaTheme="minorEastAsia" w:cstheme="minorBidi"/>
          <w:noProof/>
          <w:lang w:eastAsia="en-US"/>
        </w:rPr>
        <w:t>Zákon explicitne nerieši, či z opatrení nariadených prostredníctvom všeobecne záväzných právnych predpisov podľa § 59b ods. 1 je alebo nie je možné povoľovať výnimky a tieto výnimky zrušovať.</w:t>
      </w:r>
      <w:r w:rsidR="00CF3D42" w:rsidRPr="00CF3D42">
        <w:t xml:space="preserve"> </w:t>
      </w:r>
      <w:r w:rsidR="00CF3D42" w:rsidRPr="00CF3D42">
        <w:rPr>
          <w:rFonts w:eastAsiaTheme="minorEastAsia" w:cstheme="minorBidi"/>
          <w:noProof/>
          <w:lang w:eastAsia="en-US"/>
        </w:rPr>
        <w:t>V snahe odstrániť vyššie uvedenú pochybnosť a dosiahnuť interpretačnú jednoznačnosť znenia zákona sa navrhuje do zákona doplniť explicitné zmocnenie na povoľovanie a rušenie výnimiek podľa § 12 a § 48 ods. 4 zákona.</w:t>
      </w:r>
    </w:p>
    <w:p w14:paraId="3E7C46BE" w14:textId="42C8FC1D" w:rsidR="00DD78F8" w:rsidRPr="007E3739" w:rsidRDefault="0020314B" w:rsidP="008407CD">
      <w:pPr>
        <w:pStyle w:val="Normlnywebov"/>
        <w:ind w:firstLine="539"/>
        <w:jc w:val="both"/>
        <w:rPr>
          <w:rFonts w:eastAsiaTheme="minorEastAsia" w:cstheme="minorBidi"/>
          <w:noProof/>
          <w:lang w:eastAsia="en-US"/>
        </w:rPr>
      </w:pPr>
      <w:r w:rsidRPr="0020314B">
        <w:rPr>
          <w:rFonts w:eastAsiaTheme="minorEastAsia" w:cstheme="minorBidi"/>
          <w:noProof/>
          <w:lang w:eastAsia="en-US"/>
        </w:rPr>
        <w:t>Vyhlášky Úradu verejného zdravotníctva a regionálneho úradu verejného zdravotníctva vydané podľa § 59b ods. 1 nemusia byť nijako odôvodnené, pretože nie sú všeobecne záväznými právnymi predpismi, ktorých návrh vrátane dôvodovej správy sa zverejňuje v pripomienkovom konaní, ani individuálnymi správnymi aktami, ktoré musia obsahovať odôvodnenie ako jednu zo svojich náležitostí. Opatrenia ukladané týmito vyhláškami pritom zasahujú do základných práv a slobôd a ukladajú fyzickým osobám a právnickým osobám povinnosti a obmedzenia zásadn</w:t>
      </w:r>
      <w:r w:rsidR="00CF3D42">
        <w:rPr>
          <w:rFonts w:eastAsiaTheme="minorEastAsia" w:cstheme="minorBidi"/>
          <w:noProof/>
          <w:lang w:eastAsia="en-US"/>
        </w:rPr>
        <w:t>ého charakteru. Je preto v záuj</w:t>
      </w:r>
      <w:r w:rsidRPr="0020314B">
        <w:rPr>
          <w:rFonts w:eastAsiaTheme="minorEastAsia" w:cstheme="minorBidi"/>
          <w:noProof/>
          <w:lang w:eastAsia="en-US"/>
        </w:rPr>
        <w:t>m</w:t>
      </w:r>
      <w:r w:rsidR="00CF3D42">
        <w:rPr>
          <w:rFonts w:eastAsiaTheme="minorEastAsia" w:cstheme="minorBidi"/>
          <w:noProof/>
          <w:lang w:eastAsia="en-US"/>
        </w:rPr>
        <w:t>e</w:t>
      </w:r>
      <w:r w:rsidRPr="0020314B">
        <w:rPr>
          <w:rFonts w:eastAsiaTheme="minorEastAsia" w:cstheme="minorBidi"/>
          <w:noProof/>
          <w:lang w:eastAsia="en-US"/>
        </w:rPr>
        <w:t xml:space="preserve"> zrozumiteľnosti týchto všeobecn</w:t>
      </w:r>
      <w:r w:rsidR="00CF3D42">
        <w:rPr>
          <w:rFonts w:eastAsiaTheme="minorEastAsia" w:cstheme="minorBidi"/>
          <w:noProof/>
          <w:lang w:eastAsia="en-US"/>
        </w:rPr>
        <w:t xml:space="preserve">e záväzných právnych predpisov </w:t>
      </w:r>
      <w:r w:rsidRPr="0020314B">
        <w:rPr>
          <w:rFonts w:eastAsiaTheme="minorEastAsia" w:cstheme="minorBidi"/>
          <w:noProof/>
          <w:lang w:eastAsia="en-US"/>
        </w:rPr>
        <w:t xml:space="preserve">aby boli odôvodnené, aby bol jasný a jednoznačný ich zmysel, aby bolo zrejmé, akým spôsobom sa majú vykladať a aby boli zrozumiteľné </w:t>
      </w:r>
      <w:r w:rsidR="003E0D34">
        <w:rPr>
          <w:rFonts w:eastAsiaTheme="minorEastAsia" w:cstheme="minorBidi"/>
          <w:noProof/>
          <w:lang w:eastAsia="en-US"/>
        </w:rPr>
        <w:t xml:space="preserve">adresátom právnej úpravy. </w:t>
      </w:r>
      <w:r w:rsidRPr="0020314B">
        <w:rPr>
          <w:rFonts w:eastAsiaTheme="minorEastAsia" w:cstheme="minorBidi"/>
          <w:noProof/>
          <w:lang w:eastAsia="en-US"/>
        </w:rPr>
        <w:t>Vzhľadom na vyššie uvedené sa navrhuje doplniť do zákona povinnosť uverejňovať odôvodnenia týchto v</w:t>
      </w:r>
      <w:bookmarkStart w:id="0" w:name="_GoBack"/>
      <w:bookmarkEnd w:id="0"/>
      <w:r w:rsidRPr="0020314B">
        <w:rPr>
          <w:rFonts w:eastAsiaTheme="minorEastAsia" w:cstheme="minorBidi"/>
          <w:noProof/>
          <w:lang w:eastAsia="en-US"/>
        </w:rPr>
        <w:t>yhlášok ako ich prílohu.</w:t>
      </w:r>
    </w:p>
    <w:p w14:paraId="40B2AEF4" w14:textId="77777777" w:rsidR="009B5323" w:rsidRDefault="009B5323" w:rsidP="008407CD">
      <w:pPr>
        <w:pStyle w:val="Normlnywebov"/>
        <w:jc w:val="both"/>
      </w:pPr>
      <w:r>
        <w:rPr>
          <w:rStyle w:val="Zvraznenie"/>
          <w:b/>
          <w:bCs/>
        </w:rPr>
        <w:lastRenderedPageBreak/>
        <w:t xml:space="preserve">Stanovisko </w:t>
      </w:r>
    </w:p>
    <w:p w14:paraId="21EEAEDE" w14:textId="77777777" w:rsidR="009B5323" w:rsidRDefault="009B5323" w:rsidP="008407CD">
      <w:pPr>
        <w:pStyle w:val="Normlnywebov"/>
        <w:jc w:val="both"/>
      </w:pPr>
      <w:r>
        <w:rPr>
          <w:rStyle w:val="Siln"/>
        </w:rPr>
        <w:t xml:space="preserve">Pripomienky k jednotlivým článkom </w:t>
      </w:r>
    </w:p>
    <w:p w14:paraId="5CB74786" w14:textId="77777777" w:rsidR="009B5323" w:rsidRDefault="009B5323" w:rsidP="008407CD">
      <w:pPr>
        <w:pStyle w:val="Normlnywebov"/>
        <w:jc w:val="both"/>
      </w:pPr>
      <w:r>
        <w:rPr>
          <w:rStyle w:val="Siln"/>
        </w:rPr>
        <w:t>K čl. I</w:t>
      </w:r>
    </w:p>
    <w:p w14:paraId="7E3FC774" w14:textId="77777777" w:rsidR="009B5323" w:rsidRDefault="009B5323" w:rsidP="008407CD">
      <w:pPr>
        <w:pStyle w:val="Normlnywebov"/>
        <w:jc w:val="both"/>
        <w:rPr>
          <w:rStyle w:val="Siln"/>
        </w:rPr>
      </w:pPr>
      <w:r>
        <w:rPr>
          <w:rStyle w:val="Siln"/>
        </w:rPr>
        <w:t>K bodu 1</w:t>
      </w:r>
    </w:p>
    <w:p w14:paraId="6FD39CEE" w14:textId="77777777" w:rsidR="00633F49" w:rsidRDefault="00633F49" w:rsidP="008407CD">
      <w:pPr>
        <w:pStyle w:val="Normlnywebov"/>
        <w:ind w:firstLine="708"/>
        <w:jc w:val="both"/>
        <w:rPr>
          <w:rStyle w:val="Siln"/>
        </w:rPr>
      </w:pPr>
      <w:r>
        <w:rPr>
          <w:rStyle w:val="Siln"/>
          <w:b w:val="0"/>
        </w:rPr>
        <w:t xml:space="preserve">Navrhujeme znenie bodu akceptovať nakoľko </w:t>
      </w:r>
      <w:r w:rsidRPr="00633F49">
        <w:rPr>
          <w:rStyle w:val="Siln"/>
          <w:b w:val="0"/>
        </w:rPr>
        <w:t xml:space="preserve">ide o spresnenie, ktorým sa explicitne ex </w:t>
      </w:r>
      <w:proofErr w:type="spellStart"/>
      <w:r w:rsidRPr="00633F49">
        <w:rPr>
          <w:rStyle w:val="Siln"/>
          <w:b w:val="0"/>
        </w:rPr>
        <w:t>lege</w:t>
      </w:r>
      <w:proofErr w:type="spellEnd"/>
      <w:r w:rsidRPr="00633F49">
        <w:rPr>
          <w:rStyle w:val="Siln"/>
          <w:b w:val="0"/>
        </w:rPr>
        <w:t xml:space="preserve"> nevylučuje právo na náhradu škody v prípade excesov spôsobených orgánmi verej</w:t>
      </w:r>
      <w:r>
        <w:rPr>
          <w:rStyle w:val="Siln"/>
          <w:b w:val="0"/>
        </w:rPr>
        <w:t>nej moci.</w:t>
      </w:r>
    </w:p>
    <w:p w14:paraId="243856F7" w14:textId="77777777" w:rsidR="00633F49" w:rsidRDefault="00633F49" w:rsidP="008407CD">
      <w:pPr>
        <w:pStyle w:val="Normlnywebov"/>
        <w:jc w:val="both"/>
        <w:rPr>
          <w:rStyle w:val="Siln"/>
        </w:rPr>
      </w:pPr>
      <w:r>
        <w:rPr>
          <w:rStyle w:val="Siln"/>
        </w:rPr>
        <w:t>K bodu 2</w:t>
      </w:r>
    </w:p>
    <w:p w14:paraId="206D08FD" w14:textId="77777777" w:rsidR="00633F49" w:rsidRPr="00633F49" w:rsidRDefault="00696113" w:rsidP="008407CD">
      <w:pPr>
        <w:pStyle w:val="Normlnywebov"/>
        <w:ind w:firstLine="708"/>
        <w:jc w:val="both"/>
        <w:rPr>
          <w:rStyle w:val="Siln"/>
          <w:b w:val="0"/>
        </w:rPr>
      </w:pPr>
      <w:r>
        <w:rPr>
          <w:rStyle w:val="Siln"/>
          <w:b w:val="0"/>
        </w:rPr>
        <w:t>Uvádzame, že individuálne výnimky Úrad verejného zdravotníctva</w:t>
      </w:r>
      <w:r w:rsidR="00633F49" w:rsidRPr="00633F49">
        <w:rPr>
          <w:rStyle w:val="Siln"/>
          <w:b w:val="0"/>
        </w:rPr>
        <w:t xml:space="preserve"> SR udeľuje len pri </w:t>
      </w:r>
      <w:r>
        <w:rPr>
          <w:rStyle w:val="Siln"/>
          <w:b w:val="0"/>
        </w:rPr>
        <w:t xml:space="preserve">vstupe na územie SR, pričom </w:t>
      </w:r>
      <w:r w:rsidR="00633F49" w:rsidRPr="00633F49">
        <w:rPr>
          <w:rStyle w:val="Siln"/>
          <w:b w:val="0"/>
        </w:rPr>
        <w:t>má v pláne možnosť udeľovať individuálne výnimky z</w:t>
      </w:r>
      <w:r>
        <w:rPr>
          <w:rStyle w:val="Siln"/>
          <w:b w:val="0"/>
        </w:rPr>
        <w:t xml:space="preserve"> opatrení/vyhlášky na "hranice"</w:t>
      </w:r>
      <w:r w:rsidR="00633F49" w:rsidRPr="00633F49">
        <w:rPr>
          <w:rStyle w:val="Siln"/>
          <w:b w:val="0"/>
        </w:rPr>
        <w:t xml:space="preserve"> vypustiť.</w:t>
      </w:r>
    </w:p>
    <w:p w14:paraId="11FEA1C9" w14:textId="77777777" w:rsidR="007C5D87" w:rsidRDefault="00696113" w:rsidP="008407CD">
      <w:pPr>
        <w:pStyle w:val="Normlnywebov"/>
        <w:spacing w:before="0" w:beforeAutospacing="0" w:after="0" w:afterAutospacing="0"/>
        <w:jc w:val="both"/>
        <w:rPr>
          <w:b/>
        </w:rPr>
      </w:pPr>
      <w:r w:rsidRPr="00696113">
        <w:rPr>
          <w:b/>
        </w:rPr>
        <w:t>K bodu 3</w:t>
      </w:r>
    </w:p>
    <w:p w14:paraId="7091679F" w14:textId="01FD2518" w:rsidR="00696113" w:rsidRPr="007C5D87" w:rsidRDefault="00696113" w:rsidP="008407CD">
      <w:pPr>
        <w:pStyle w:val="Normlnywebov"/>
        <w:spacing w:before="0" w:beforeAutospacing="0" w:after="0" w:afterAutospacing="0"/>
        <w:jc w:val="both"/>
        <w:rPr>
          <w:b/>
        </w:rPr>
      </w:pPr>
      <w:r w:rsidRPr="00F53E9F">
        <w:br/>
      </w:r>
      <w:r w:rsidR="007B7EE3">
        <w:rPr>
          <w:b/>
        </w:rPr>
        <w:t>K novému odseku 6</w:t>
      </w:r>
    </w:p>
    <w:p w14:paraId="1541232B" w14:textId="77777777" w:rsidR="00696113" w:rsidRDefault="00696113" w:rsidP="008407CD">
      <w:pPr>
        <w:pStyle w:val="Normlnywebov"/>
        <w:spacing w:before="0" w:beforeAutospacing="0" w:after="0" w:afterAutospacing="0"/>
        <w:jc w:val="both"/>
      </w:pPr>
    </w:p>
    <w:p w14:paraId="7EEEEB61" w14:textId="77777777" w:rsidR="00696113" w:rsidRDefault="00696113" w:rsidP="008407CD">
      <w:pPr>
        <w:pStyle w:val="Normlnywebov"/>
        <w:spacing w:before="0" w:beforeAutospacing="0" w:after="0" w:afterAutospacing="0"/>
        <w:ind w:firstLine="708"/>
        <w:jc w:val="both"/>
      </w:pPr>
      <w:r>
        <w:t xml:space="preserve">Navrhujeme </w:t>
      </w:r>
      <w:r w:rsidR="00211AF8">
        <w:t xml:space="preserve">znenie bodu </w:t>
      </w:r>
      <w:r>
        <w:t>ne</w:t>
      </w:r>
      <w:r w:rsidR="00211AF8">
        <w:t>akceptovať. Ide</w:t>
      </w:r>
      <w:r w:rsidRPr="00F53E9F">
        <w:t xml:space="preserve"> zrejme o reakciu na Nález Ústavnéh</w:t>
      </w:r>
      <w:r w:rsidR="00211AF8">
        <w:t>o súdu ČR</w:t>
      </w:r>
      <w:r w:rsidRPr="00F53E9F">
        <w:t xml:space="preserve"> </w:t>
      </w:r>
      <w:proofErr w:type="spellStart"/>
      <w:r w:rsidRPr="00F53E9F">
        <w:t>Pl</w:t>
      </w:r>
      <w:proofErr w:type="spellEnd"/>
      <w:r w:rsidRPr="00F53E9F">
        <w:t xml:space="preserve">. ÚS </w:t>
      </w:r>
      <w:r w:rsidR="00211AF8">
        <w:t>106/20 zo 16. februára 2021. U</w:t>
      </w:r>
      <w:r w:rsidRPr="00F53E9F">
        <w:t>vedené odôvodnenie sa takto ne</w:t>
      </w:r>
      <w:r w:rsidR="00211AF8">
        <w:t>publikuje ani v prípade zákonov. T</w:t>
      </w:r>
      <w:r w:rsidRPr="00F53E9F">
        <w:t xml:space="preserve">akáto „paušálna" povinnosť publikácie odôvodnenia bude značne znižovať </w:t>
      </w:r>
      <w:proofErr w:type="spellStart"/>
      <w:r w:rsidRPr="00F53E9F">
        <w:t>reakcieschopnosť</w:t>
      </w:r>
      <w:proofErr w:type="spellEnd"/>
      <w:r w:rsidRPr="00F53E9F">
        <w:t xml:space="preserve"> Úradu verejného zdravotníctva </w:t>
      </w:r>
      <w:r w:rsidR="00211AF8">
        <w:t xml:space="preserve">SR </w:t>
      </w:r>
      <w:r w:rsidRPr="00F53E9F">
        <w:t xml:space="preserve">v prípadoch naliehavej potreby prijatia  nových opatrení (nová nebezpečná mutácia </w:t>
      </w:r>
      <w:r w:rsidR="00211AF8">
        <w:t>vírusu a pod.). Aj</w:t>
      </w:r>
      <w:r w:rsidRPr="00F53E9F">
        <w:t xml:space="preserve"> v zmysle vyššie uve</w:t>
      </w:r>
      <w:r w:rsidR="00211AF8">
        <w:t>deného nálezu Ústavného súdu ČR</w:t>
      </w:r>
      <w:r w:rsidRPr="00F53E9F">
        <w:t xml:space="preserve"> </w:t>
      </w:r>
      <w:proofErr w:type="spellStart"/>
      <w:r w:rsidRPr="00F53E9F">
        <w:t>Pl</w:t>
      </w:r>
      <w:proofErr w:type="spellEnd"/>
      <w:r w:rsidRPr="00F53E9F">
        <w:t xml:space="preserve">. ÚS 106/20 nie je nevyhnutné vždy trvať na formalizovanej podobe dôvodovej správy, Ústavný súd </w:t>
      </w:r>
      <w:r w:rsidR="00211AF8">
        <w:t>ČR</w:t>
      </w:r>
      <w:r w:rsidRPr="00F53E9F">
        <w:t xml:space="preserve"> len poukazuje na potrebu/povinnosť normotvorcu mať dôvody, ktoré ho viedli k prijatiu právnej úpravy k dispozícii a byť pripravený ich ústavnému súdu predložiť v konaní o kontrole ústavnosti... (* zo znenia citovaného nálezu Ústavného súdu </w:t>
      </w:r>
      <w:r w:rsidR="00211AF8">
        <w:t>ČR</w:t>
      </w:r>
      <w:r w:rsidRPr="00F53E9F">
        <w:t xml:space="preserve"> je zrejmé, že reaguje na stav, kedy vláda ČR v konaní  o kontrole ústavnosti Ústavnému súdu ČR vôbec nezaslala konkrétne argumenty k dôvodom prijatia právnej úpravy...)</w:t>
      </w:r>
      <w:r w:rsidR="00211AF8">
        <w:t>. R</w:t>
      </w:r>
      <w:r w:rsidRPr="00F53E9F">
        <w:t>ovnako nie je možné v často časovo obmedzenom priestore pre prípravu opatrení proti nebezpečným ochoreniam/vírusom vždy pripraviť formálnu dôvodov</w:t>
      </w:r>
      <w:r w:rsidR="00211AF8">
        <w:t>ú správu s doložkami vplyvov.</w:t>
      </w:r>
    </w:p>
    <w:p w14:paraId="2EC8E25F" w14:textId="77777777" w:rsidR="00211AF8" w:rsidRPr="00211AF8" w:rsidRDefault="00211AF8" w:rsidP="008407CD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</w:rPr>
      </w:pPr>
    </w:p>
    <w:p w14:paraId="6BA13358" w14:textId="77777777" w:rsidR="00211AF8" w:rsidRPr="00211AF8" w:rsidRDefault="00211AF8" w:rsidP="008407CD">
      <w:pPr>
        <w:pStyle w:val="Normlnywebov"/>
        <w:spacing w:before="0" w:beforeAutospacing="0" w:after="0" w:afterAutospacing="0"/>
        <w:jc w:val="both"/>
        <w:rPr>
          <w:b/>
        </w:rPr>
      </w:pPr>
      <w:r w:rsidRPr="00211AF8">
        <w:rPr>
          <w:b/>
        </w:rPr>
        <w:t>K bodu 3</w:t>
      </w:r>
    </w:p>
    <w:p w14:paraId="223BB932" w14:textId="75CA3028" w:rsidR="00211AF8" w:rsidRDefault="007B7EE3" w:rsidP="008407CD">
      <w:pPr>
        <w:pStyle w:val="Normlnywebov"/>
        <w:spacing w:before="0" w:beforeAutospacing="0" w:after="0" w:afterAutospacing="0"/>
        <w:jc w:val="both"/>
      </w:pPr>
      <w:r>
        <w:rPr>
          <w:b/>
        </w:rPr>
        <w:br/>
        <w:t>K novému odseku 7</w:t>
      </w:r>
    </w:p>
    <w:p w14:paraId="683C8150" w14:textId="77777777" w:rsidR="00211AF8" w:rsidRDefault="00211AF8" w:rsidP="008407CD">
      <w:pPr>
        <w:pStyle w:val="Normlnywebov"/>
        <w:spacing w:before="0" w:beforeAutospacing="0" w:after="0" w:afterAutospacing="0"/>
        <w:jc w:val="both"/>
      </w:pPr>
    </w:p>
    <w:p w14:paraId="3C9ADF6B" w14:textId="4E2CCDC7" w:rsidR="008E51B7" w:rsidRDefault="00211AF8" w:rsidP="008407CD">
      <w:pPr>
        <w:pStyle w:val="Normlnywebov"/>
        <w:spacing w:before="0" w:beforeAutospacing="0" w:after="0" w:afterAutospacing="0"/>
        <w:ind w:firstLine="708"/>
        <w:jc w:val="both"/>
        <w:rPr>
          <w:rStyle w:val="Siln"/>
          <w:b w:val="0"/>
          <w:bCs w:val="0"/>
        </w:rPr>
      </w:pPr>
      <w:r w:rsidRPr="00211AF8">
        <w:t>Navrhujeme znenie bodu neakceptovať</w:t>
      </w:r>
      <w:r>
        <w:t xml:space="preserve">. Možnosť upraviť podmienky a postup pri povoľovaní a zrušovaní výnimiek podzákonným predpisom „naráža" na </w:t>
      </w:r>
      <w:proofErr w:type="spellStart"/>
      <w:r>
        <w:t>kautelu</w:t>
      </w:r>
      <w:proofErr w:type="spellEnd"/>
      <w:r>
        <w:t xml:space="preserve"> článku 2 ods. 2 Ústavy SR – povinnosť orgánov verejnej moci konať len na základe zákona a v jeho medziach, orgán verejnej moci si tak nemôže „sám" stanoviť procesný postup, ani podmienky rozhodovania.</w:t>
      </w:r>
    </w:p>
    <w:p w14:paraId="27DF225D" w14:textId="77777777" w:rsidR="003574D9" w:rsidRPr="003574D9" w:rsidRDefault="003574D9" w:rsidP="008407CD">
      <w:pPr>
        <w:pStyle w:val="Normlnywebov"/>
        <w:spacing w:before="0" w:beforeAutospacing="0" w:after="0" w:afterAutospacing="0"/>
        <w:ind w:firstLine="708"/>
        <w:jc w:val="both"/>
      </w:pPr>
    </w:p>
    <w:p w14:paraId="159A9E26" w14:textId="730EF492" w:rsidR="00BC3C51" w:rsidRDefault="00BB1926" w:rsidP="0084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Medzirezortné p</w:t>
      </w:r>
      <w:r w:rsidR="00BC3C51">
        <w:rPr>
          <w:rFonts w:ascii="Times New Roman" w:hAnsi="Times New Roman" w:cs="Times New Roman"/>
          <w:b/>
          <w:bCs/>
          <w:sz w:val="24"/>
          <w:szCs w:val="24"/>
        </w:rPr>
        <w:t>ripomienkové konanie</w:t>
      </w:r>
    </w:p>
    <w:p w14:paraId="43159667" w14:textId="77777777" w:rsidR="008407CD" w:rsidRDefault="008407CD" w:rsidP="008407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</w:rPr>
      </w:pPr>
    </w:p>
    <w:p w14:paraId="3384D4B2" w14:textId="45BD6D1E" w:rsidR="003574D9" w:rsidRDefault="00BC3C51" w:rsidP="00527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01A">
        <w:rPr>
          <w:rFonts w:ascii="Times New Roman" w:hAnsi="Times New Roman"/>
          <w:sz w:val="24"/>
          <w:szCs w:val="24"/>
        </w:rPr>
        <w:lastRenderedPageBreak/>
        <w:t xml:space="preserve">Poslanecký návrh bol predmetom medzirezortného pripomienkového konania v dňoch od </w:t>
      </w:r>
      <w:r w:rsidR="00B2615D">
        <w:rPr>
          <w:rFonts w:ascii="Times New Roman" w:hAnsi="Times New Roman"/>
          <w:sz w:val="24"/>
          <w:szCs w:val="24"/>
        </w:rPr>
        <w:t>30</w:t>
      </w:r>
      <w:r w:rsidRPr="00D6501A">
        <w:rPr>
          <w:rFonts w:ascii="Times New Roman" w:hAnsi="Times New Roman"/>
          <w:sz w:val="24"/>
          <w:szCs w:val="24"/>
        </w:rPr>
        <w:t xml:space="preserve">. </w:t>
      </w:r>
      <w:r w:rsidR="00B2615D">
        <w:rPr>
          <w:rFonts w:ascii="Times New Roman" w:hAnsi="Times New Roman"/>
          <w:sz w:val="24"/>
          <w:szCs w:val="24"/>
        </w:rPr>
        <w:t>3</w:t>
      </w:r>
      <w:r w:rsidRPr="00D6501A">
        <w:rPr>
          <w:rFonts w:ascii="Times New Roman" w:hAnsi="Times New Roman"/>
          <w:sz w:val="24"/>
          <w:szCs w:val="24"/>
        </w:rPr>
        <w:t xml:space="preserve">. 2021 do </w:t>
      </w:r>
      <w:r w:rsidR="00B2615D">
        <w:rPr>
          <w:rFonts w:ascii="Times New Roman" w:hAnsi="Times New Roman"/>
          <w:sz w:val="24"/>
          <w:szCs w:val="24"/>
        </w:rPr>
        <w:t>9</w:t>
      </w:r>
      <w:r w:rsidRPr="00D6501A">
        <w:rPr>
          <w:rFonts w:ascii="Times New Roman" w:hAnsi="Times New Roman"/>
          <w:sz w:val="24"/>
          <w:szCs w:val="24"/>
        </w:rPr>
        <w:t xml:space="preserve">. </w:t>
      </w:r>
      <w:r w:rsidR="00B2615D">
        <w:rPr>
          <w:rFonts w:ascii="Times New Roman" w:hAnsi="Times New Roman"/>
          <w:sz w:val="24"/>
          <w:szCs w:val="24"/>
        </w:rPr>
        <w:t>4</w:t>
      </w:r>
      <w:r w:rsidRPr="00D6501A">
        <w:rPr>
          <w:rFonts w:ascii="Times New Roman" w:hAnsi="Times New Roman"/>
          <w:sz w:val="24"/>
          <w:szCs w:val="24"/>
        </w:rPr>
        <w:t>. 2021. Z celkového počtu pripomienok (</w:t>
      </w:r>
      <w:r w:rsidR="00B2615D">
        <w:rPr>
          <w:rFonts w:ascii="Times New Roman" w:hAnsi="Times New Roman"/>
          <w:sz w:val="24"/>
          <w:szCs w:val="24"/>
        </w:rPr>
        <w:t xml:space="preserve">8 </w:t>
      </w:r>
      <w:r w:rsidRPr="00D6501A">
        <w:rPr>
          <w:rFonts w:ascii="Times New Roman" w:hAnsi="Times New Roman"/>
          <w:sz w:val="24"/>
          <w:szCs w:val="24"/>
        </w:rPr>
        <w:t>pripomienok) bol</w:t>
      </w:r>
      <w:r w:rsidR="00527E5F">
        <w:rPr>
          <w:rFonts w:ascii="Times New Roman" w:hAnsi="Times New Roman"/>
          <w:sz w:val="24"/>
          <w:szCs w:val="24"/>
        </w:rPr>
        <w:t>a</w:t>
      </w:r>
      <w:r w:rsidR="00D3570C">
        <w:rPr>
          <w:rFonts w:ascii="Times New Roman" w:hAnsi="Times New Roman"/>
          <w:sz w:val="24"/>
          <w:szCs w:val="24"/>
        </w:rPr>
        <w:t xml:space="preserve"> </w:t>
      </w:r>
      <w:r w:rsidR="00E93D77">
        <w:rPr>
          <w:rFonts w:ascii="Times New Roman" w:hAnsi="Times New Roman"/>
          <w:sz w:val="24"/>
          <w:szCs w:val="24"/>
        </w:rPr>
        <w:t>od povinne pripomienkujúcich subjektov</w:t>
      </w:r>
      <w:r w:rsidR="00E93D77" w:rsidRPr="00E93D77">
        <w:rPr>
          <w:rFonts w:ascii="Times New Roman" w:hAnsi="Times New Roman"/>
          <w:sz w:val="24"/>
          <w:szCs w:val="24"/>
        </w:rPr>
        <w:t xml:space="preserve"> </w:t>
      </w:r>
      <w:r w:rsidR="00D3570C">
        <w:rPr>
          <w:rFonts w:ascii="Times New Roman" w:hAnsi="Times New Roman"/>
          <w:sz w:val="24"/>
          <w:szCs w:val="24"/>
        </w:rPr>
        <w:t>uplatnená 1 zásadná pripomienka</w:t>
      </w:r>
      <w:r w:rsidR="00E93D77">
        <w:rPr>
          <w:rFonts w:ascii="Times New Roman" w:hAnsi="Times New Roman"/>
          <w:sz w:val="24"/>
          <w:szCs w:val="24"/>
        </w:rPr>
        <w:t xml:space="preserve"> (Ministerstvo</w:t>
      </w:r>
      <w:r w:rsidR="00527E5F">
        <w:rPr>
          <w:rFonts w:ascii="Times New Roman" w:hAnsi="Times New Roman"/>
          <w:sz w:val="24"/>
          <w:szCs w:val="24"/>
        </w:rPr>
        <w:t xml:space="preserve"> </w:t>
      </w:r>
      <w:r w:rsidR="00B2615D" w:rsidRPr="00B2615D">
        <w:rPr>
          <w:rFonts w:ascii="Times New Roman" w:hAnsi="Times New Roman"/>
          <w:sz w:val="24"/>
          <w:szCs w:val="24"/>
        </w:rPr>
        <w:t>školstva, vedy, výskumu a športu</w:t>
      </w:r>
      <w:r w:rsidR="00B2615D">
        <w:rPr>
          <w:rFonts w:ascii="Times New Roman" w:hAnsi="Times New Roman"/>
          <w:sz w:val="24"/>
          <w:szCs w:val="24"/>
        </w:rPr>
        <w:t xml:space="preserve"> Slovenskej republiky</w:t>
      </w:r>
      <w:r w:rsidR="00E93D77">
        <w:rPr>
          <w:rFonts w:ascii="Times New Roman" w:hAnsi="Times New Roman"/>
          <w:sz w:val="24"/>
          <w:szCs w:val="24"/>
        </w:rPr>
        <w:t>)</w:t>
      </w:r>
      <w:r w:rsidR="00527E5F">
        <w:rPr>
          <w:rFonts w:ascii="Times New Roman" w:hAnsi="Times New Roman"/>
          <w:sz w:val="24"/>
          <w:szCs w:val="24"/>
        </w:rPr>
        <w:t>.</w:t>
      </w:r>
    </w:p>
    <w:p w14:paraId="6238824C" w14:textId="77777777" w:rsidR="008407CD" w:rsidRDefault="008407CD" w:rsidP="0084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0D60" w14:textId="2FF56554" w:rsidR="00771661" w:rsidRPr="00771661" w:rsidRDefault="00771661" w:rsidP="0084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661">
        <w:rPr>
          <w:rFonts w:ascii="Times New Roman" w:hAnsi="Times New Roman"/>
          <w:b/>
          <w:bCs/>
          <w:sz w:val="24"/>
          <w:szCs w:val="24"/>
        </w:rPr>
        <w:t>Pripomienka Ministerstva školstva, vedy, výskumu a športu Slovenskej republiky:</w:t>
      </w:r>
    </w:p>
    <w:p w14:paraId="168613A5" w14:textId="3AE2EC1B" w:rsidR="00771661" w:rsidRPr="00771661" w:rsidRDefault="00771661" w:rsidP="00840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661">
        <w:rPr>
          <w:rFonts w:ascii="Times New Roman" w:hAnsi="Times New Roman" w:cs="Times New Roman"/>
          <w:b/>
          <w:bCs/>
          <w:sz w:val="24"/>
          <w:szCs w:val="24"/>
        </w:rPr>
        <w:t>Všeobecne:</w:t>
      </w:r>
    </w:p>
    <w:p w14:paraId="47B33CA0" w14:textId="0292FAC0" w:rsidR="00771661" w:rsidRDefault="00771661" w:rsidP="0084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661">
        <w:rPr>
          <w:rFonts w:ascii="Times New Roman" w:hAnsi="Times New Roman" w:cs="Times New Roman"/>
          <w:sz w:val="24"/>
          <w:szCs w:val="24"/>
        </w:rPr>
        <w:t>Zásadne žiadame v zákone č. 355/2007 Z. z. o ochrane, podpore a rozvoji verejného zdravia a o zmene a doplnení niektorých zákonov doplnenie pôsobnosti MŠVVaŠ SR ako orgánu verejného zdravotníctva a funkcie hlavného školského hygienika ako vedúceho hygienika rezortu. Konkrétne žiadame nasledovné úpravy: 1. V § 3 ods. 1 sa za písmeno f) vkladá nové písmeno g), ktoré znie: „g) Ministerstvo školstva, vedy, výskumu a športu Slovenskej republiky (ďalej len „ministerstvo školstva“),“. Doterajšie písmeno g) sa označuje ako písmeno h). 2. V § 3 ods. 2 písm. a) sa slová „až f)“ nahrádzajú slovami „až g)“. 3. V § 3 ods. 2 písm. b) sa slová „až f)" nahrádzajú slovami „až g)“, čiarka na konci sa nahrádza bodkočiarkou a pripájajú sa tieto slová: „vedúci hygienik rezortu na ministerstve školstva sa označuje ako hlavný školský hygienik,“. 4. V § 3 ods. 2 písm. c), § 7 ods. 1 úvodnej vete a § 52 ods. 1 písm. o) sa slová „až g)“ nahrádzajú slovami „až h)“. 5. V § 56 ods. 5 a § 57 ods. 40 sa slová „až g)“ nahrádzajú slovami „až f) a h)“. Odôvodnenie: Pozícia hlavného školského hygienika sa v čase vyhlásenej mimoriadnej situácie a vyhláseného núdzového stavu v súvislosti s ohrozením zdravia a života v dôsledku pandémie spojenej s výskytom a šírením vírusu COVID-19 ukázala ako mimoriadne dôležitá a nevyhnutná pre zabezpečenie bezpečnej prevádzky škôl a školských zariadení pri koordinovaní všetkých potrebných opatrení k zamedzeniu šírenia a výskytu vírusu COVID-19, rovnako ako aj potreba pôsobností MŠVVaŠ SR na úseku verejného zdravotníctva. V tejto súvislosti je pozícia hlavného školského hygienika a s ním spojený rozsah právomocí MŠVVaŠ SR v oblasti ochrany zdravia a života na školách a v školských zariadeniach nevyhnutná a potrebná aj po skončení núdzového stavu a mimoriadnej situácie, kedy bude naďalej potrebné zabezpečovať podrobnejšiu a cielenejšiu pozornosť a opatrenia hlavného školského hygienika s cieľom udržovať bezpečné a zdravé prostredie pre deti a žiakov všetkých druhov škôl a školských zariadení, a tak dosiahnuť trvalo udržateľnú bezpečnú prevádzku škôl a školských zariadení, ako aj pripravenosť rezortu školstva na ďalšie prípadne hrozby v oblasti zdravia. Túto pripomienku MŠVVaŠ SR považuje za zásadnú.</w:t>
      </w:r>
    </w:p>
    <w:p w14:paraId="5B7C36AD" w14:textId="77777777" w:rsidR="0074758B" w:rsidRPr="007F6B8E" w:rsidRDefault="0074758B" w:rsidP="0084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1075" w14:textId="77777777" w:rsidR="007F6B8E" w:rsidRPr="007F6B8E" w:rsidRDefault="00771661" w:rsidP="0052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B8E">
        <w:rPr>
          <w:rFonts w:ascii="Times New Roman" w:hAnsi="Times New Roman" w:cs="Times New Roman"/>
          <w:sz w:val="24"/>
          <w:szCs w:val="24"/>
        </w:rPr>
        <w:t>Ministerstvo zdr</w:t>
      </w:r>
      <w:r w:rsidR="003E0D34" w:rsidRPr="007F6B8E">
        <w:rPr>
          <w:rFonts w:ascii="Times New Roman" w:hAnsi="Times New Roman" w:cs="Times New Roman"/>
          <w:sz w:val="24"/>
          <w:szCs w:val="24"/>
        </w:rPr>
        <w:t xml:space="preserve">avotníctva SR odporúča návrh </w:t>
      </w:r>
      <w:r w:rsidR="003E0D34" w:rsidRPr="007F6B8E">
        <w:rPr>
          <w:rFonts w:ascii="Times New Roman" w:hAnsi="Times New Roman" w:cs="Times New Roman"/>
          <w:b/>
          <w:sz w:val="24"/>
          <w:szCs w:val="24"/>
        </w:rPr>
        <w:t>neakceptovať</w:t>
      </w:r>
      <w:r w:rsidR="003E0D34" w:rsidRPr="007F6B8E">
        <w:rPr>
          <w:rFonts w:ascii="Times New Roman" w:hAnsi="Times New Roman" w:cs="Times New Roman"/>
          <w:sz w:val="24"/>
          <w:szCs w:val="24"/>
        </w:rPr>
        <w:t>,</w:t>
      </w:r>
      <w:r w:rsidR="007F6B8E" w:rsidRPr="007F6B8E">
        <w:rPr>
          <w:rFonts w:ascii="Times New Roman" w:hAnsi="Times New Roman" w:cs="Times New Roman"/>
          <w:sz w:val="24"/>
          <w:szCs w:val="24"/>
        </w:rPr>
        <w:t xml:space="preserve"> nakoľko predmetná pripomienka je nad rámec predloženého poslaneckého návrhu zákona. </w:t>
      </w:r>
    </w:p>
    <w:p w14:paraId="0609CE7E" w14:textId="77777777" w:rsidR="007F6B8E" w:rsidRDefault="007F6B8E" w:rsidP="0052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742063" w14:textId="3C32D693" w:rsidR="0074758B" w:rsidRDefault="007F6B8E" w:rsidP="007F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zdravotníctva SR</w:t>
      </w:r>
      <w:r w:rsidR="003E0D34">
        <w:rPr>
          <w:rFonts w:ascii="Times New Roman" w:hAnsi="Times New Roman" w:cs="Times New Roman"/>
          <w:sz w:val="24"/>
          <w:szCs w:val="24"/>
        </w:rPr>
        <w:t xml:space="preserve"> </w:t>
      </w:r>
      <w:r w:rsidR="0074758B">
        <w:rPr>
          <w:rFonts w:ascii="Times New Roman" w:hAnsi="Times New Roman" w:cs="Times New Roman"/>
          <w:sz w:val="24"/>
          <w:szCs w:val="24"/>
        </w:rPr>
        <w:t xml:space="preserve">je </w:t>
      </w:r>
      <w:r w:rsidR="003E0D34">
        <w:rPr>
          <w:rFonts w:ascii="Times New Roman" w:hAnsi="Times New Roman" w:cs="Times New Roman"/>
          <w:sz w:val="24"/>
          <w:szCs w:val="24"/>
        </w:rPr>
        <w:t>toho názoru</w:t>
      </w:r>
      <w:r w:rsidR="003E0D34" w:rsidRPr="003E0D34">
        <w:rPr>
          <w:rFonts w:ascii="Times New Roman" w:hAnsi="Times New Roman" w:cs="Times New Roman"/>
          <w:sz w:val="24"/>
          <w:szCs w:val="24"/>
        </w:rPr>
        <w:t xml:space="preserve">, že </w:t>
      </w:r>
      <w:r w:rsidR="00527E5F" w:rsidRPr="00527E5F">
        <w:rPr>
          <w:rFonts w:ascii="Times New Roman" w:hAnsi="Times New Roman" w:cs="Times New Roman"/>
          <w:sz w:val="24"/>
          <w:szCs w:val="24"/>
        </w:rPr>
        <w:t>doplnenie funkcie hlavného školského hygienika ako vedúceho hygienika rezortu</w:t>
      </w:r>
      <w:r w:rsidR="00527E5F">
        <w:rPr>
          <w:rFonts w:ascii="Times New Roman" w:hAnsi="Times New Roman" w:cs="Times New Roman"/>
          <w:sz w:val="24"/>
          <w:szCs w:val="24"/>
        </w:rPr>
        <w:t xml:space="preserve"> je neopodstatnené. </w:t>
      </w:r>
      <w:r w:rsidR="003E0D34">
        <w:rPr>
          <w:rFonts w:ascii="Times New Roman" w:hAnsi="Times New Roman" w:cs="Times New Roman"/>
          <w:sz w:val="24"/>
          <w:szCs w:val="24"/>
        </w:rPr>
        <w:t xml:space="preserve">V </w:t>
      </w:r>
      <w:r w:rsidR="003E0D34" w:rsidRPr="003E0D34">
        <w:rPr>
          <w:rFonts w:ascii="Times New Roman" w:hAnsi="Times New Roman" w:cs="Times New Roman"/>
          <w:sz w:val="24"/>
          <w:szCs w:val="24"/>
        </w:rPr>
        <w:t>rámci rezortu je však dôležité vytvoriť pozíciu verejného zdravotníka, resp. úseku, ktorý by zastrešil problematiku ochrany, podpory a rozvoja verejného zdravia u detí vo všetkých oblastia</w:t>
      </w:r>
      <w:r w:rsidR="003E0D34">
        <w:rPr>
          <w:rFonts w:ascii="Times New Roman" w:hAnsi="Times New Roman" w:cs="Times New Roman"/>
          <w:sz w:val="24"/>
          <w:szCs w:val="24"/>
        </w:rPr>
        <w:t>ch, tak ako je to uvedené v </w:t>
      </w:r>
      <w:r w:rsidR="0074758B" w:rsidRPr="0074758B">
        <w:rPr>
          <w:rFonts w:ascii="Times New Roman" w:hAnsi="Times New Roman" w:cs="Times New Roman"/>
          <w:sz w:val="24"/>
          <w:szCs w:val="24"/>
        </w:rPr>
        <w:t>predmetnej</w:t>
      </w:r>
      <w:r w:rsidR="003E0D34" w:rsidRPr="0074758B">
        <w:rPr>
          <w:rFonts w:ascii="Times New Roman" w:hAnsi="Times New Roman" w:cs="Times New Roman"/>
          <w:sz w:val="24"/>
          <w:szCs w:val="24"/>
        </w:rPr>
        <w:t xml:space="preserve"> pripomienke. </w:t>
      </w:r>
      <w:r w:rsidR="0074758B">
        <w:rPr>
          <w:rFonts w:ascii="Times New Roman" w:hAnsi="Times New Roman" w:cs="Times New Roman"/>
          <w:sz w:val="24"/>
          <w:szCs w:val="24"/>
        </w:rPr>
        <w:t>N</w:t>
      </w:r>
      <w:r w:rsidR="003E0D34" w:rsidRPr="003E0D34">
        <w:rPr>
          <w:rFonts w:ascii="Times New Roman" w:hAnsi="Times New Roman" w:cs="Times New Roman"/>
          <w:sz w:val="24"/>
          <w:szCs w:val="24"/>
        </w:rPr>
        <w:t>ie je potrebné rozširovať o</w:t>
      </w:r>
      <w:r w:rsidR="003E0D34">
        <w:rPr>
          <w:rFonts w:ascii="Times New Roman" w:hAnsi="Times New Roman" w:cs="Times New Roman"/>
          <w:sz w:val="24"/>
          <w:szCs w:val="24"/>
        </w:rPr>
        <w:t>rgány verejného zdravotníctva, d</w:t>
      </w:r>
      <w:r w:rsidR="003E0D34" w:rsidRPr="003E0D34">
        <w:rPr>
          <w:rFonts w:ascii="Times New Roman" w:hAnsi="Times New Roman" w:cs="Times New Roman"/>
          <w:sz w:val="24"/>
          <w:szCs w:val="24"/>
        </w:rPr>
        <w:t xml:space="preserve">ôležité je </w:t>
      </w:r>
      <w:r w:rsidR="003E0D34">
        <w:rPr>
          <w:rFonts w:ascii="Times New Roman" w:hAnsi="Times New Roman" w:cs="Times New Roman"/>
          <w:sz w:val="24"/>
          <w:szCs w:val="24"/>
        </w:rPr>
        <w:t xml:space="preserve">skôr </w:t>
      </w:r>
      <w:r w:rsidR="003E0D34" w:rsidRPr="003E0D34">
        <w:rPr>
          <w:rFonts w:ascii="Times New Roman" w:hAnsi="Times New Roman" w:cs="Times New Roman"/>
          <w:sz w:val="24"/>
          <w:szCs w:val="24"/>
        </w:rPr>
        <w:t>posilňovať a optimalizovať sieť úradov verejného zdravotníctva vo všetkých oblastiach pre čo najúčinne</w:t>
      </w:r>
      <w:r w:rsidR="003E0D34">
        <w:rPr>
          <w:rFonts w:ascii="Times New Roman" w:hAnsi="Times New Roman" w:cs="Times New Roman"/>
          <w:sz w:val="24"/>
          <w:szCs w:val="24"/>
        </w:rPr>
        <w:t xml:space="preserve">jšiu ochranu </w:t>
      </w:r>
      <w:r w:rsidR="0074758B">
        <w:rPr>
          <w:rFonts w:ascii="Times New Roman" w:hAnsi="Times New Roman" w:cs="Times New Roman"/>
          <w:sz w:val="24"/>
          <w:szCs w:val="24"/>
        </w:rPr>
        <w:t xml:space="preserve">a podporu zdravia. </w:t>
      </w:r>
    </w:p>
    <w:p w14:paraId="2B9FC1EC" w14:textId="2EC21081" w:rsidR="002E02A2" w:rsidRDefault="002E02A2" w:rsidP="0084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F5A91" w14:textId="2F74B711" w:rsidR="00BC3C51" w:rsidRPr="0074758B" w:rsidRDefault="00BC3C51" w:rsidP="0084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14:paraId="643CD7AB" w14:textId="74CC3A6B" w:rsidR="006B15FE" w:rsidRPr="00FB27E5" w:rsidRDefault="00BC3C51" w:rsidP="00FB27E5">
      <w:pPr>
        <w:pStyle w:val="Normlnywebov"/>
        <w:ind w:firstLine="708"/>
        <w:jc w:val="both"/>
        <w:rPr>
          <w:b/>
        </w:rPr>
      </w:pPr>
      <w:r w:rsidRPr="00147F43">
        <w:t xml:space="preserve">Ministerstvo zdravotníctva </w:t>
      </w:r>
      <w:r w:rsidR="008407CD">
        <w:t>SR</w:t>
      </w:r>
      <w:r w:rsidRPr="00147F43">
        <w:t xml:space="preserve"> odporúč</w:t>
      </w:r>
      <w:r w:rsidR="00FB27E5">
        <w:t xml:space="preserve">a vláde Slovenskej republiky aby s predloženým poslaneckým návrhom zákona </w:t>
      </w:r>
      <w:r w:rsidR="00FB27E5" w:rsidRPr="00FB27E5">
        <w:rPr>
          <w:b/>
        </w:rPr>
        <w:t>po</w:t>
      </w:r>
      <w:r w:rsidRPr="00FB27E5">
        <w:rPr>
          <w:b/>
        </w:rPr>
        <w:t xml:space="preserve"> zo</w:t>
      </w:r>
      <w:r w:rsidR="00C871CA" w:rsidRPr="00FB27E5">
        <w:rPr>
          <w:b/>
        </w:rPr>
        <w:t xml:space="preserve">hľadnení </w:t>
      </w:r>
      <w:r w:rsidR="003F5DB9">
        <w:rPr>
          <w:b/>
        </w:rPr>
        <w:t xml:space="preserve">vyššie uvedených pripomienok </w:t>
      </w:r>
      <w:r w:rsidR="00367C09">
        <w:rPr>
          <w:b/>
        </w:rPr>
        <w:t>vyslovila súhlas.</w:t>
      </w:r>
    </w:p>
    <w:sectPr w:rsidR="006B15FE" w:rsidRPr="00FB27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DEBB" w14:textId="77777777" w:rsidR="003E60D1" w:rsidRDefault="003E60D1" w:rsidP="00E10180">
      <w:pPr>
        <w:spacing w:after="0" w:line="240" w:lineRule="auto"/>
      </w:pPr>
      <w:r>
        <w:separator/>
      </w:r>
    </w:p>
  </w:endnote>
  <w:endnote w:type="continuationSeparator" w:id="0">
    <w:p w14:paraId="5C68E148" w14:textId="77777777" w:rsidR="003E60D1" w:rsidRDefault="003E60D1" w:rsidP="00E1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879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CAD637" w14:textId="22DFDC92" w:rsidR="009E0A1F" w:rsidRPr="009E0A1F" w:rsidRDefault="009E0A1F">
        <w:pPr>
          <w:pStyle w:val="Pta"/>
          <w:jc w:val="center"/>
          <w:rPr>
            <w:rFonts w:ascii="Times New Roman" w:hAnsi="Times New Roman" w:cs="Times New Roman"/>
          </w:rPr>
        </w:pPr>
        <w:r w:rsidRPr="009E0A1F">
          <w:rPr>
            <w:rFonts w:ascii="Times New Roman" w:hAnsi="Times New Roman" w:cs="Times New Roman"/>
          </w:rPr>
          <w:fldChar w:fldCharType="begin"/>
        </w:r>
        <w:r w:rsidRPr="009E0A1F">
          <w:rPr>
            <w:rFonts w:ascii="Times New Roman" w:hAnsi="Times New Roman" w:cs="Times New Roman"/>
          </w:rPr>
          <w:instrText>PAGE   \* MERGEFORMAT</w:instrText>
        </w:r>
        <w:r w:rsidRPr="009E0A1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 w:rsidRPr="009E0A1F">
          <w:rPr>
            <w:rFonts w:ascii="Times New Roman" w:hAnsi="Times New Roman" w:cs="Times New Roman"/>
          </w:rPr>
          <w:fldChar w:fldCharType="end"/>
        </w:r>
      </w:p>
    </w:sdtContent>
  </w:sdt>
  <w:p w14:paraId="77329BBA" w14:textId="77777777" w:rsidR="009E0A1F" w:rsidRDefault="009E0A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10644" w14:textId="77777777" w:rsidR="003E60D1" w:rsidRDefault="003E60D1" w:rsidP="00E10180">
      <w:pPr>
        <w:spacing w:after="0" w:line="240" w:lineRule="auto"/>
      </w:pPr>
      <w:r>
        <w:separator/>
      </w:r>
    </w:p>
  </w:footnote>
  <w:footnote w:type="continuationSeparator" w:id="0">
    <w:p w14:paraId="305A25AC" w14:textId="77777777" w:rsidR="003E60D1" w:rsidRDefault="003E60D1" w:rsidP="00E1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CE1"/>
    <w:multiLevelType w:val="hybridMultilevel"/>
    <w:tmpl w:val="A6EAE6D4"/>
    <w:lvl w:ilvl="0" w:tplc="4D7846C4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60A5978"/>
    <w:multiLevelType w:val="hybridMultilevel"/>
    <w:tmpl w:val="8320E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888"/>
    <w:multiLevelType w:val="hybridMultilevel"/>
    <w:tmpl w:val="6324D07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0BC7"/>
    <w:multiLevelType w:val="hybridMultilevel"/>
    <w:tmpl w:val="0C2422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110D8"/>
    <w:multiLevelType w:val="hybridMultilevel"/>
    <w:tmpl w:val="B4165DFE"/>
    <w:lvl w:ilvl="0" w:tplc="4D7846C4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3"/>
    <w:rsid w:val="00027802"/>
    <w:rsid w:val="00043A68"/>
    <w:rsid w:val="0004551D"/>
    <w:rsid w:val="00057335"/>
    <w:rsid w:val="000A5C7E"/>
    <w:rsid w:val="000C3C53"/>
    <w:rsid w:val="000E4C50"/>
    <w:rsid w:val="000F5DFC"/>
    <w:rsid w:val="00146941"/>
    <w:rsid w:val="00147F43"/>
    <w:rsid w:val="00165196"/>
    <w:rsid w:val="00173ADF"/>
    <w:rsid w:val="00185F65"/>
    <w:rsid w:val="00193DBD"/>
    <w:rsid w:val="001970CB"/>
    <w:rsid w:val="001A07B5"/>
    <w:rsid w:val="001C0A63"/>
    <w:rsid w:val="001D2356"/>
    <w:rsid w:val="001D66C1"/>
    <w:rsid w:val="001E4861"/>
    <w:rsid w:val="0020314B"/>
    <w:rsid w:val="00204276"/>
    <w:rsid w:val="00204DA6"/>
    <w:rsid w:val="00210BAC"/>
    <w:rsid w:val="00211AF8"/>
    <w:rsid w:val="002A2FFA"/>
    <w:rsid w:val="002A4347"/>
    <w:rsid w:val="002C69CB"/>
    <w:rsid w:val="002D429A"/>
    <w:rsid w:val="002E02A2"/>
    <w:rsid w:val="002F0381"/>
    <w:rsid w:val="002F26A5"/>
    <w:rsid w:val="002F7DCF"/>
    <w:rsid w:val="003325F9"/>
    <w:rsid w:val="003364E0"/>
    <w:rsid w:val="00340FA6"/>
    <w:rsid w:val="00342C05"/>
    <w:rsid w:val="003546D1"/>
    <w:rsid w:val="00356890"/>
    <w:rsid w:val="003574D9"/>
    <w:rsid w:val="00367C09"/>
    <w:rsid w:val="003718F3"/>
    <w:rsid w:val="00391046"/>
    <w:rsid w:val="003E0D34"/>
    <w:rsid w:val="003E60D1"/>
    <w:rsid w:val="003E77F5"/>
    <w:rsid w:val="003F03E5"/>
    <w:rsid w:val="003F5DB9"/>
    <w:rsid w:val="004211C9"/>
    <w:rsid w:val="0043078D"/>
    <w:rsid w:val="00486D6F"/>
    <w:rsid w:val="004957C4"/>
    <w:rsid w:val="00496500"/>
    <w:rsid w:val="004979BE"/>
    <w:rsid w:val="004A271E"/>
    <w:rsid w:val="004A3683"/>
    <w:rsid w:val="004A47E3"/>
    <w:rsid w:val="004D0376"/>
    <w:rsid w:val="004D7723"/>
    <w:rsid w:val="0051244C"/>
    <w:rsid w:val="00527E5F"/>
    <w:rsid w:val="00577A19"/>
    <w:rsid w:val="00585CB7"/>
    <w:rsid w:val="005860EA"/>
    <w:rsid w:val="005E5192"/>
    <w:rsid w:val="00613DAA"/>
    <w:rsid w:val="00616D30"/>
    <w:rsid w:val="00633F49"/>
    <w:rsid w:val="00641AD0"/>
    <w:rsid w:val="00641B29"/>
    <w:rsid w:val="00674B80"/>
    <w:rsid w:val="00696113"/>
    <w:rsid w:val="006B15FE"/>
    <w:rsid w:val="006C3511"/>
    <w:rsid w:val="006D46CD"/>
    <w:rsid w:val="006D4FCA"/>
    <w:rsid w:val="00700018"/>
    <w:rsid w:val="00724277"/>
    <w:rsid w:val="0074758B"/>
    <w:rsid w:val="00756E80"/>
    <w:rsid w:val="00757D30"/>
    <w:rsid w:val="00771661"/>
    <w:rsid w:val="00775382"/>
    <w:rsid w:val="0078521F"/>
    <w:rsid w:val="00797D6F"/>
    <w:rsid w:val="007B02EA"/>
    <w:rsid w:val="007B2665"/>
    <w:rsid w:val="007B696F"/>
    <w:rsid w:val="007B7EE3"/>
    <w:rsid w:val="007C5D87"/>
    <w:rsid w:val="007E3739"/>
    <w:rsid w:val="007F6B8E"/>
    <w:rsid w:val="007F6BDB"/>
    <w:rsid w:val="007F7509"/>
    <w:rsid w:val="008407CD"/>
    <w:rsid w:val="00853F4F"/>
    <w:rsid w:val="008679A9"/>
    <w:rsid w:val="008716AB"/>
    <w:rsid w:val="0088081E"/>
    <w:rsid w:val="00882F69"/>
    <w:rsid w:val="008963B2"/>
    <w:rsid w:val="008C7B9B"/>
    <w:rsid w:val="008D7CD7"/>
    <w:rsid w:val="008D7D81"/>
    <w:rsid w:val="008E51B7"/>
    <w:rsid w:val="00913FA8"/>
    <w:rsid w:val="00916EFB"/>
    <w:rsid w:val="00921CA3"/>
    <w:rsid w:val="00965E25"/>
    <w:rsid w:val="00971361"/>
    <w:rsid w:val="009B5323"/>
    <w:rsid w:val="009E0A1F"/>
    <w:rsid w:val="009F0D8E"/>
    <w:rsid w:val="00A31B23"/>
    <w:rsid w:val="00A6062C"/>
    <w:rsid w:val="00A72FB3"/>
    <w:rsid w:val="00AA0217"/>
    <w:rsid w:val="00AA0C0A"/>
    <w:rsid w:val="00AC403A"/>
    <w:rsid w:val="00AC6C6C"/>
    <w:rsid w:val="00AC74E1"/>
    <w:rsid w:val="00AD03C8"/>
    <w:rsid w:val="00AF5BE5"/>
    <w:rsid w:val="00B00552"/>
    <w:rsid w:val="00B02201"/>
    <w:rsid w:val="00B125DA"/>
    <w:rsid w:val="00B2615D"/>
    <w:rsid w:val="00B33CC9"/>
    <w:rsid w:val="00B4208B"/>
    <w:rsid w:val="00B44278"/>
    <w:rsid w:val="00B71253"/>
    <w:rsid w:val="00B74AAF"/>
    <w:rsid w:val="00BA71E0"/>
    <w:rsid w:val="00BB0A5C"/>
    <w:rsid w:val="00BB1926"/>
    <w:rsid w:val="00BC1CF8"/>
    <w:rsid w:val="00BC3C51"/>
    <w:rsid w:val="00BD4AAF"/>
    <w:rsid w:val="00BD4E70"/>
    <w:rsid w:val="00C05AE2"/>
    <w:rsid w:val="00C072C8"/>
    <w:rsid w:val="00C16FB0"/>
    <w:rsid w:val="00C201AF"/>
    <w:rsid w:val="00C277CC"/>
    <w:rsid w:val="00C54AA6"/>
    <w:rsid w:val="00C871CA"/>
    <w:rsid w:val="00CA21BF"/>
    <w:rsid w:val="00CB15E5"/>
    <w:rsid w:val="00CB362A"/>
    <w:rsid w:val="00CD690A"/>
    <w:rsid w:val="00CD69BC"/>
    <w:rsid w:val="00CF3D42"/>
    <w:rsid w:val="00D3570C"/>
    <w:rsid w:val="00D6501A"/>
    <w:rsid w:val="00D66A6D"/>
    <w:rsid w:val="00D85DB2"/>
    <w:rsid w:val="00D96498"/>
    <w:rsid w:val="00DA5563"/>
    <w:rsid w:val="00DA5AD6"/>
    <w:rsid w:val="00DA60AC"/>
    <w:rsid w:val="00DB1169"/>
    <w:rsid w:val="00DB120E"/>
    <w:rsid w:val="00DB2140"/>
    <w:rsid w:val="00DC5B79"/>
    <w:rsid w:val="00DD78F8"/>
    <w:rsid w:val="00E10180"/>
    <w:rsid w:val="00E13789"/>
    <w:rsid w:val="00E20FCA"/>
    <w:rsid w:val="00E41C40"/>
    <w:rsid w:val="00E86BC3"/>
    <w:rsid w:val="00E93D77"/>
    <w:rsid w:val="00EB7DBF"/>
    <w:rsid w:val="00EE1103"/>
    <w:rsid w:val="00F0510F"/>
    <w:rsid w:val="00F135DE"/>
    <w:rsid w:val="00F15651"/>
    <w:rsid w:val="00F271DC"/>
    <w:rsid w:val="00F336F3"/>
    <w:rsid w:val="00F46641"/>
    <w:rsid w:val="00F81588"/>
    <w:rsid w:val="00F903FC"/>
    <w:rsid w:val="00FA6917"/>
    <w:rsid w:val="00FB27E5"/>
    <w:rsid w:val="00FD6D63"/>
    <w:rsid w:val="00FE0CB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DB7"/>
  <w15:chartTrackingRefBased/>
  <w15:docId w15:val="{56822F7D-CA26-4F19-BACB-5E2465B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32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B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9B5323"/>
    <w:rPr>
      <w:b/>
      <w:bCs/>
    </w:rPr>
  </w:style>
  <w:style w:type="character" w:styleId="Zvraznenie">
    <w:name w:val="Emphasis"/>
    <w:uiPriority w:val="20"/>
    <w:qFormat/>
    <w:rsid w:val="009B5323"/>
    <w:rPr>
      <w:i/>
      <w:iCs/>
    </w:rPr>
  </w:style>
  <w:style w:type="character" w:customStyle="1" w:styleId="awspan">
    <w:name w:val="awspan"/>
    <w:basedOn w:val="Predvolenpsmoodseku"/>
    <w:rsid w:val="009B5323"/>
  </w:style>
  <w:style w:type="paragraph" w:styleId="Textbubliny">
    <w:name w:val="Balloon Text"/>
    <w:basedOn w:val="Normlny"/>
    <w:link w:val="TextbublinyChar"/>
    <w:uiPriority w:val="99"/>
    <w:semiHidden/>
    <w:unhideWhenUsed/>
    <w:rsid w:val="00F9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3FC"/>
    <w:rPr>
      <w:rFonts w:ascii="Segoe UI" w:eastAsiaTheme="minorEastAsia" w:hAnsi="Segoe UI" w:cs="Segoe UI"/>
      <w:noProof/>
      <w:sz w:val="18"/>
      <w:szCs w:val="18"/>
    </w:rPr>
  </w:style>
  <w:style w:type="paragraph" w:styleId="Bezriadkovania">
    <w:name w:val="No Spacing"/>
    <w:uiPriority w:val="1"/>
    <w:qFormat/>
    <w:rsid w:val="007B02EA"/>
    <w:pPr>
      <w:spacing w:after="0" w:line="240" w:lineRule="auto"/>
    </w:pPr>
    <w:rPr>
      <w:rFonts w:eastAsiaTheme="minorEastAsia"/>
      <w:noProof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0180"/>
    <w:pPr>
      <w:spacing w:after="0" w:line="240" w:lineRule="auto"/>
    </w:pPr>
    <w:rPr>
      <w:rFonts w:eastAsiaTheme="minorHAnsi"/>
      <w:noProof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1018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10180"/>
    <w:rPr>
      <w:vertAlign w:val="superscript"/>
    </w:rPr>
  </w:style>
  <w:style w:type="paragraph" w:styleId="Odsekzoznamu">
    <w:name w:val="List Paragraph"/>
    <w:basedOn w:val="Normlny"/>
    <w:uiPriority w:val="34"/>
    <w:qFormat/>
    <w:rsid w:val="004211C9"/>
    <w:pPr>
      <w:spacing w:after="0" w:line="240" w:lineRule="auto"/>
      <w:ind w:left="720"/>
      <w:contextualSpacing/>
    </w:pPr>
    <w:rPr>
      <w:rFonts w:ascii="Calibri" w:eastAsiaTheme="minorHAnsi" w:hAnsi="Calibri" w:cs="Calibri"/>
      <w:noProof w:val="0"/>
    </w:rPr>
  </w:style>
  <w:style w:type="paragraph" w:styleId="Hlavika">
    <w:name w:val="header"/>
    <w:basedOn w:val="Normlny"/>
    <w:link w:val="HlavikaChar"/>
    <w:uiPriority w:val="99"/>
    <w:unhideWhenUsed/>
    <w:rsid w:val="009E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0A1F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9E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0A1F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_sprava"/>
    <f:field ref="objsubject" par="" edit="true" text=""/>
    <f:field ref="objcreatedby" par="" text="Bugyiová, Veronika"/>
    <f:field ref="objcreatedat" par="" text="30.3.2021 15:41:18"/>
    <f:field ref="objchangedby" par="" text="Administrator, System"/>
    <f:field ref="objmodifiedat" par="" text="30.3.2021 15:41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Streďanská Mariana</dc:creator>
  <cp:keywords/>
  <dc:description/>
  <cp:lastModifiedBy>Skýpalová Petra</cp:lastModifiedBy>
  <cp:revision>3</cp:revision>
  <cp:lastPrinted>2021-02-25T11:56:00Z</cp:lastPrinted>
  <dcterms:created xsi:type="dcterms:W3CDTF">2021-04-14T14:53:00Z</dcterms:created>
  <dcterms:modified xsi:type="dcterms:W3CDTF">2021-04-14T15:07:00Z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center;"&gt;&lt;strong&gt;SPRÁVA O ÚČASTI VERJNOSTI NA TVORBE PRÁVNYCH PREDPISOV&lt;/strong&gt;&lt;/p&gt;&lt;p&gt;&amp;nbsp;&lt;/p&gt;&lt;p&gt;Keďže ide o&amp;nbsp;poslanecký návrh zákona, tento nebol predmetom predbežnej informácie.&lt;/p&gt;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mení a dopĺňa zákon č. 355/2007 Z. z. o ochrane, podpore a rozvoji verejného zdravia a o zmene a doplnení niektorých zákonov v znení neskorších predpisov (tlač 460)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skupiny poslancov Národnej rady Slovenskej republiky na vydanie zákona, ktorým sa mení a dopĺňa zákon č. 355/2007 Z. z. o ochrane, podpore a rozvoji verejného zdravia a o zmene a doplnení niektorých zákonov v znení neskorších predpisov (tlač 460)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S13064-2021-OL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LP/2021/147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center;"&gt;&lt;strong&gt;Predkladacia správa&lt;/strong&gt;&lt;/p&gt;&lt;p style="text-align: center;"&gt;&amp;nbsp;&lt;/p&gt;&lt;p&gt;Podľa § 70 ods. 2 zákona Národnej rady Slovenskej republiky č. 350/1996 Z. z. o&amp;nbsp;rokovacom poriadku Národnej rady Slovenskej republiky M</vt:lpwstr>
  </property>
  <property fmtid="{D5CDD505-2E9C-101B-9397-08002B2CF9AE}" pid="150" name="FSC#SKEDITIONSLOVLEX@103.510:vytvorenedna">
    <vt:lpwstr>30. 3. 2021</vt:lpwstr>
  </property>
  <property fmtid="{D5CDD505-2E9C-101B-9397-08002B2CF9AE}" pid="151" name="FSC#COOSYSTEM@1.1:Container">
    <vt:lpwstr>COO.2145.1000.3.4313298</vt:lpwstr>
  </property>
  <property fmtid="{D5CDD505-2E9C-101B-9397-08002B2CF9AE}" pid="152" name="FSC#FSCFOLIO@1.1001:docpropproject">
    <vt:lpwstr/>
  </property>
</Properties>
</file>