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0BEBD0EF" w14:textId="77777777" w:rsidTr="001519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01A2D92" w14:textId="50187A58" w:rsidR="009F2DFA" w:rsidRPr="00042C66" w:rsidRDefault="008A1252" w:rsidP="00151977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37532629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53CA425C" w14:textId="77777777" w:rsidTr="001519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0BB12B9" w14:textId="77777777" w:rsidR="009F2DFA" w:rsidRPr="00042C66" w:rsidRDefault="009F2DFA" w:rsidP="00590F35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ohľadom na veľkostnú kategóriu podnikov:</w:t>
            </w:r>
          </w:p>
        </w:tc>
      </w:tr>
      <w:tr w:rsidR="009F2DFA" w:rsidRPr="00F04CCD" w14:paraId="45E4834B" w14:textId="77777777" w:rsidTr="00151977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14:paraId="396F9BB4" w14:textId="77777777" w:rsidTr="00151977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160A6B4" w14:textId="309FDD43" w:rsidR="009F2DFA" w:rsidRPr="00F04CCD" w:rsidRDefault="00070FCA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E814B7" w14:textId="77777777" w:rsidR="009F2DFA" w:rsidRPr="00F04CCD" w:rsidRDefault="009F2DFA" w:rsidP="0015197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7029AE3E" w14:textId="77777777" w:rsidTr="00151977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9B51F76" w14:textId="2B477BD3" w:rsidR="009F2DFA" w:rsidRPr="00F04CCD" w:rsidRDefault="00D25514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484A7E5" w14:textId="77777777" w:rsidR="009F2DFA" w:rsidRPr="00F04CCD" w:rsidRDefault="009F2DFA" w:rsidP="0015197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27852DF6" w14:textId="77777777" w:rsidTr="00151977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0E6741" w14:textId="17212D90" w:rsidR="009F2DFA" w:rsidRPr="00F04CCD" w:rsidRDefault="00070FCA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59BDD49" w14:textId="77777777" w:rsidR="009F2DFA" w:rsidRPr="00F04CCD" w:rsidRDefault="009F2DFA" w:rsidP="00151977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3B40F42F" w14:textId="77777777" w:rsidR="009F2DFA" w:rsidRPr="00F04CCD" w:rsidRDefault="009F2DFA" w:rsidP="00151977">
            <w:pPr>
              <w:rPr>
                <w:b/>
              </w:rPr>
            </w:pPr>
          </w:p>
        </w:tc>
      </w:tr>
      <w:tr w:rsidR="009F2DFA" w:rsidRPr="00F04CCD" w14:paraId="181D38F7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6A8DB460" w14:textId="77777777" w:rsidR="009F2DFA" w:rsidRPr="00042C66" w:rsidRDefault="002B1108" w:rsidP="001519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594DC8CD" w14:textId="77777777" w:rsidR="009F2DFA" w:rsidRPr="00F04CCD" w:rsidRDefault="009F2DFA" w:rsidP="00590F35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8E03B8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341F2310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2990F3A8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2A293748" w14:textId="77777777" w:rsidTr="00151977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70A826F3" w14:textId="6913E306" w:rsidR="00DB2970" w:rsidRDefault="00DB2970" w:rsidP="00176D41">
            <w:pPr>
              <w:spacing w:after="120"/>
              <w:jc w:val="both"/>
            </w:pPr>
            <w:r>
              <w:t xml:space="preserve">Schválením nariadenia vlády Slovenskej republiky, ktorými sa vyhlasuje </w:t>
            </w:r>
            <w:r w:rsidR="00B10732">
              <w:t xml:space="preserve">prírodná </w:t>
            </w:r>
            <w:r w:rsidR="00E06329">
              <w:t xml:space="preserve">rezervácia </w:t>
            </w:r>
            <w:proofErr w:type="spellStart"/>
            <w:r w:rsidR="00E06329">
              <w:t>Záhradská</w:t>
            </w:r>
            <w:proofErr w:type="spellEnd"/>
            <w:r w:rsidR="00574A80">
              <w:t xml:space="preserve"> (ďalej len „návrh nariadenia vlády“)</w:t>
            </w:r>
            <w:r>
              <w:t>,</w:t>
            </w:r>
            <w:r w:rsidR="00C60215">
              <w:t xml:space="preserve"> budú ovplyvnení vlastníci a užívatelia pozemkov</w:t>
            </w:r>
            <w:r>
              <w:t xml:space="preserve"> v</w:t>
            </w:r>
            <w:r w:rsidR="00B10732">
              <w:t xml:space="preserve"> prírodnej </w:t>
            </w:r>
            <w:r w:rsidR="00E06329">
              <w:t>rezervácii (PR</w:t>
            </w:r>
            <w:r>
              <w:t xml:space="preserve">) </w:t>
            </w:r>
            <w:proofErr w:type="spellStart"/>
            <w:r w:rsidR="00E06329">
              <w:t>Záhradská</w:t>
            </w:r>
            <w:proofErr w:type="spellEnd"/>
            <w:r w:rsidR="00C60215">
              <w:t>, na ktorých dôjde k</w:t>
            </w:r>
            <w:r>
              <w:t xml:space="preserve"> obmedzeniu bežného obhospodarovania v zmysle § 61 zákona č. 543/2002 Z. z. o ochrane prírody a krajiny v znení neskorších predpisov (ďalej len „zákon“). </w:t>
            </w:r>
          </w:p>
          <w:p w14:paraId="27512749" w14:textId="13805C7D" w:rsidR="009D5C25" w:rsidRDefault="009D5C25" w:rsidP="00176D41">
            <w:pPr>
              <w:spacing w:after="120"/>
              <w:jc w:val="both"/>
            </w:pPr>
            <w:r w:rsidRPr="009D5C25">
              <w:t xml:space="preserve">V PR </w:t>
            </w:r>
            <w:proofErr w:type="spellStart"/>
            <w:r w:rsidRPr="009D5C25">
              <w:t>Záhradská</w:t>
            </w:r>
            <w:proofErr w:type="spellEnd"/>
            <w:r w:rsidRPr="009D5C25">
              <w:t xml:space="preserve"> je potrebné zabezpečiť realizáciu pravidelného obhospodarovania pozemkov (kosenie, odstránenie biomasy, odstránenie náletových drevín, pastva). Vzhľadom na podmáčaný terén, nemožnosť využitia ťažkej techniky a potrebu ručnej práce predstavujú tieto opatrenia svojou náročnosťou opatrenia nad rámec bežného obhospodarovania v zmysle § 61 zákona.</w:t>
            </w:r>
            <w:r w:rsidR="001D643E">
              <w:t xml:space="preserve"> Ide o zvýšené náklady subjektov, ktoré obhospodarujú dotknuté pozemky. </w:t>
            </w:r>
          </w:p>
          <w:p w14:paraId="62C4E1D8" w14:textId="27D5807A" w:rsidR="00197886" w:rsidRPr="00197886" w:rsidRDefault="00713064" w:rsidP="00197886">
            <w:pPr>
              <w:spacing w:after="12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Pozitívne vplyvy </w:t>
            </w:r>
            <w:r w:rsidR="009D5C25">
              <w:rPr>
                <w:bCs/>
              </w:rPr>
              <w:t>nastanú</w:t>
            </w:r>
            <w:r w:rsidRPr="00194453">
              <w:rPr>
                <w:bCs/>
              </w:rPr>
              <w:t xml:space="preserve"> </w:t>
            </w:r>
            <w:r>
              <w:rPr>
                <w:bCs/>
              </w:rPr>
              <w:t xml:space="preserve">v prípade, že </w:t>
            </w:r>
            <w:r w:rsidR="00071B6B">
              <w:rPr>
                <w:bCs/>
              </w:rPr>
              <w:t xml:space="preserve">sa </w:t>
            </w:r>
            <w:r w:rsidR="00176D41">
              <w:rPr>
                <w:bCs/>
              </w:rPr>
              <w:t>vlastníci a užívatelia pozemkov, na ktorých dochádza k obmedzeniu bežného obhospodarovania</w:t>
            </w:r>
            <w:r w:rsidR="00071B6B">
              <w:rPr>
                <w:bCs/>
              </w:rPr>
              <w:t xml:space="preserve"> </w:t>
            </w:r>
            <w:r>
              <w:rPr>
                <w:bCs/>
              </w:rPr>
              <w:t xml:space="preserve">budú uchádzať o náhradu a táto im bude priznaná (je </w:t>
            </w:r>
            <w:proofErr w:type="spellStart"/>
            <w:r>
              <w:rPr>
                <w:bCs/>
              </w:rPr>
              <w:t>nárokovateľná</w:t>
            </w:r>
            <w:proofErr w:type="spellEnd"/>
            <w:r>
              <w:rPr>
                <w:bCs/>
              </w:rPr>
              <w:t>). T. j. v plnej miere bude nahradené vzniknuté obmedzenie</w:t>
            </w:r>
            <w:r w:rsidR="0022103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9D5C25" w:rsidRPr="009D5C25">
              <w:rPr>
                <w:bCs/>
              </w:rPr>
              <w:t xml:space="preserve">V PR </w:t>
            </w:r>
            <w:proofErr w:type="spellStart"/>
            <w:r w:rsidR="009D5C25" w:rsidRPr="009D5C25">
              <w:rPr>
                <w:bCs/>
              </w:rPr>
              <w:t>Záhradská</w:t>
            </w:r>
            <w:proofErr w:type="spellEnd"/>
            <w:r w:rsidR="009D5C25" w:rsidRPr="009D5C25">
              <w:rPr>
                <w:bCs/>
              </w:rPr>
              <w:t xml:space="preserve"> sa v súčasnosti nachádzajú dva pôdne bloky registrované v Systéme identifikácie poľnohospodárskych pozemkov (LPIS), na ktorých zároveň evidujeme výskyt biotopov trvalých trávnych porastov, ktoré sú predmetom podpory v schémach podpory z  Európskeho poľnohospodárskeho fondu pre rozvoj vidieka (EPFRV). Zoznam pozemkov PR </w:t>
            </w:r>
            <w:proofErr w:type="spellStart"/>
            <w:r w:rsidR="009D5C25" w:rsidRPr="009D5C25">
              <w:rPr>
                <w:bCs/>
              </w:rPr>
              <w:t>Záhradská</w:t>
            </w:r>
            <w:proofErr w:type="spellEnd"/>
            <w:r w:rsidR="009D5C25" w:rsidRPr="009D5C25">
              <w:rPr>
                <w:bCs/>
              </w:rPr>
              <w:t xml:space="preserve">, ktoré môžu byť predmetom podpory z EPFRV je uvedený v projekte ochrany PR </w:t>
            </w:r>
            <w:proofErr w:type="spellStart"/>
            <w:r w:rsidR="009D5C25" w:rsidRPr="009D5C25">
              <w:rPr>
                <w:bCs/>
              </w:rPr>
              <w:t>Záhradská</w:t>
            </w:r>
            <w:proofErr w:type="spellEnd"/>
            <w:r w:rsidR="009D5C25" w:rsidRPr="009D5C25">
              <w:rPr>
                <w:bCs/>
              </w:rPr>
              <w:t>. V súčasnosti ide o pozemky v</w:t>
            </w:r>
            <w:r w:rsidR="009D5C25">
              <w:rPr>
                <w:bCs/>
              </w:rPr>
              <w:t> ekologicko-funkčnom priestore (EFP)</w:t>
            </w:r>
            <w:r w:rsidR="009D5C25" w:rsidRPr="009D5C25">
              <w:rPr>
                <w:bCs/>
              </w:rPr>
              <w:t xml:space="preserve">1 a EFP2. </w:t>
            </w:r>
            <w:r w:rsidR="00197886" w:rsidRPr="00197886">
              <w:rPr>
                <w:bCs/>
              </w:rPr>
              <w:t xml:space="preserve">Možnosti podpory pre jednotlivé LPIS bloky sa vzťahujú na konkrétne oznámenia Poľnohospodárskej platobnej agentúry (PPA), na stránke </w:t>
            </w:r>
            <w:hyperlink r:id="rId12" w:history="1">
              <w:r w:rsidR="00197886" w:rsidRPr="00197886">
                <w:rPr>
                  <w:rStyle w:val="Hypertextovprepojenie"/>
                  <w:bCs/>
                </w:rPr>
                <w:t>www.apa.sk</w:t>
              </w:r>
            </w:hyperlink>
            <w:r w:rsidR="00197886" w:rsidRPr="00197886">
              <w:rPr>
                <w:bCs/>
              </w:rPr>
              <w:t>.</w:t>
            </w:r>
          </w:p>
          <w:p w14:paraId="04C418CF" w14:textId="2CB12192" w:rsidR="00AD67B3" w:rsidRPr="00197886" w:rsidRDefault="00713064" w:rsidP="00557144">
            <w:pPr>
              <w:spacing w:after="120"/>
              <w:jc w:val="both"/>
              <w:rPr>
                <w:bCs/>
              </w:rPr>
            </w:pPr>
            <w:r w:rsidRPr="00377378">
              <w:rPr>
                <w:b/>
                <w:bCs/>
              </w:rPr>
              <w:t>Negatívne vplyvy</w:t>
            </w:r>
            <w:r w:rsidRPr="00FD4006">
              <w:t xml:space="preserve"> môžu nastať v prípade, </w:t>
            </w:r>
            <w:r w:rsidR="00221038">
              <w:t xml:space="preserve">ak vlastníci a užívatelia pozemkov </w:t>
            </w:r>
            <w:r w:rsidR="0023795A">
              <w:t xml:space="preserve">nepožiadajú o náhradu za obmedzenie bežného obhospodarovania v zmysle </w:t>
            </w:r>
            <w:r w:rsidR="0009217C">
              <w:t xml:space="preserve">§ 61 zákona alebo ak nevyužijú, </w:t>
            </w:r>
            <w:r w:rsidR="0023795A">
              <w:t>resp. ak nebudú môcť vyu</w:t>
            </w:r>
            <w:r w:rsidRPr="00FD4006">
              <w:t>ž</w:t>
            </w:r>
            <w:r w:rsidR="0009217C">
              <w:t xml:space="preserve">iť, </w:t>
            </w:r>
            <w:r w:rsidR="0023795A">
              <w:t xml:space="preserve">možnosť podpory z EPFRV. V takomto prípade dôjde len </w:t>
            </w:r>
            <w:r w:rsidR="00557144">
              <w:t xml:space="preserve">k obmedzeniu </w:t>
            </w:r>
            <w:r w:rsidR="0023795A">
              <w:t xml:space="preserve">ich </w:t>
            </w:r>
            <w:r w:rsidRPr="00FD4006">
              <w:t>podnikateľských aktivít bez následnej kompenzácie</w:t>
            </w:r>
            <w:r w:rsidR="0023795A">
              <w:t>.</w:t>
            </w:r>
            <w:r>
              <w:t xml:space="preserve"> </w:t>
            </w:r>
          </w:p>
          <w:p w14:paraId="026CFCC1" w14:textId="23DAAA0D" w:rsidR="008A5771" w:rsidRPr="00557144" w:rsidRDefault="009D5C25" w:rsidP="00574A80">
            <w:pPr>
              <w:spacing w:after="120"/>
              <w:jc w:val="both"/>
            </w:pPr>
            <w:r w:rsidRPr="009D5C25">
              <w:t>Potrebný manažment nad rámec bežného obhospodarovania sa navrhuje zabezpečiť formou zmluvnej starostlivosti v zmysle § 61d zákona. Celková predpokladaná výška finančných prostriedkov potrebných na zabezpečenie náhrady za obmedzenie  bežného obhospodarovania riešené formou zmluvnej starostlivosti</w:t>
            </w:r>
            <w:r>
              <w:t xml:space="preserve"> predstavuje sumu 660 EUR ročne</w:t>
            </w:r>
            <w:r w:rsidRPr="009D5C25">
              <w:t xml:space="preserve">. </w:t>
            </w:r>
          </w:p>
        </w:tc>
      </w:tr>
      <w:tr w:rsidR="009F2DFA" w:rsidRPr="00F04CCD" w14:paraId="00E7DF62" w14:textId="77777777" w:rsidTr="00151977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3A7D5C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426FAD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2BF52495" w14:textId="77777777" w:rsidTr="00151977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5A71657A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4B4EDFF9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2BF332EB" w14:textId="77777777" w:rsidR="009F2DFA" w:rsidRPr="000D2622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1616273E" w14:textId="77777777" w:rsidTr="00F636EE">
        <w:trPr>
          <w:trHeight w:val="699"/>
        </w:trPr>
        <w:tc>
          <w:tcPr>
            <w:tcW w:w="9212" w:type="dxa"/>
            <w:tcBorders>
              <w:bottom w:val="single" w:sz="4" w:space="0" w:color="auto"/>
            </w:tcBorders>
          </w:tcPr>
          <w:p w14:paraId="5D796B4C" w14:textId="530EE129" w:rsidR="008F0266" w:rsidRPr="008F0266" w:rsidRDefault="00574A80" w:rsidP="00574A80">
            <w:pPr>
              <w:jc w:val="both"/>
            </w:pPr>
            <w:r w:rsidRPr="00993407">
              <w:t>Záme</w:t>
            </w:r>
            <w:r>
              <w:t>r</w:t>
            </w:r>
            <w:r w:rsidRPr="00993407">
              <w:t xml:space="preserve"> vyhlásiť </w:t>
            </w:r>
            <w:r>
              <w:t xml:space="preserve">prírodnú rezerváciu </w:t>
            </w:r>
            <w:proofErr w:type="spellStart"/>
            <w:r>
              <w:t>Záhradská</w:t>
            </w:r>
            <w:proofErr w:type="spellEnd"/>
            <w:r w:rsidRPr="00993407">
              <w:t xml:space="preserve"> bol oznámený Okresným úradom </w:t>
            </w:r>
            <w:r>
              <w:t>Trenčín</w:t>
            </w:r>
            <w:r w:rsidRPr="00993407">
              <w:t xml:space="preserve"> dotknutým</w:t>
            </w:r>
            <w:r>
              <w:t xml:space="preserve"> subjektom v zmysle § 50 zákona. Obec Lubina o zámere informovala verejnosť vo svojom územnom obvode</w:t>
            </w:r>
            <w:r w:rsidRPr="00993407">
              <w:t xml:space="preserve">. </w:t>
            </w:r>
            <w:r>
              <w:t xml:space="preserve">K zámeru vyhlásiť PR </w:t>
            </w:r>
            <w:proofErr w:type="spellStart"/>
            <w:r>
              <w:t>Záhradská</w:t>
            </w:r>
            <w:proofErr w:type="spellEnd"/>
            <w:r>
              <w:t xml:space="preserve"> podal vlastník námietky k pozemkom, ktoré sú v súčasnosti užívané ako záhrady s drobnými stavbami, sú oplotené a verejnosti neprístupné. Tieto pripomienky boli akceptované a predmetné parcely boli vyňaté. Prerokovanie pripomienok a terénna obhliadka sa konali 05.11.2018. </w:t>
            </w:r>
            <w:r w:rsidRPr="00993407">
              <w:t>Verejnosť bola o príprave návrhu nariadenia vlády informovaná aj prostredníctvom predbežnej informácie zverejnenej v informačnom systéme vere</w:t>
            </w:r>
            <w:r>
              <w:t>jnej správy Slov-Lex (PI/2020/254</w:t>
            </w:r>
            <w:r w:rsidRPr="00512248">
              <w:t>).</w:t>
            </w:r>
            <w:r>
              <w:t xml:space="preserve"> V stanovenej lehote neboli zo strany verejnosti doručené žiadne pripomienky. </w:t>
            </w:r>
          </w:p>
        </w:tc>
      </w:tr>
      <w:tr w:rsidR="009F2DFA" w:rsidRPr="00F04CCD" w14:paraId="009A5A6D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6AEC26D3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A854D1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DAED75A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3C8BBF1F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582FD297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488F6568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77887221" w14:textId="6BC14054" w:rsidR="0096199E" w:rsidRPr="00214472" w:rsidRDefault="001D643E" w:rsidP="00214472">
            <w:pPr>
              <w:jc w:val="both"/>
              <w:rPr>
                <w:b/>
                <w:iCs/>
              </w:rPr>
            </w:pPr>
            <w:r>
              <w:rPr>
                <w:bCs/>
                <w:iCs/>
              </w:rPr>
              <w:t xml:space="preserve">Zvýšené náklady subjektov obhospodarujúce pozemky na časti PR </w:t>
            </w:r>
            <w:proofErr w:type="spellStart"/>
            <w:r>
              <w:rPr>
                <w:bCs/>
                <w:iCs/>
              </w:rPr>
              <w:t>Záhradská</w:t>
            </w:r>
            <w:proofErr w:type="spellEnd"/>
            <w:r>
              <w:rPr>
                <w:bCs/>
                <w:iCs/>
              </w:rPr>
              <w:t xml:space="preserve"> sú uvedené vyššie v časti 3.1, nejde však o zvýšené poplatky, odvody, dane, či clá. </w:t>
            </w:r>
            <w:r w:rsidR="00FE4184" w:rsidRPr="00B450EC">
              <w:rPr>
                <w:bCs/>
                <w:iCs/>
              </w:rPr>
              <w:t>Na</w:t>
            </w:r>
            <w:r w:rsidR="00FE4184">
              <w:rPr>
                <w:bCs/>
                <w:iCs/>
              </w:rPr>
              <w:t xml:space="preserve"> zabezpečenie priaznivého stavu predmetov ochrany </w:t>
            </w:r>
            <w:r w:rsidR="00FE4184">
              <w:rPr>
                <w:bCs/>
                <w:iCs/>
              </w:rPr>
              <w:lastRenderedPageBreak/>
              <w:t xml:space="preserve">PR </w:t>
            </w:r>
            <w:proofErr w:type="spellStart"/>
            <w:r w:rsidR="00FE4184">
              <w:rPr>
                <w:bCs/>
                <w:iCs/>
              </w:rPr>
              <w:t>Záhradská</w:t>
            </w:r>
            <w:proofErr w:type="spellEnd"/>
            <w:r w:rsidR="00FE4184">
              <w:rPr>
                <w:bCs/>
                <w:iCs/>
              </w:rPr>
              <w:t xml:space="preserve"> je potrebná realizácia manažmentu, ktorý svoju náročnosťou presahuje</w:t>
            </w:r>
            <w:r w:rsidR="00BC2C33">
              <w:rPr>
                <w:bCs/>
                <w:iCs/>
              </w:rPr>
              <w:t xml:space="preserve"> nad</w:t>
            </w:r>
            <w:r w:rsidR="00FE4184">
              <w:rPr>
                <w:bCs/>
                <w:iCs/>
              </w:rPr>
              <w:t xml:space="preserve"> rámec bežného obhospodarovania podľa § 61 zákona. </w:t>
            </w:r>
            <w:r w:rsidR="00BC2C33">
              <w:rPr>
                <w:bCs/>
                <w:iCs/>
              </w:rPr>
              <w:t>Zvýšené finančné náklady vlastníkov/užívateľov pozemkov budú, v prípade ich záujmu, riešené formou zmluvnej starostlivosti.</w:t>
            </w:r>
            <w:r w:rsidR="00BC2C33" w:rsidRPr="009D5C25">
              <w:t xml:space="preserve"> Celková predpokladaná výška finančných prostriedkov potrebných na zabezpečenie zmluvnej starostlivosti</w:t>
            </w:r>
            <w:r w:rsidR="00BC2C33">
              <w:t xml:space="preserve"> predstavuje sumu 660 EUR ročne pre územie PR </w:t>
            </w:r>
            <w:proofErr w:type="spellStart"/>
            <w:r w:rsidR="00BC2C33">
              <w:t>Záhradská</w:t>
            </w:r>
            <w:proofErr w:type="spellEnd"/>
            <w:r w:rsidR="00BC2C33">
              <w:t xml:space="preserve">. </w:t>
            </w:r>
            <w:r w:rsidR="006A050F">
              <w:t>Nateraz nie je možné určiť</w:t>
            </w:r>
            <w:r w:rsidR="00E6136D">
              <w:t>,</w:t>
            </w:r>
            <w:r w:rsidR="006A050F">
              <w:t xml:space="preserve"> aké budú priame finančné náklady pre jeden subjekt. </w:t>
            </w:r>
          </w:p>
        </w:tc>
      </w:tr>
      <w:tr w:rsidR="009F2DFA" w:rsidRPr="00F04CCD" w14:paraId="7B9AAD47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403225B7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5EDDBCA3" w14:textId="77777777"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427A1E99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77F6647E" w14:textId="77777777" w:rsidR="009F2DFA" w:rsidRPr="00F04CCD" w:rsidRDefault="0096199E" w:rsidP="00590F35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9F2DFA" w:rsidRPr="00F04CCD" w14:paraId="3B0E441C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61F4B1EA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035A5227" w14:textId="77777777" w:rsidR="009F2DFA" w:rsidRPr="00F04CCD" w:rsidRDefault="009F2DFA" w:rsidP="001C3158">
            <w:pPr>
              <w:rPr>
                <w:i/>
              </w:rPr>
            </w:pPr>
            <w:r w:rsidRPr="00F04CCD">
              <w:rPr>
                <w:i/>
              </w:rPr>
              <w:t>Dochádza k</w:t>
            </w:r>
            <w:r w:rsidR="00FF17F6">
              <w:rPr>
                <w:i/>
              </w:rPr>
              <w:t xml:space="preserve"> </w:t>
            </w:r>
            <w:r w:rsidRPr="00F04CCD">
              <w:rPr>
                <w:i/>
              </w:rPr>
              <w:t>zavedeniu nových informačných povinností alebo odstráneniu, príp. úprave existujúcich informačných povinností? (napr. zmena požadovaných dát, zmena frekvencie reportovania, zmena formy predkladania a</w:t>
            </w:r>
            <w:r w:rsidR="001C3158">
              <w:rPr>
                <w:i/>
              </w:rPr>
              <w:t xml:space="preserve"> </w:t>
            </w:r>
            <w:r w:rsidRPr="00F04CCD">
              <w:rPr>
                <w:i/>
              </w:rPr>
              <w:t>pod.) Ak áno, popíšte a vyčíslite administratívne náklady. Uveďte tiež spôsob ich výpočtu.</w:t>
            </w:r>
          </w:p>
        </w:tc>
      </w:tr>
      <w:tr w:rsidR="009F2DFA" w:rsidRPr="00F04CCD" w14:paraId="1C0ED20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2D57CAE1" w14:textId="4368E88F" w:rsidR="0096199E" w:rsidRPr="00214472" w:rsidRDefault="00B450EC" w:rsidP="0021447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Pri uplatnení zmluvnej starostlivosti predpokladáme jednorazové náklady do 10 EUR pre každý subjekt, ktorý sa bude uchádzať o náhradu za obmedzenie bežného obhospodarovania formou zmluvnej starostlivosti. Administratívne náklady predstavujú len náklady na kancelárske potreby a poštovné, nakoľko </w:t>
            </w:r>
            <w:r w:rsidR="00330A0D">
              <w:rPr>
                <w:bCs/>
                <w:iCs/>
              </w:rPr>
              <w:t>tieto zmluvy sa nezapisujú do katastra nehnuteľností</w:t>
            </w:r>
            <w:r w:rsidR="00E6136D">
              <w:rPr>
                <w:bCs/>
                <w:iCs/>
              </w:rPr>
              <w:t>,</w:t>
            </w:r>
            <w:r w:rsidR="00330A0D">
              <w:rPr>
                <w:bCs/>
                <w:iCs/>
              </w:rPr>
              <w:t xml:space="preserve"> ale zverejňujú sa v Centrálnom registri zmlúv. </w:t>
            </w:r>
            <w:r w:rsidR="006A050F">
              <w:rPr>
                <w:bCs/>
                <w:iCs/>
              </w:rPr>
              <w:t>Nateraz nie je možné určiť</w:t>
            </w:r>
            <w:r w:rsidR="00E6136D">
              <w:rPr>
                <w:bCs/>
                <w:iCs/>
              </w:rPr>
              <w:t>,</w:t>
            </w:r>
            <w:r w:rsidR="006A050F">
              <w:rPr>
                <w:bCs/>
                <w:iCs/>
              </w:rPr>
              <w:t xml:space="preserve"> koľko subjektov sa bude uchádzať o náhradu za obmedzenie bežného obhospodarovania. </w:t>
            </w:r>
          </w:p>
        </w:tc>
      </w:tr>
      <w:tr w:rsidR="009F2DFA" w:rsidRPr="00F04CCD" w14:paraId="5666821C" w14:textId="77777777" w:rsidTr="008F0266">
        <w:trPr>
          <w:trHeight w:val="163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F9B805F" w14:textId="77777777" w:rsidR="009F2DFA" w:rsidRPr="00F04CCD" w:rsidRDefault="002B1108" w:rsidP="00151977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354"/>
              <w:gridCol w:w="3533"/>
            </w:tblGrid>
            <w:tr w:rsidR="009F2DFA" w:rsidRPr="00F04CCD" w14:paraId="2FFD78D4" w14:textId="77777777" w:rsidTr="00590F35">
              <w:tc>
                <w:tcPr>
                  <w:tcW w:w="2993" w:type="dxa"/>
                </w:tcPr>
                <w:p w14:paraId="0B98C110" w14:textId="77777777" w:rsidR="009F2DFA" w:rsidRPr="00F04CCD" w:rsidRDefault="009F2DFA" w:rsidP="00151977">
                  <w:pPr>
                    <w:rPr>
                      <w:i/>
                    </w:rPr>
                  </w:pPr>
                </w:p>
              </w:tc>
              <w:tc>
                <w:tcPr>
                  <w:tcW w:w="2389" w:type="dxa"/>
                </w:tcPr>
                <w:p w14:paraId="7E3342B9" w14:textId="77777777" w:rsidR="009F2DFA" w:rsidRPr="00F04CCD" w:rsidRDefault="009F2DFA" w:rsidP="0015197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3599" w:type="dxa"/>
                </w:tcPr>
                <w:p w14:paraId="0F93B117" w14:textId="77777777" w:rsidR="009F2DFA" w:rsidRPr="00F04CCD" w:rsidRDefault="009F2DFA" w:rsidP="0015197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16D60F1D" w14:textId="77777777" w:rsidTr="00590F35">
              <w:tc>
                <w:tcPr>
                  <w:tcW w:w="2993" w:type="dxa"/>
                </w:tcPr>
                <w:p w14:paraId="2A111CB5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389" w:type="dxa"/>
                </w:tcPr>
                <w:p w14:paraId="6D870E5D" w14:textId="2AAE8932" w:rsidR="009F2DFA" w:rsidRPr="00F04CCD" w:rsidRDefault="00E75BA4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3599" w:type="dxa"/>
                </w:tcPr>
                <w:p w14:paraId="713EF1FB" w14:textId="04D21570" w:rsidR="009F2DFA" w:rsidRPr="00F04CCD" w:rsidRDefault="00E75BA4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660</w:t>
                  </w:r>
                </w:p>
              </w:tc>
            </w:tr>
            <w:tr w:rsidR="009F2DFA" w:rsidRPr="00F04CCD" w14:paraId="4CB4D469" w14:textId="77777777" w:rsidTr="00590F35">
              <w:tc>
                <w:tcPr>
                  <w:tcW w:w="2993" w:type="dxa"/>
                </w:tcPr>
                <w:p w14:paraId="2D0E98CA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389" w:type="dxa"/>
                </w:tcPr>
                <w:p w14:paraId="24083B47" w14:textId="0A8D2E1A" w:rsidR="009F2DFA" w:rsidRPr="00F04CCD" w:rsidRDefault="00E75BA4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3599" w:type="dxa"/>
                </w:tcPr>
                <w:p w14:paraId="6AD6C79D" w14:textId="652E48B3" w:rsidR="009F2DFA" w:rsidRPr="00F04CCD" w:rsidRDefault="00E75BA4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5EE2E333" w14:textId="77777777" w:rsidTr="00590F35">
              <w:tc>
                <w:tcPr>
                  <w:tcW w:w="2993" w:type="dxa"/>
                </w:tcPr>
                <w:p w14:paraId="50459C15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389" w:type="dxa"/>
                </w:tcPr>
                <w:p w14:paraId="1981A69A" w14:textId="3BA7F024" w:rsidR="009F2DFA" w:rsidRPr="00F04CCD" w:rsidRDefault="00E75BA4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10</w:t>
                  </w:r>
                </w:p>
              </w:tc>
              <w:tc>
                <w:tcPr>
                  <w:tcW w:w="3599" w:type="dxa"/>
                </w:tcPr>
                <w:p w14:paraId="1DE114AD" w14:textId="34B46B3F" w:rsidR="009F2DFA" w:rsidRPr="00F04CCD" w:rsidRDefault="00E75BA4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14:paraId="79E17CEC" w14:textId="77777777" w:rsidTr="00590F35">
              <w:tc>
                <w:tcPr>
                  <w:tcW w:w="2993" w:type="dxa"/>
                </w:tcPr>
                <w:p w14:paraId="4132F7C4" w14:textId="77777777" w:rsidR="009F2DFA" w:rsidRPr="00F04CCD" w:rsidRDefault="009F2DFA" w:rsidP="00151977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389" w:type="dxa"/>
                </w:tcPr>
                <w:p w14:paraId="5B57E4AE" w14:textId="08832562" w:rsidR="009F2DFA" w:rsidRPr="00F04CCD" w:rsidRDefault="00E75BA4" w:rsidP="00436CB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</w:t>
                  </w:r>
                </w:p>
              </w:tc>
              <w:tc>
                <w:tcPr>
                  <w:tcW w:w="3599" w:type="dxa"/>
                </w:tcPr>
                <w:p w14:paraId="55ECD62E" w14:textId="2A3DDDBF" w:rsidR="009F2DFA" w:rsidRPr="00F04CCD" w:rsidRDefault="00E75BA4" w:rsidP="00436CB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660</w:t>
                  </w:r>
                </w:p>
              </w:tc>
            </w:tr>
          </w:tbl>
          <w:p w14:paraId="5A825E3F" w14:textId="77777777" w:rsidR="005D6E3A" w:rsidRPr="00F04CCD" w:rsidRDefault="005D6E3A" w:rsidP="00151977">
            <w:pPr>
              <w:rPr>
                <w:i/>
              </w:rPr>
            </w:pPr>
          </w:p>
        </w:tc>
      </w:tr>
      <w:tr w:rsidR="009F2DFA" w:rsidRPr="00F04CCD" w14:paraId="7A12578B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359A433D" w14:textId="77777777" w:rsidR="009F2DFA" w:rsidRPr="00F04CCD" w:rsidRDefault="002B1108" w:rsidP="008F0266"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A5588D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2CB56E47" w14:textId="46631B8A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  <w:r w:rsidR="00F34B1B">
              <w:rPr>
                <w:i/>
              </w:rPr>
              <w:t xml:space="preserve"> </w:t>
            </w:r>
          </w:p>
          <w:p w14:paraId="47545A28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0A138B7F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2ADB4E3F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7DC11DCA" w14:textId="77777777" w:rsidTr="00C17403">
        <w:trPr>
          <w:trHeight w:val="38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E6EDA7E" w14:textId="77777777" w:rsidR="008F0266" w:rsidRPr="00413E39" w:rsidRDefault="005B3384" w:rsidP="00DD7397">
            <w:pPr>
              <w:jc w:val="both"/>
            </w:pPr>
            <w:r w:rsidRPr="00AF76D8">
              <w:rPr>
                <w:b/>
                <w:i/>
              </w:rPr>
              <w:t>X</w:t>
            </w:r>
          </w:p>
        </w:tc>
      </w:tr>
      <w:tr w:rsidR="009F2DFA" w:rsidRPr="00F04CCD" w14:paraId="55C0BDA8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74A0BEB3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6613913" w14:textId="77777777" w:rsidTr="00151977">
        <w:tc>
          <w:tcPr>
            <w:tcW w:w="9212" w:type="dxa"/>
          </w:tcPr>
          <w:p w14:paraId="5E38ADC5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3F6F534E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2CDBB107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03231D48" w14:textId="77777777" w:rsidR="009F2DFA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75270E6C" w14:textId="77777777" w:rsidR="00837639" w:rsidRPr="00F04CCD" w:rsidRDefault="00837639" w:rsidP="00151977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071ADA19" w14:textId="77777777" w:rsidTr="001C3158">
        <w:trPr>
          <w:trHeight w:val="200"/>
        </w:trPr>
        <w:tc>
          <w:tcPr>
            <w:tcW w:w="9212" w:type="dxa"/>
          </w:tcPr>
          <w:p w14:paraId="0AD777C8" w14:textId="77777777" w:rsidR="009F2DFA" w:rsidRPr="00AF76D8" w:rsidRDefault="00AF76D8" w:rsidP="00151977">
            <w:pPr>
              <w:rPr>
                <w:b/>
                <w:i/>
              </w:rPr>
            </w:pPr>
            <w:r w:rsidRPr="00AF76D8">
              <w:rPr>
                <w:b/>
                <w:i/>
              </w:rPr>
              <w:t>X</w:t>
            </w:r>
          </w:p>
        </w:tc>
      </w:tr>
    </w:tbl>
    <w:p w14:paraId="2C2DAB87" w14:textId="77777777" w:rsidR="00CB3623" w:rsidRPr="00413E39" w:rsidRDefault="00CB3623">
      <w:pPr>
        <w:rPr>
          <w:b/>
          <w:sz w:val="24"/>
        </w:rPr>
      </w:pPr>
    </w:p>
    <w:sectPr w:rsidR="00CB3623" w:rsidRPr="00413E39" w:rsidSect="008F0266">
      <w:headerReference w:type="default" r:id="rId13"/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FE40" w14:textId="77777777" w:rsidR="00D8590D" w:rsidRDefault="00D8590D" w:rsidP="009F2DFA">
      <w:r>
        <w:separator/>
      </w:r>
    </w:p>
  </w:endnote>
  <w:endnote w:type="continuationSeparator" w:id="0">
    <w:p w14:paraId="3731948E" w14:textId="77777777" w:rsidR="00D8590D" w:rsidRDefault="00D8590D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381234"/>
      <w:docPartObj>
        <w:docPartGallery w:val="Page Numbers (Bottom of Page)"/>
        <w:docPartUnique/>
      </w:docPartObj>
    </w:sdtPr>
    <w:sdtEndPr/>
    <w:sdtContent>
      <w:p w14:paraId="7AF9E6B8" w14:textId="25CA67BD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43E">
          <w:rPr>
            <w:noProof/>
          </w:rPr>
          <w:t>2</w:t>
        </w:r>
        <w:r>
          <w:fldChar w:fldCharType="end"/>
        </w:r>
      </w:p>
    </w:sdtContent>
  </w:sdt>
  <w:p w14:paraId="601523E4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4F02C" w14:textId="77777777" w:rsidR="00D8590D" w:rsidRDefault="00D8590D" w:rsidP="009F2DFA">
      <w:r>
        <w:separator/>
      </w:r>
    </w:p>
  </w:footnote>
  <w:footnote w:type="continuationSeparator" w:id="0">
    <w:p w14:paraId="45AA7F60" w14:textId="77777777" w:rsidR="00D8590D" w:rsidRDefault="00D8590D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CBB1" w14:textId="77777777" w:rsidR="00413E39" w:rsidRPr="000A15AE" w:rsidRDefault="00413E39" w:rsidP="00413E3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3</w:t>
    </w:r>
  </w:p>
  <w:p w14:paraId="2F9329B5" w14:textId="77777777"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13"/>
    <w:rsid w:val="00047430"/>
    <w:rsid w:val="00060C5B"/>
    <w:rsid w:val="00060CAD"/>
    <w:rsid w:val="00070FCA"/>
    <w:rsid w:val="00071B6B"/>
    <w:rsid w:val="0009217C"/>
    <w:rsid w:val="000939C0"/>
    <w:rsid w:val="000F6641"/>
    <w:rsid w:val="00125F4E"/>
    <w:rsid w:val="00151977"/>
    <w:rsid w:val="00154881"/>
    <w:rsid w:val="00172B80"/>
    <w:rsid w:val="00175076"/>
    <w:rsid w:val="00176D41"/>
    <w:rsid w:val="00184E65"/>
    <w:rsid w:val="00197886"/>
    <w:rsid w:val="001B43B5"/>
    <w:rsid w:val="001B7F40"/>
    <w:rsid w:val="001C3158"/>
    <w:rsid w:val="001C43CF"/>
    <w:rsid w:val="001D643E"/>
    <w:rsid w:val="002135E0"/>
    <w:rsid w:val="00214472"/>
    <w:rsid w:val="00221038"/>
    <w:rsid w:val="0023795A"/>
    <w:rsid w:val="0024785C"/>
    <w:rsid w:val="002513D6"/>
    <w:rsid w:val="00276D2C"/>
    <w:rsid w:val="002B1108"/>
    <w:rsid w:val="002B327E"/>
    <w:rsid w:val="002E62CC"/>
    <w:rsid w:val="00304A49"/>
    <w:rsid w:val="00311EAD"/>
    <w:rsid w:val="003136F4"/>
    <w:rsid w:val="0032268C"/>
    <w:rsid w:val="00330A0D"/>
    <w:rsid w:val="003479FC"/>
    <w:rsid w:val="0037559F"/>
    <w:rsid w:val="003762D5"/>
    <w:rsid w:val="0039375F"/>
    <w:rsid w:val="003B2360"/>
    <w:rsid w:val="003B60F8"/>
    <w:rsid w:val="003C606F"/>
    <w:rsid w:val="003D7F05"/>
    <w:rsid w:val="003E269E"/>
    <w:rsid w:val="003F364B"/>
    <w:rsid w:val="00413E39"/>
    <w:rsid w:val="0042551B"/>
    <w:rsid w:val="00426FAD"/>
    <w:rsid w:val="00436CBC"/>
    <w:rsid w:val="00493C8C"/>
    <w:rsid w:val="004A4E64"/>
    <w:rsid w:val="004A6A9F"/>
    <w:rsid w:val="005026A2"/>
    <w:rsid w:val="0052297F"/>
    <w:rsid w:val="00524620"/>
    <w:rsid w:val="00557144"/>
    <w:rsid w:val="00574A80"/>
    <w:rsid w:val="00582967"/>
    <w:rsid w:val="00590F35"/>
    <w:rsid w:val="00597DCC"/>
    <w:rsid w:val="005B3384"/>
    <w:rsid w:val="005C34E4"/>
    <w:rsid w:val="005C6BE7"/>
    <w:rsid w:val="005D6E3A"/>
    <w:rsid w:val="005E3A41"/>
    <w:rsid w:val="006379AE"/>
    <w:rsid w:val="006507D9"/>
    <w:rsid w:val="00663151"/>
    <w:rsid w:val="00676C83"/>
    <w:rsid w:val="00683BED"/>
    <w:rsid w:val="006871A8"/>
    <w:rsid w:val="006934E1"/>
    <w:rsid w:val="0069496F"/>
    <w:rsid w:val="006A050F"/>
    <w:rsid w:val="006A0749"/>
    <w:rsid w:val="006A1934"/>
    <w:rsid w:val="006C1393"/>
    <w:rsid w:val="006F08CE"/>
    <w:rsid w:val="00713064"/>
    <w:rsid w:val="00774C67"/>
    <w:rsid w:val="00780BA6"/>
    <w:rsid w:val="007867D6"/>
    <w:rsid w:val="007D3B0F"/>
    <w:rsid w:val="0082786B"/>
    <w:rsid w:val="00837639"/>
    <w:rsid w:val="00852BF2"/>
    <w:rsid w:val="00871ABD"/>
    <w:rsid w:val="00892475"/>
    <w:rsid w:val="008967CE"/>
    <w:rsid w:val="008A1252"/>
    <w:rsid w:val="008A5771"/>
    <w:rsid w:val="008B1218"/>
    <w:rsid w:val="008B6099"/>
    <w:rsid w:val="008F0266"/>
    <w:rsid w:val="00904C9B"/>
    <w:rsid w:val="00920EAB"/>
    <w:rsid w:val="00926408"/>
    <w:rsid w:val="00927407"/>
    <w:rsid w:val="0096199E"/>
    <w:rsid w:val="009650AF"/>
    <w:rsid w:val="0098555B"/>
    <w:rsid w:val="009D5C25"/>
    <w:rsid w:val="009E656C"/>
    <w:rsid w:val="009F2DFA"/>
    <w:rsid w:val="009F37F9"/>
    <w:rsid w:val="00A854D1"/>
    <w:rsid w:val="00A97DBC"/>
    <w:rsid w:val="00AB0A8F"/>
    <w:rsid w:val="00AC3F1B"/>
    <w:rsid w:val="00AD67B3"/>
    <w:rsid w:val="00AF76D8"/>
    <w:rsid w:val="00AF7996"/>
    <w:rsid w:val="00B10732"/>
    <w:rsid w:val="00B13C14"/>
    <w:rsid w:val="00B31A8E"/>
    <w:rsid w:val="00B450EC"/>
    <w:rsid w:val="00B5171E"/>
    <w:rsid w:val="00B871BC"/>
    <w:rsid w:val="00B96CB0"/>
    <w:rsid w:val="00BA073A"/>
    <w:rsid w:val="00BC2C33"/>
    <w:rsid w:val="00BD7FA9"/>
    <w:rsid w:val="00BE3914"/>
    <w:rsid w:val="00BF34B2"/>
    <w:rsid w:val="00C01671"/>
    <w:rsid w:val="00C17403"/>
    <w:rsid w:val="00C46BFA"/>
    <w:rsid w:val="00C57578"/>
    <w:rsid w:val="00C60215"/>
    <w:rsid w:val="00C63BE9"/>
    <w:rsid w:val="00C95B07"/>
    <w:rsid w:val="00CA3953"/>
    <w:rsid w:val="00CB3623"/>
    <w:rsid w:val="00CC7A8C"/>
    <w:rsid w:val="00CD37AD"/>
    <w:rsid w:val="00CD73D0"/>
    <w:rsid w:val="00CD7EF1"/>
    <w:rsid w:val="00CF1F93"/>
    <w:rsid w:val="00D122FE"/>
    <w:rsid w:val="00D25514"/>
    <w:rsid w:val="00D412BF"/>
    <w:rsid w:val="00D828A4"/>
    <w:rsid w:val="00D8590D"/>
    <w:rsid w:val="00D86F93"/>
    <w:rsid w:val="00D959B2"/>
    <w:rsid w:val="00D97145"/>
    <w:rsid w:val="00DB2970"/>
    <w:rsid w:val="00DC43EB"/>
    <w:rsid w:val="00DD4B12"/>
    <w:rsid w:val="00DD733E"/>
    <w:rsid w:val="00DD7397"/>
    <w:rsid w:val="00E06329"/>
    <w:rsid w:val="00E150A4"/>
    <w:rsid w:val="00E208B1"/>
    <w:rsid w:val="00E243B4"/>
    <w:rsid w:val="00E25722"/>
    <w:rsid w:val="00E37918"/>
    <w:rsid w:val="00E56586"/>
    <w:rsid w:val="00E6136D"/>
    <w:rsid w:val="00E6790E"/>
    <w:rsid w:val="00E70DDA"/>
    <w:rsid w:val="00E75BA4"/>
    <w:rsid w:val="00E86AD1"/>
    <w:rsid w:val="00EA3175"/>
    <w:rsid w:val="00EB4C1A"/>
    <w:rsid w:val="00EC1F0D"/>
    <w:rsid w:val="00EC4109"/>
    <w:rsid w:val="00EE362E"/>
    <w:rsid w:val="00F04914"/>
    <w:rsid w:val="00F23349"/>
    <w:rsid w:val="00F34B1B"/>
    <w:rsid w:val="00F35D27"/>
    <w:rsid w:val="00F41620"/>
    <w:rsid w:val="00F42B85"/>
    <w:rsid w:val="00F53186"/>
    <w:rsid w:val="00F636EE"/>
    <w:rsid w:val="00F70312"/>
    <w:rsid w:val="00F83F01"/>
    <w:rsid w:val="00FB5C13"/>
    <w:rsid w:val="00FB6690"/>
    <w:rsid w:val="00FC1182"/>
    <w:rsid w:val="00FD3059"/>
    <w:rsid w:val="00FD5F2D"/>
    <w:rsid w:val="00FD61C5"/>
    <w:rsid w:val="00FE1927"/>
    <w:rsid w:val="00FE4184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65B8"/>
  <w15:docId w15:val="{7D316BC5-634C-44D5-90E9-E90F0BBE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6F9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6F93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67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790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79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7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790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93C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93C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p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05_doložka-podnikateľské_Záhradská"/>
    <f:field ref="objsubject" par="" edit="true" text=""/>
    <f:field ref="objcreatedby" par="" text="Kovačovicová, Michaela, Mgr."/>
    <f:field ref="objcreatedat" par="" text="26.2.2021 11:57:10"/>
    <f:field ref="objchangedby" par="" text="Administrator, System"/>
    <f:field ref="objmodifiedat" par="" text="26.2.2021 11:57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75DEF7-1AD8-4742-9696-A9F580B5F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0BCE1-7FDE-4307-97E3-90DFC6709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F363B-2B9D-4CE1-9B61-8817791F6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207F1C9B-226B-442F-B264-B452EA50DF4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Michaela Kovačovicová</cp:lastModifiedBy>
  <cp:revision>3</cp:revision>
  <cp:lastPrinted>2021-02-19T08:19:00Z</cp:lastPrinted>
  <dcterms:created xsi:type="dcterms:W3CDTF">2021-03-24T14:41:00Z</dcterms:created>
  <dcterms:modified xsi:type="dcterms:W3CDTF">2021-03-25T10:02:00Z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rezerváciu Záhradská bol oznámený Okresným úradom Trenčín dotknutým subjektom v zmysle § 50 zákona č. 543/2002 Z. z. o ochrane prírody a krajiny v znení neskorších predpisov. Obec Lubina o zámere inf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Kovačovicová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Záhradská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rezervácia Záhradská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4973/2021-9.1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LP/2021/94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 zv. 2) v platnom znení. Gestor: Ministerstvo životného prostredia Slovenskej re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a)	v judikatúre Súdneho dvora Európskej únie Členské štáty majú širokú diskrečnú právomoc v súvislosti so spôsobom označovania území európskeho významu za osobitne chránené územia. Obmedzenia tejto právomoci však vyplývajú z ustálenej judikatúry Súdneho d</vt:lpwstr>
  </property>
  <property fmtid="{D5CDD505-2E9C-101B-9397-08002B2CF9AE}" pid="5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(Ú. v. ES L 206, 22.7.1992; Mimoriadne vydanie Ú. v. EÚ, kap. 15/ zv. 2) v platnom zne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5" name="FSC#SKEDITIONSLOVLEX@103.510:AttrStrListDocPropInfoUzPreberanePP">
    <vt:lpwstr>uviesť informáciu o právnych predpisoch, v ktorých sú uvádzané právne akty Európskej únie už prebrané, spolu s uvedením rozsahu ich prebrania, príp. potreby prijatia ďalších úprav_x000d_
Smernica Rady 92/43/EHS z 21. mája 1992 o ochrane prirodzených biotopov a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29. 1. 2021</vt:lpwstr>
  </property>
  <property fmtid="{D5CDD505-2E9C-101B-9397-08002B2CF9AE}" pid="59" name="FSC#SKEDITIONSLOVLEX@103.510:AttrDateDocPropUkonceniePKK">
    <vt:lpwstr>16. 2. 2021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&lt;p&gt;Predkladaným návrhom nariadenia vlády, ktorým sa vyhlasuje prírodná rezervácia Záhradská, sa za chránené územie vyhlási lokalita európskeho významu s&amp;nbsp;označením SKUEV0374 Záhradská, ktorá je súčasťou európskej sústavy chránených území Natura 2000. </vt:lpwstr>
  </property>
  <property fmtid="{D5CDD505-2E9C-101B-9397-08002B2CF9AE}" pid="66" name="FSC#SKEDITIONSLOVLEX@103.510:AttrStrListDocPropAltRiesenia">
    <vt:lpwstr>Alternatívne riešenie sa týka celkovo vyhlásenia/nevyhlásenia PR Záhradská.Dôvodom vyhlásenia PR Záhradská je splnenie požiadavky vyplývajúcej z čl. 4 ods. 4 smernice 92/43/EHS v platnom znení, podľa ktorého členské štáty určia lokality uvedené v národnom</vt:lpwstr>
  </property>
  <property fmtid="{D5CDD505-2E9C-101B-9397-08002B2CF9AE}" pid="67" name="FSC#SKEDITIONSLOVLEX@103.510:AttrStrListDocPropStanoviskoGest">
    <vt:lpwstr>&lt;p&gt;Komisia v&amp;nbsp;stanovisku č. 020/2021 zo dňa 16.02.2021 uviedla nasledovné pripomienky a&amp;nbsp;odporúčania:&lt;/p&gt;&lt;p&gt;&amp;nbsp;&lt;/p&gt;&lt;p&gt;&lt;strong&gt;K&amp;nbsp;vplyvom na podnikateľské prostredie&lt;/strong&gt;&lt;/p&gt;&lt;p&gt;V Doložke vybraných vplyvov Komisia žiada vyznačiť pozitívne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prírodná rezervácia Záhradská (ďalej len „návrh nariad</vt:lpwstr>
  </property>
  <property fmtid="{D5CDD505-2E9C-101B-9397-08002B2CF9AE}" pid="150" name="FSC#COOSYSTEM@1.1:Container">
    <vt:lpwstr>COO.2145.1000.3.4267121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26. 2. 2021</vt:lpwstr>
  </property>
</Properties>
</file>