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14:paraId="0BEBD0EF" w14:textId="77777777" w:rsidTr="00151977">
        <w:trPr>
          <w:trHeight w:val="567"/>
        </w:trPr>
        <w:tc>
          <w:tcPr>
            <w:tcW w:w="9212" w:type="dxa"/>
            <w:shd w:val="clear" w:color="auto" w:fill="D9D9D9" w:themeFill="background1" w:themeFillShade="D9"/>
          </w:tcPr>
          <w:p w14:paraId="701A2D92" w14:textId="50187A58" w:rsidR="009F2DFA" w:rsidRPr="00042C66" w:rsidRDefault="008A1252" w:rsidP="00151977">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14:paraId="37532629"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53CA425C" w14:textId="77777777" w:rsidTr="00151977">
        <w:trPr>
          <w:trHeight w:val="567"/>
        </w:trPr>
        <w:tc>
          <w:tcPr>
            <w:tcW w:w="9212" w:type="dxa"/>
            <w:shd w:val="clear" w:color="auto" w:fill="D9D9D9" w:themeFill="background1" w:themeFillShade="D9"/>
          </w:tcPr>
          <w:p w14:paraId="70BB12B9" w14:textId="77777777" w:rsidR="009F2DFA" w:rsidRPr="00042C66" w:rsidRDefault="009F2DFA" w:rsidP="00590F35">
            <w:pPr>
              <w:rPr>
                <w:b/>
                <w:sz w:val="24"/>
              </w:rPr>
            </w:pPr>
            <w:r w:rsidRPr="00042C66">
              <w:rPr>
                <w:b/>
                <w:sz w:val="24"/>
              </w:rPr>
              <w:t>Materiál bude mať vplyv s</w:t>
            </w:r>
            <w:r w:rsidR="00590F35">
              <w:rPr>
                <w:b/>
                <w:sz w:val="24"/>
              </w:rPr>
              <w:t xml:space="preserve"> </w:t>
            </w:r>
            <w:r w:rsidRPr="00042C66">
              <w:rPr>
                <w:b/>
                <w:sz w:val="24"/>
              </w:rPr>
              <w:t>ohľadom na veľkostnú kategóriu podnikov:</w:t>
            </w:r>
          </w:p>
        </w:tc>
      </w:tr>
      <w:tr w:rsidR="009F2DFA" w:rsidRPr="00F04CCD" w14:paraId="45E4834B" w14:textId="77777777" w:rsidTr="00151977">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14:paraId="396F9BB4" w14:textId="77777777" w:rsidTr="00151977">
              <w:sdt>
                <w:sdtPr>
                  <w:id w:val="43339831"/>
                  <w14:checkbox>
                    <w14:checked w14:val="1"/>
                    <w14:checkedState w14:val="2612" w14:font="MS Gothic"/>
                    <w14:uncheckedState w14:val="2610" w14:font="MS Gothic"/>
                  </w14:checkbox>
                </w:sdtPr>
                <w:sdtEndPr/>
                <w:sdtContent>
                  <w:tc>
                    <w:tcPr>
                      <w:tcW w:w="436" w:type="dxa"/>
                    </w:tcPr>
                    <w:p w14:paraId="1160A6B4" w14:textId="309FDD43" w:rsidR="009F2DFA" w:rsidRPr="00F04CCD" w:rsidRDefault="00070FCA" w:rsidP="00151977">
                      <w:pPr>
                        <w:jc w:val="center"/>
                      </w:pPr>
                      <w:r>
                        <w:rPr>
                          <w:rFonts w:ascii="MS Gothic" w:eastAsia="MS Gothic" w:hAnsi="MS Gothic" w:hint="eastAsia"/>
                        </w:rPr>
                        <w:t>☒</w:t>
                      </w:r>
                    </w:p>
                  </w:tc>
                </w:sdtContent>
              </w:sdt>
              <w:tc>
                <w:tcPr>
                  <w:tcW w:w="8545" w:type="dxa"/>
                </w:tcPr>
                <w:p w14:paraId="43E814B7" w14:textId="77777777" w:rsidR="009F2DFA" w:rsidRPr="00F04CCD" w:rsidRDefault="009F2DFA" w:rsidP="00151977">
                  <w:pPr>
                    <w:rPr>
                      <w:b/>
                    </w:rPr>
                  </w:pPr>
                  <w:r w:rsidRPr="00F04CCD">
                    <w:rPr>
                      <w:b/>
                    </w:rPr>
                    <w:t xml:space="preserve">iba na MSP (0 - 249 zamestnancov) </w:t>
                  </w:r>
                </w:p>
              </w:tc>
            </w:tr>
            <w:tr w:rsidR="009F2DFA" w:rsidRPr="00F04CCD" w14:paraId="7029AE3E" w14:textId="77777777" w:rsidTr="00151977">
              <w:sdt>
                <w:sdtPr>
                  <w:id w:val="-79453833"/>
                  <w14:checkbox>
                    <w14:checked w14:val="0"/>
                    <w14:checkedState w14:val="2612" w14:font="MS Gothic"/>
                    <w14:uncheckedState w14:val="2610" w14:font="MS Gothic"/>
                  </w14:checkbox>
                </w:sdtPr>
                <w:sdtEndPr/>
                <w:sdtContent>
                  <w:tc>
                    <w:tcPr>
                      <w:tcW w:w="436" w:type="dxa"/>
                    </w:tcPr>
                    <w:p w14:paraId="09B51F76" w14:textId="2B477BD3" w:rsidR="009F2DFA" w:rsidRPr="00F04CCD" w:rsidRDefault="00D25514" w:rsidP="00151977">
                      <w:pPr>
                        <w:jc w:val="center"/>
                      </w:pPr>
                      <w:r>
                        <w:rPr>
                          <w:rFonts w:ascii="MS Gothic" w:eastAsia="MS Gothic" w:hAnsi="MS Gothic" w:hint="eastAsia"/>
                        </w:rPr>
                        <w:t>☐</w:t>
                      </w:r>
                    </w:p>
                  </w:tc>
                </w:sdtContent>
              </w:sdt>
              <w:tc>
                <w:tcPr>
                  <w:tcW w:w="8545" w:type="dxa"/>
                </w:tcPr>
                <w:p w14:paraId="0484A7E5" w14:textId="77777777" w:rsidR="009F2DFA" w:rsidRPr="00F04CCD" w:rsidRDefault="009F2DFA" w:rsidP="00151977">
                  <w:pPr>
                    <w:rPr>
                      <w:b/>
                    </w:rPr>
                  </w:pPr>
                  <w:r w:rsidRPr="00F04CCD">
                    <w:rPr>
                      <w:b/>
                    </w:rPr>
                    <w:t>iba na veľké podniky (250 a viac zamestnancov)</w:t>
                  </w:r>
                </w:p>
              </w:tc>
            </w:tr>
            <w:tr w:rsidR="009F2DFA" w:rsidRPr="00F04CCD" w14:paraId="27852DF6" w14:textId="77777777" w:rsidTr="00151977">
              <w:sdt>
                <w:sdtPr>
                  <w:id w:val="1290634502"/>
                  <w14:checkbox>
                    <w14:checked w14:val="0"/>
                    <w14:checkedState w14:val="2612" w14:font="MS Gothic"/>
                    <w14:uncheckedState w14:val="2610" w14:font="MS Gothic"/>
                  </w14:checkbox>
                </w:sdtPr>
                <w:sdtEndPr/>
                <w:sdtContent>
                  <w:tc>
                    <w:tcPr>
                      <w:tcW w:w="436" w:type="dxa"/>
                    </w:tcPr>
                    <w:p w14:paraId="0A0E6741" w14:textId="17212D90" w:rsidR="009F2DFA" w:rsidRPr="00F04CCD" w:rsidRDefault="00070FCA" w:rsidP="00151977">
                      <w:pPr>
                        <w:jc w:val="center"/>
                      </w:pPr>
                      <w:r>
                        <w:rPr>
                          <w:rFonts w:ascii="MS Gothic" w:eastAsia="MS Gothic" w:hAnsi="MS Gothic" w:hint="eastAsia"/>
                        </w:rPr>
                        <w:t>☐</w:t>
                      </w:r>
                    </w:p>
                  </w:tc>
                </w:sdtContent>
              </w:sdt>
              <w:tc>
                <w:tcPr>
                  <w:tcW w:w="8545" w:type="dxa"/>
                </w:tcPr>
                <w:p w14:paraId="659BDD49" w14:textId="77777777" w:rsidR="009F2DFA" w:rsidRPr="00F04CCD" w:rsidRDefault="009F2DFA" w:rsidP="00151977">
                  <w:r w:rsidRPr="00F04CCD">
                    <w:rPr>
                      <w:b/>
                    </w:rPr>
                    <w:t xml:space="preserve">na všetky </w:t>
                  </w:r>
                  <w:r>
                    <w:rPr>
                      <w:b/>
                    </w:rPr>
                    <w:t>kategórie</w:t>
                  </w:r>
                  <w:r w:rsidRPr="00F04CCD">
                    <w:rPr>
                      <w:b/>
                    </w:rPr>
                    <w:t xml:space="preserve"> podnikov</w:t>
                  </w:r>
                </w:p>
              </w:tc>
            </w:tr>
          </w:tbl>
          <w:p w14:paraId="3B40F42F" w14:textId="77777777" w:rsidR="009F2DFA" w:rsidRPr="00F04CCD" w:rsidRDefault="009F2DFA" w:rsidP="00151977">
            <w:pPr>
              <w:rPr>
                <w:b/>
              </w:rPr>
            </w:pPr>
          </w:p>
        </w:tc>
      </w:tr>
      <w:tr w:rsidR="009F2DFA" w:rsidRPr="00F04CCD" w14:paraId="181D38F7" w14:textId="77777777" w:rsidTr="00151977">
        <w:tc>
          <w:tcPr>
            <w:tcW w:w="9212" w:type="dxa"/>
            <w:shd w:val="clear" w:color="auto" w:fill="D9D9D9" w:themeFill="background1" w:themeFillShade="D9"/>
          </w:tcPr>
          <w:p w14:paraId="6A8DB460" w14:textId="77777777" w:rsidR="009F2DFA" w:rsidRPr="00042C66" w:rsidRDefault="002B1108" w:rsidP="00151977">
            <w:pPr>
              <w:rPr>
                <w:b/>
                <w:sz w:val="24"/>
              </w:rPr>
            </w:pPr>
            <w:r>
              <w:rPr>
                <w:b/>
                <w:sz w:val="24"/>
              </w:rPr>
              <w:t>3</w:t>
            </w:r>
            <w:r w:rsidR="009F2DFA" w:rsidRPr="00042C66">
              <w:rPr>
                <w:b/>
                <w:sz w:val="24"/>
              </w:rPr>
              <w:t>.1 Dotknuté podnikateľské subjekty</w:t>
            </w:r>
          </w:p>
          <w:p w14:paraId="594DC8CD" w14:textId="77777777" w:rsidR="009F2DFA" w:rsidRPr="00F04CCD" w:rsidRDefault="009F2DFA" w:rsidP="00590F35">
            <w:pPr>
              <w:ind w:left="284"/>
              <w:rPr>
                <w:b/>
              </w:rPr>
            </w:pPr>
            <w:r w:rsidRPr="00042C66">
              <w:rPr>
                <w:sz w:val="24"/>
              </w:rPr>
              <w:t xml:space="preserve"> - </w:t>
            </w:r>
            <w:r w:rsidRPr="00042C66">
              <w:rPr>
                <w:b/>
                <w:sz w:val="24"/>
              </w:rPr>
              <w:t>z</w:t>
            </w:r>
            <w:r w:rsidR="00590F35">
              <w:rPr>
                <w:b/>
                <w:sz w:val="24"/>
              </w:rPr>
              <w:t xml:space="preserve"> </w:t>
            </w:r>
            <w:r w:rsidRPr="00042C66">
              <w:rPr>
                <w:b/>
                <w:sz w:val="24"/>
              </w:rPr>
              <w:t>toho MSP</w:t>
            </w:r>
          </w:p>
        </w:tc>
      </w:tr>
      <w:tr w:rsidR="009F2DFA" w:rsidRPr="00F04CCD" w14:paraId="38E03B83" w14:textId="77777777" w:rsidTr="00151977">
        <w:tc>
          <w:tcPr>
            <w:tcW w:w="9212" w:type="dxa"/>
            <w:tcBorders>
              <w:bottom w:val="single" w:sz="4" w:space="0" w:color="auto"/>
            </w:tcBorders>
          </w:tcPr>
          <w:p w14:paraId="341F2310" w14:textId="77777777" w:rsidR="009F2DFA" w:rsidRPr="00F04CCD" w:rsidRDefault="009F2DFA" w:rsidP="00151977">
            <w:pPr>
              <w:rPr>
                <w:i/>
              </w:rPr>
            </w:pPr>
            <w:r w:rsidRPr="00F04CCD">
              <w:rPr>
                <w:i/>
              </w:rPr>
              <w:t>Uveďte, aké podnikateľské subjekty budú predkladaným návrhom ovplyvnené.</w:t>
            </w:r>
          </w:p>
          <w:p w14:paraId="2990F3A8" w14:textId="77777777" w:rsidR="009F2DFA" w:rsidRPr="00F04CCD" w:rsidRDefault="009F2DFA" w:rsidP="00151977">
            <w:pPr>
              <w:rPr>
                <w:i/>
              </w:rPr>
            </w:pPr>
            <w:r w:rsidRPr="00F04CCD">
              <w:rPr>
                <w:i/>
              </w:rPr>
              <w:t>Aký je ich počet?</w:t>
            </w:r>
          </w:p>
        </w:tc>
      </w:tr>
      <w:tr w:rsidR="009F2DFA" w:rsidRPr="00F04CCD" w14:paraId="2A293748" w14:textId="77777777" w:rsidTr="00151977">
        <w:trPr>
          <w:trHeight w:val="1440"/>
        </w:trPr>
        <w:tc>
          <w:tcPr>
            <w:tcW w:w="9212" w:type="dxa"/>
            <w:tcBorders>
              <w:bottom w:val="single" w:sz="4" w:space="0" w:color="auto"/>
            </w:tcBorders>
          </w:tcPr>
          <w:p w14:paraId="70A826F3" w14:textId="560FE77B" w:rsidR="00DB2970" w:rsidRDefault="00DB2970" w:rsidP="00176D41">
            <w:pPr>
              <w:spacing w:after="120"/>
              <w:jc w:val="both"/>
            </w:pPr>
            <w:r>
              <w:t xml:space="preserve">Schválením nariadenia vlády Slovenskej republiky, ktorými sa vyhlasuje </w:t>
            </w:r>
            <w:r w:rsidR="00B10732">
              <w:t>prírodná pamiatka Brezovská dolina</w:t>
            </w:r>
            <w:r w:rsidR="00105C47">
              <w:t xml:space="preserve"> (ďalej len „návrh nariadenia vlády“)</w:t>
            </w:r>
            <w:r>
              <w:t>,</w:t>
            </w:r>
            <w:r w:rsidR="00C60215">
              <w:t xml:space="preserve"> budú ovplyvnení vlastníci a užívatelia pozemkov</w:t>
            </w:r>
            <w:r>
              <w:t xml:space="preserve"> v</w:t>
            </w:r>
            <w:r w:rsidR="00B10732">
              <w:t xml:space="preserve"> prírodnej </w:t>
            </w:r>
            <w:r w:rsidR="0009217C">
              <w:t>pamiatke</w:t>
            </w:r>
            <w:r w:rsidR="00B10732">
              <w:t xml:space="preserve"> (PP</w:t>
            </w:r>
            <w:r>
              <w:t xml:space="preserve">) </w:t>
            </w:r>
            <w:r w:rsidR="00B10732">
              <w:t>Brezovská dolina</w:t>
            </w:r>
            <w:r w:rsidR="00C60215">
              <w:t>, na ktorých dôjde k</w:t>
            </w:r>
            <w:r>
              <w:t xml:space="preserve"> obmedzeniu bežného obhospodarovania v zmysle § 61 zákona č. 543/2002 Z. z. o ochrane prírody a krajiny v znení neskorších predpisov (ďalej len „zákon“). </w:t>
            </w:r>
          </w:p>
          <w:p w14:paraId="49529ADD" w14:textId="5309306D" w:rsidR="00B10732" w:rsidRPr="00B10732" w:rsidRDefault="00B10732" w:rsidP="00B10732">
            <w:pPr>
              <w:spacing w:after="120"/>
              <w:jc w:val="both"/>
            </w:pPr>
            <w:r w:rsidRPr="00B10732">
              <w:t>Bežné obhospodarovanie trvalých trávnych porastov v jednotlivých ekologicko-funkčných priestoroch (EFP) - EFP1, EFP2 a EFP3 spočíva v pokosení a odstránení biomasy. Potreba mozaikovitého postupného kosenia, čo predstavuje časové a plošné obmedzenie pre vytvorenie vhodných podmienok pre vzácne druhy bezstavovcov a mnohé ďalšie druhy v EFP1, EPF2, EPF3</w:t>
            </w:r>
            <w:r>
              <w:t>,</w:t>
            </w:r>
            <w:r w:rsidRPr="00B10732">
              <w:t xml:space="preserve"> je nad rámec bežného obhospodarovania trvalých trávnych porastov. Nad rámec bežného obhospodarovania je aj požiadavka na rekonštrukčný manažment zarastajúcich plôch a opakované kosenie častí, zarastajúcich smlzom v EFP3. Obmedzené je aj použitie ťažkých mechanizmov v EFP1, EPF2, EPF3, kde je kosenie možné realizovať ručne alebo krovinorezom, resp. v suchších častiach jednonápravovou lištovou kosačkou. V EFP1 a EFP3 prichádza do úvahy využitie ľahkého traktora, po doriešení prístupu na lokalitu.</w:t>
            </w:r>
          </w:p>
          <w:p w14:paraId="62C4E1D8" w14:textId="25D6C212" w:rsidR="00197886" w:rsidRPr="00197886" w:rsidRDefault="00713064" w:rsidP="00197886">
            <w:pPr>
              <w:spacing w:after="120"/>
              <w:jc w:val="both"/>
              <w:rPr>
                <w:bCs/>
              </w:rPr>
            </w:pPr>
            <w:r>
              <w:rPr>
                <w:b/>
                <w:bCs/>
              </w:rPr>
              <w:t xml:space="preserve">Pozitívne vplyvy </w:t>
            </w:r>
            <w:r w:rsidRPr="00194453">
              <w:rPr>
                <w:bCs/>
              </w:rPr>
              <w:t xml:space="preserve">budú </w:t>
            </w:r>
            <w:r>
              <w:rPr>
                <w:bCs/>
              </w:rPr>
              <w:t xml:space="preserve">v prípade, že </w:t>
            </w:r>
            <w:r w:rsidR="00071B6B">
              <w:rPr>
                <w:bCs/>
              </w:rPr>
              <w:t xml:space="preserve">sa </w:t>
            </w:r>
            <w:r w:rsidR="00176D41">
              <w:rPr>
                <w:bCs/>
              </w:rPr>
              <w:t>vlastníci a užívatelia pozemkov, na ktorých dochádza k obmedzeniu bežného obhospodarovania</w:t>
            </w:r>
            <w:r w:rsidR="00071B6B">
              <w:rPr>
                <w:bCs/>
              </w:rPr>
              <w:t xml:space="preserve"> </w:t>
            </w:r>
            <w:r>
              <w:rPr>
                <w:bCs/>
              </w:rPr>
              <w:t xml:space="preserve">budú uchádzať o náhradu a táto im bude priznaná (je </w:t>
            </w:r>
            <w:proofErr w:type="spellStart"/>
            <w:r>
              <w:rPr>
                <w:bCs/>
              </w:rPr>
              <w:t>nárokovateľná</w:t>
            </w:r>
            <w:proofErr w:type="spellEnd"/>
            <w:r>
              <w:rPr>
                <w:bCs/>
              </w:rPr>
              <w:t>). T. j. v plnej miere bude nahradené vzniknuté obmedzenie</w:t>
            </w:r>
            <w:r w:rsidR="00221038">
              <w:rPr>
                <w:bCs/>
              </w:rPr>
              <w:t>.</w:t>
            </w:r>
            <w:r>
              <w:rPr>
                <w:bCs/>
              </w:rPr>
              <w:t xml:space="preserve"> </w:t>
            </w:r>
            <w:r w:rsidR="006507D9" w:rsidRPr="006507D9">
              <w:rPr>
                <w:bCs/>
              </w:rPr>
              <w:t>V</w:t>
            </w:r>
            <w:r w:rsidR="006507D9">
              <w:rPr>
                <w:bCs/>
              </w:rPr>
              <w:t> PP Brezovská dolina</w:t>
            </w:r>
            <w:r w:rsidR="006507D9" w:rsidRPr="006507D9">
              <w:rPr>
                <w:bCs/>
              </w:rPr>
              <w:t xml:space="preserve"> sa v súčasnosti nachádza jeden blok </w:t>
            </w:r>
            <w:r w:rsidR="006507D9">
              <w:rPr>
                <w:bCs/>
              </w:rPr>
              <w:t>evidovaný v systéme identifikácie poľnohospodárskych pozemkov (</w:t>
            </w:r>
            <w:r w:rsidR="006507D9" w:rsidRPr="006507D9">
              <w:rPr>
                <w:bCs/>
              </w:rPr>
              <w:t>LPIS</w:t>
            </w:r>
            <w:r w:rsidR="006507D9">
              <w:rPr>
                <w:bCs/>
              </w:rPr>
              <w:t>)</w:t>
            </w:r>
            <w:r w:rsidR="006507D9" w:rsidRPr="006507D9">
              <w:rPr>
                <w:bCs/>
              </w:rPr>
              <w:t>, na ktorom zároveň evidujeme výskyt biotopov trvalých trávnych porastov, ktoré sú predmetom podpory v schémach podpory z Európskeho poľnohospodárskeho fondu pre rozvoj vidieka</w:t>
            </w:r>
            <w:r w:rsidR="00197886">
              <w:rPr>
                <w:bCs/>
              </w:rPr>
              <w:t xml:space="preserve"> (EPFRV)</w:t>
            </w:r>
            <w:r w:rsidR="006507D9" w:rsidRPr="006507D9">
              <w:rPr>
                <w:bCs/>
              </w:rPr>
              <w:t>.</w:t>
            </w:r>
            <w:r w:rsidR="00197886">
              <w:rPr>
                <w:bCs/>
              </w:rPr>
              <w:t xml:space="preserve"> </w:t>
            </w:r>
            <w:r w:rsidR="006507D9" w:rsidRPr="006507D9">
              <w:rPr>
                <w:bCs/>
              </w:rPr>
              <w:t xml:space="preserve">Pre LPIS plochy boli </w:t>
            </w:r>
            <w:proofErr w:type="spellStart"/>
            <w:r w:rsidR="006507D9" w:rsidRPr="006507D9">
              <w:rPr>
                <w:bCs/>
              </w:rPr>
              <w:t>prekryvom</w:t>
            </w:r>
            <w:proofErr w:type="spellEnd"/>
            <w:r w:rsidR="006507D9" w:rsidRPr="006507D9">
              <w:rPr>
                <w:bCs/>
              </w:rPr>
              <w:t xml:space="preserve"> s katastrálnym podkladom identifikované parcely, ktoré môžu byť predmetom podpory z vyššie uvedených zdrojov. V súčasnosti ide o pozemky v EFP1, EFP2, EPF3.</w:t>
            </w:r>
            <w:r w:rsidR="00197886">
              <w:rPr>
                <w:bCs/>
              </w:rPr>
              <w:t xml:space="preserve"> </w:t>
            </w:r>
            <w:r w:rsidR="00197886" w:rsidRPr="00197886">
              <w:rPr>
                <w:bCs/>
              </w:rPr>
              <w:t xml:space="preserve">Možnosti podpory pre jednotlivé LPIS bloky sa vzťahujú na konkrétne oznámenia Poľnohospodárskej platobnej agentúry (PPA), na stránke </w:t>
            </w:r>
            <w:hyperlink r:id="rId12" w:history="1">
              <w:r w:rsidR="00197886" w:rsidRPr="00197886">
                <w:rPr>
                  <w:rStyle w:val="Hypertextovprepojenie"/>
                  <w:bCs/>
                </w:rPr>
                <w:t>www.apa.sk</w:t>
              </w:r>
            </w:hyperlink>
            <w:r w:rsidR="00197886" w:rsidRPr="00197886">
              <w:rPr>
                <w:bCs/>
              </w:rPr>
              <w:t>.</w:t>
            </w:r>
          </w:p>
          <w:p w14:paraId="04C418CF" w14:textId="2CB12192" w:rsidR="00AD67B3" w:rsidRPr="00197886" w:rsidRDefault="00713064" w:rsidP="00557144">
            <w:pPr>
              <w:spacing w:after="120"/>
              <w:jc w:val="both"/>
              <w:rPr>
                <w:bCs/>
              </w:rPr>
            </w:pPr>
            <w:r w:rsidRPr="00377378">
              <w:rPr>
                <w:b/>
                <w:bCs/>
              </w:rPr>
              <w:t>Negatívne vplyvy</w:t>
            </w:r>
            <w:r w:rsidRPr="00FD4006">
              <w:t xml:space="preserve"> môžu nastať v prípade, </w:t>
            </w:r>
            <w:r w:rsidR="00221038">
              <w:t xml:space="preserve">ak vlastníci a užívatelia pozemkov </w:t>
            </w:r>
            <w:r w:rsidR="0023795A">
              <w:t xml:space="preserve">nepožiadajú o náhradu za obmedzenie bežného obhospodarovania v zmysle </w:t>
            </w:r>
            <w:r w:rsidR="0009217C">
              <w:t xml:space="preserve">§ 61 zákona alebo ak nevyužijú, </w:t>
            </w:r>
            <w:r w:rsidR="0023795A">
              <w:t>resp. ak nebudú môcť vyu</w:t>
            </w:r>
            <w:r w:rsidRPr="00FD4006">
              <w:t>ž</w:t>
            </w:r>
            <w:r w:rsidR="0009217C">
              <w:t xml:space="preserve">iť, </w:t>
            </w:r>
            <w:r w:rsidR="0023795A">
              <w:t xml:space="preserve">možnosť podpory z EPFRV. V takomto prípade dôjde len </w:t>
            </w:r>
            <w:r w:rsidR="00557144">
              <w:t xml:space="preserve">k obmedzeniu </w:t>
            </w:r>
            <w:r w:rsidR="0023795A">
              <w:t xml:space="preserve">ich </w:t>
            </w:r>
            <w:r w:rsidRPr="00FD4006">
              <w:t>podnikateľských aktivít bez následnej kompenzácie</w:t>
            </w:r>
            <w:r w:rsidR="0023795A">
              <w:t>.</w:t>
            </w:r>
            <w:r>
              <w:t xml:space="preserve"> </w:t>
            </w:r>
          </w:p>
          <w:p w14:paraId="026CFCC1" w14:textId="0EAB0169" w:rsidR="008A5771" w:rsidRPr="00557144" w:rsidRDefault="00197886" w:rsidP="00197886">
            <w:pPr>
              <w:spacing w:after="120"/>
              <w:jc w:val="both"/>
            </w:pPr>
            <w:r>
              <w:t>N</w:t>
            </w:r>
            <w:r w:rsidRPr="00197886">
              <w:t xml:space="preserve">a základe dohody s vlastníkom prevažnej časti pozemkov, ktorým je AGROFARMA, s. r. o. Červený Kameň, bude náhrada za obmedzenia bežného obhospodarovania riešená formou nájmu v zmysle § 61b zákona. Ide o najcennejšie pozemky z hľadiska záujmov ochrany prírody </w:t>
            </w:r>
            <w:r>
              <w:t xml:space="preserve">v rámci celej navrhovanej </w:t>
            </w:r>
            <w:r w:rsidRPr="00197886">
              <w:t xml:space="preserve">PP Brezovská dolina, vrátane územia pôvodnej PP Brezovská dolina, na ktorom doteraz nebolo zabezpečené pravidelné obhospodarovane. </w:t>
            </w:r>
            <w:r>
              <w:t>Obhospodarovanie už dlhodobo zabezpečovala Štátna ochrana prírody Slovenskej republiky</w:t>
            </w:r>
            <w:r w:rsidR="00311EAD">
              <w:t xml:space="preserve"> (ŠOP SR) </w:t>
            </w:r>
            <w:r>
              <w:t xml:space="preserve">v rámci vlastných kapacít a zdrojov. </w:t>
            </w:r>
            <w:r w:rsidRPr="00197886">
              <w:t>Vzhľadom na druh a výmeru pozemkov bola výška ročného nájmu dohodnutá na 420 EUR ročne.</w:t>
            </w:r>
            <w:r>
              <w:t xml:space="preserve"> Časť pozemkov v PP Brezovská dolina je vo vlastníctve ďalších súkromných vlastníkov, ktorí neprejavili záujem o hospodárenie v území. </w:t>
            </w:r>
          </w:p>
        </w:tc>
      </w:tr>
      <w:tr w:rsidR="009F2DFA" w:rsidRPr="00F04CCD" w14:paraId="00E7DF62" w14:textId="77777777" w:rsidTr="00151977">
        <w:trPr>
          <w:trHeight w:val="339"/>
        </w:trPr>
        <w:tc>
          <w:tcPr>
            <w:tcW w:w="9212" w:type="dxa"/>
            <w:tcBorders>
              <w:bottom w:val="single" w:sz="4" w:space="0" w:color="auto"/>
            </w:tcBorders>
            <w:shd w:val="clear" w:color="auto" w:fill="D9D9D9" w:themeFill="background1" w:themeFillShade="D9"/>
          </w:tcPr>
          <w:p w14:paraId="0A3A7D5C" w14:textId="77777777" w:rsidR="009F2DFA" w:rsidRPr="00F04CCD" w:rsidRDefault="002B1108" w:rsidP="008F0266">
            <w:pPr>
              <w:rPr>
                <w:b/>
              </w:rPr>
            </w:pPr>
            <w:r>
              <w:rPr>
                <w:b/>
                <w:sz w:val="24"/>
              </w:rPr>
              <w:t>3</w:t>
            </w:r>
            <w:r w:rsidR="009F2DFA" w:rsidRPr="00042C66">
              <w:rPr>
                <w:b/>
                <w:sz w:val="24"/>
              </w:rPr>
              <w:t>.2 Vyhodnotenie konzultácií</w:t>
            </w:r>
            <w:r w:rsidR="008F0266">
              <w:rPr>
                <w:b/>
                <w:sz w:val="24"/>
              </w:rPr>
              <w:t xml:space="preserve"> </w:t>
            </w:r>
            <w:r w:rsidR="009F2DFA" w:rsidRPr="00042C66">
              <w:rPr>
                <w:sz w:val="24"/>
              </w:rPr>
              <w:t xml:space="preserve">- </w:t>
            </w:r>
            <w:r w:rsidR="009F2DFA" w:rsidRPr="00042C66">
              <w:rPr>
                <w:b/>
                <w:sz w:val="24"/>
              </w:rPr>
              <w:t>z</w:t>
            </w:r>
            <w:r w:rsidR="00426FAD">
              <w:rPr>
                <w:b/>
                <w:sz w:val="24"/>
              </w:rPr>
              <w:t xml:space="preserve"> </w:t>
            </w:r>
            <w:r w:rsidR="009F2DFA" w:rsidRPr="00042C66">
              <w:rPr>
                <w:b/>
                <w:sz w:val="24"/>
              </w:rPr>
              <w:t>toho MSP</w:t>
            </w:r>
          </w:p>
        </w:tc>
      </w:tr>
      <w:tr w:rsidR="009F2DFA" w:rsidRPr="00F04CCD" w14:paraId="2BF52495" w14:textId="77777777" w:rsidTr="00151977">
        <w:trPr>
          <w:trHeight w:val="557"/>
        </w:trPr>
        <w:tc>
          <w:tcPr>
            <w:tcW w:w="9212" w:type="dxa"/>
            <w:tcBorders>
              <w:bottom w:val="single" w:sz="4" w:space="0" w:color="auto"/>
            </w:tcBorders>
          </w:tcPr>
          <w:p w14:paraId="5A71657A" w14:textId="77777777" w:rsidR="009F2DFA" w:rsidRPr="00F04CCD" w:rsidRDefault="009F2DFA" w:rsidP="00151977">
            <w:pPr>
              <w:rPr>
                <w:i/>
              </w:rPr>
            </w:pPr>
            <w:r w:rsidRPr="00F04CCD">
              <w:rPr>
                <w:i/>
              </w:rPr>
              <w:t>Uveďte, akou formou (verejné alebo cielené konzultácie a prečo)</w:t>
            </w:r>
            <w:r>
              <w:rPr>
                <w:i/>
              </w:rPr>
              <w:t xml:space="preserve"> a </w:t>
            </w:r>
            <w:r w:rsidRPr="00F04CCD">
              <w:rPr>
                <w:i/>
              </w:rPr>
              <w:t>s kým bol návrh konzultovaný.</w:t>
            </w:r>
          </w:p>
          <w:p w14:paraId="4B4EDFF9" w14:textId="77777777" w:rsidR="009F2DFA" w:rsidRPr="00F04CCD" w:rsidRDefault="009F2DFA" w:rsidP="00151977">
            <w:pPr>
              <w:rPr>
                <w:i/>
              </w:rPr>
            </w:pPr>
            <w:r w:rsidRPr="00F04CCD">
              <w:rPr>
                <w:i/>
              </w:rPr>
              <w:t>Ako dlho trvali konzultácie?</w:t>
            </w:r>
          </w:p>
          <w:p w14:paraId="2BF332EB" w14:textId="77777777" w:rsidR="009F2DFA" w:rsidRPr="000D2622" w:rsidRDefault="009F2DFA" w:rsidP="00151977">
            <w:pPr>
              <w:rPr>
                <w:i/>
              </w:rPr>
            </w:pPr>
            <w:r w:rsidRPr="00F04CCD">
              <w:rPr>
                <w:i/>
              </w:rPr>
              <w:t xml:space="preserve">Uveďte hlavné body konzultácií a výsledky konzultácií. </w:t>
            </w:r>
          </w:p>
        </w:tc>
      </w:tr>
      <w:tr w:rsidR="009F2DFA" w:rsidRPr="00F04CCD" w14:paraId="1616273E" w14:textId="77777777" w:rsidTr="00F636EE">
        <w:trPr>
          <w:trHeight w:val="699"/>
        </w:trPr>
        <w:tc>
          <w:tcPr>
            <w:tcW w:w="9212" w:type="dxa"/>
            <w:tcBorders>
              <w:bottom w:val="single" w:sz="4" w:space="0" w:color="auto"/>
            </w:tcBorders>
          </w:tcPr>
          <w:p w14:paraId="5D796B4C" w14:textId="2356FC4A" w:rsidR="008F0266" w:rsidRPr="008F0266" w:rsidRDefault="00197886" w:rsidP="00105C47">
            <w:pPr>
              <w:jc w:val="both"/>
            </w:pPr>
            <w:r w:rsidRPr="00F74B7E">
              <w:t xml:space="preserve">Zámer vyhlásiť </w:t>
            </w:r>
            <w:r>
              <w:t>PP Brezovská dolina</w:t>
            </w:r>
            <w:r w:rsidRPr="00F74B7E">
              <w:t xml:space="preserve"> bol oznámený Okresným úradom </w:t>
            </w:r>
            <w:r>
              <w:t>Trenčín</w:t>
            </w:r>
            <w:r w:rsidRPr="00F74B7E">
              <w:t xml:space="preserve"> dotknutým</w:t>
            </w:r>
            <w:r>
              <w:t xml:space="preserve"> subjektom v zmysle § 50 zákona. Obec Červený Kameň o zámere informovala verejnosť vo svojom územnom obvode</w:t>
            </w:r>
            <w:r w:rsidRPr="00F74B7E">
              <w:t xml:space="preserve">. </w:t>
            </w:r>
            <w:r w:rsidR="00311EAD">
              <w:t xml:space="preserve">V stanovenej lehote listom zo dňa 7.11.2019 podala vyjadrenie AGROFARMA s. r. o. Červený Kameň, ktorá ako vlastník pozemkov požadovala riešenie náhrady za obmedzenie bežného obhospodarovania dotknutých pozemkov. Zámer vyhlásiť PP Brezovská dolina bol s vlastníkmi pozemkov prerokovaný na Obecnom úrade Červený Kameň dňa 11.01.2019 aj za prítomnosti ŠOP SR. AGROFARMA s. r. o. Červený Kameň ponúkla listom zo dňa 20.02.2019 svoje pozemky na prenájom ŠOP SR. </w:t>
            </w:r>
            <w:r w:rsidRPr="00F74B7E">
              <w:t xml:space="preserve">Verejnosť bola o príprave návrhu nariadenia vlády </w:t>
            </w:r>
            <w:r w:rsidRPr="00F74B7E">
              <w:lastRenderedPageBreak/>
              <w:t xml:space="preserve">informovaná aj prostredníctvom predbežnej informácie zverejnenej v informačnom systéme verejnej správy </w:t>
            </w:r>
            <w:r w:rsidRPr="00C43049">
              <w:t>Slov-Lex (PI/2020/254).</w:t>
            </w:r>
            <w:r>
              <w:t xml:space="preserve">V stanovenej lehote neboli zo strany </w:t>
            </w:r>
            <w:r w:rsidR="00311EAD">
              <w:t>verejnosti vznesené žiadne prip</w:t>
            </w:r>
            <w:r>
              <w:t>omienky.</w:t>
            </w:r>
          </w:p>
        </w:tc>
      </w:tr>
      <w:tr w:rsidR="009F2DFA" w:rsidRPr="00F04CCD" w14:paraId="009A5A6D" w14:textId="77777777" w:rsidTr="00151977">
        <w:tc>
          <w:tcPr>
            <w:tcW w:w="9212" w:type="dxa"/>
            <w:shd w:val="clear" w:color="auto" w:fill="D9D9D9" w:themeFill="background1" w:themeFillShade="D9"/>
          </w:tcPr>
          <w:p w14:paraId="6AEC26D3" w14:textId="77777777" w:rsidR="009F2DFA" w:rsidRPr="00F04CCD" w:rsidRDefault="002B1108" w:rsidP="008F0266">
            <w:pPr>
              <w:rPr>
                <w:b/>
              </w:rPr>
            </w:pPr>
            <w:r>
              <w:rPr>
                <w:b/>
                <w:sz w:val="24"/>
              </w:rPr>
              <w:lastRenderedPageBreak/>
              <w:t>3</w:t>
            </w:r>
            <w:r w:rsidR="009F2DFA" w:rsidRPr="00042C66">
              <w:rPr>
                <w:b/>
                <w:sz w:val="24"/>
              </w:rPr>
              <w:t>.3 Náklady regulácie</w:t>
            </w:r>
            <w:r w:rsidR="008F0266">
              <w:rPr>
                <w:b/>
                <w:sz w:val="24"/>
              </w:rPr>
              <w:t xml:space="preserve"> </w:t>
            </w:r>
            <w:r w:rsidR="009F2DFA" w:rsidRPr="00042C66">
              <w:rPr>
                <w:sz w:val="24"/>
              </w:rPr>
              <w:t xml:space="preserve">- </w:t>
            </w:r>
            <w:r w:rsidR="009F2DFA" w:rsidRPr="00042C66">
              <w:rPr>
                <w:b/>
                <w:sz w:val="24"/>
              </w:rPr>
              <w:t>z</w:t>
            </w:r>
            <w:r w:rsidR="00A854D1">
              <w:rPr>
                <w:b/>
                <w:sz w:val="24"/>
              </w:rPr>
              <w:t xml:space="preserve"> </w:t>
            </w:r>
            <w:r w:rsidR="009F2DFA" w:rsidRPr="00042C66">
              <w:rPr>
                <w:b/>
                <w:sz w:val="24"/>
              </w:rPr>
              <w:t>toho MSP</w:t>
            </w:r>
          </w:p>
        </w:tc>
      </w:tr>
      <w:tr w:rsidR="009F2DFA" w:rsidRPr="00F04CCD" w14:paraId="3DAED75A" w14:textId="77777777" w:rsidTr="00151977">
        <w:tc>
          <w:tcPr>
            <w:tcW w:w="9212" w:type="dxa"/>
            <w:tcBorders>
              <w:bottom w:val="single" w:sz="4" w:space="0" w:color="auto"/>
            </w:tcBorders>
          </w:tcPr>
          <w:p w14:paraId="3C8BBF1F" w14:textId="77777777" w:rsidR="009F2DFA" w:rsidRPr="00F04CCD" w:rsidRDefault="002B1108" w:rsidP="00151977">
            <w:pPr>
              <w:rPr>
                <w:b/>
                <w:i/>
              </w:rPr>
            </w:pPr>
            <w:r>
              <w:rPr>
                <w:b/>
                <w:i/>
              </w:rPr>
              <w:t>3</w:t>
            </w:r>
            <w:r w:rsidR="009F2DFA" w:rsidRPr="00F04CCD">
              <w:rPr>
                <w:b/>
                <w:i/>
              </w:rPr>
              <w:t>.3.1 Priame finančné náklady</w:t>
            </w:r>
          </w:p>
          <w:p w14:paraId="582FD297" w14:textId="77777777" w:rsidR="009F2DFA" w:rsidRPr="00F04CCD" w:rsidRDefault="009F2DFA" w:rsidP="00151977">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14:paraId="488F6568" w14:textId="77777777" w:rsidTr="00151977">
        <w:tc>
          <w:tcPr>
            <w:tcW w:w="9212" w:type="dxa"/>
            <w:tcBorders>
              <w:bottom w:val="single" w:sz="4" w:space="0" w:color="auto"/>
            </w:tcBorders>
          </w:tcPr>
          <w:p w14:paraId="77887221" w14:textId="77777777" w:rsidR="0096199E" w:rsidRPr="00F04CCD" w:rsidRDefault="0096199E" w:rsidP="00DD7397">
            <w:pPr>
              <w:rPr>
                <w:b/>
                <w:i/>
              </w:rPr>
            </w:pPr>
            <w:r>
              <w:rPr>
                <w:b/>
                <w:i/>
              </w:rPr>
              <w:t>X</w:t>
            </w:r>
            <w:r w:rsidR="009F37F9">
              <w:rPr>
                <w:b/>
                <w:i/>
              </w:rPr>
              <w:t xml:space="preserve"> </w:t>
            </w:r>
          </w:p>
        </w:tc>
      </w:tr>
      <w:tr w:rsidR="009F2DFA" w:rsidRPr="00F04CCD" w14:paraId="7B9AAD47" w14:textId="77777777" w:rsidTr="00151977">
        <w:tc>
          <w:tcPr>
            <w:tcW w:w="9212" w:type="dxa"/>
            <w:tcBorders>
              <w:bottom w:val="single" w:sz="4" w:space="0" w:color="auto"/>
            </w:tcBorders>
          </w:tcPr>
          <w:p w14:paraId="403225B7" w14:textId="77777777" w:rsidR="009F2DFA" w:rsidRPr="00F04CCD" w:rsidRDefault="002B1108" w:rsidP="00151977">
            <w:pPr>
              <w:rPr>
                <w:b/>
                <w:i/>
              </w:rPr>
            </w:pPr>
            <w:r>
              <w:rPr>
                <w:b/>
                <w:i/>
              </w:rPr>
              <w:t>3</w:t>
            </w:r>
            <w:r w:rsidR="009F2DFA" w:rsidRPr="00F04CCD">
              <w:rPr>
                <w:b/>
                <w:i/>
              </w:rPr>
              <w:t>.3.2 Nepriame finančné náklady</w:t>
            </w:r>
          </w:p>
          <w:p w14:paraId="5EDDBCA3" w14:textId="77777777"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14:paraId="427A1E99" w14:textId="77777777" w:rsidTr="00151977">
        <w:tc>
          <w:tcPr>
            <w:tcW w:w="9212" w:type="dxa"/>
            <w:tcBorders>
              <w:bottom w:val="single" w:sz="4" w:space="0" w:color="auto"/>
            </w:tcBorders>
          </w:tcPr>
          <w:p w14:paraId="77F6647E" w14:textId="77777777" w:rsidR="009F2DFA" w:rsidRPr="00F04CCD" w:rsidRDefault="0096199E" w:rsidP="00590F35">
            <w:pPr>
              <w:rPr>
                <w:b/>
                <w:i/>
              </w:rPr>
            </w:pPr>
            <w:r>
              <w:rPr>
                <w:b/>
                <w:i/>
              </w:rPr>
              <w:t>X</w:t>
            </w:r>
          </w:p>
        </w:tc>
      </w:tr>
      <w:tr w:rsidR="009F2DFA" w:rsidRPr="00F04CCD" w14:paraId="3B0E441C" w14:textId="77777777" w:rsidTr="00151977">
        <w:tc>
          <w:tcPr>
            <w:tcW w:w="9212" w:type="dxa"/>
            <w:tcBorders>
              <w:bottom w:val="single" w:sz="4" w:space="0" w:color="auto"/>
            </w:tcBorders>
          </w:tcPr>
          <w:p w14:paraId="61F4B1EA" w14:textId="77777777" w:rsidR="009F2DFA" w:rsidRPr="00F04CCD" w:rsidRDefault="002B1108" w:rsidP="00151977">
            <w:pPr>
              <w:rPr>
                <w:b/>
                <w:i/>
              </w:rPr>
            </w:pPr>
            <w:r>
              <w:rPr>
                <w:b/>
                <w:i/>
              </w:rPr>
              <w:t>3</w:t>
            </w:r>
            <w:r w:rsidR="009F2DFA" w:rsidRPr="00F04CCD">
              <w:rPr>
                <w:b/>
                <w:i/>
              </w:rPr>
              <w:t>.3.3 Administratívne náklady</w:t>
            </w:r>
          </w:p>
          <w:p w14:paraId="035A5227" w14:textId="77777777" w:rsidR="009F2DFA" w:rsidRPr="00F04CCD" w:rsidRDefault="009F2DFA" w:rsidP="001C3158">
            <w:pPr>
              <w:rPr>
                <w:i/>
              </w:rPr>
            </w:pPr>
            <w:r w:rsidRPr="00F04CCD">
              <w:rPr>
                <w:i/>
              </w:rPr>
              <w:t>Dochádza k</w:t>
            </w:r>
            <w:r w:rsidR="00FF17F6">
              <w:rPr>
                <w:i/>
              </w:rPr>
              <w:t xml:space="preserve"> </w:t>
            </w:r>
            <w:r w:rsidRPr="00F04CCD">
              <w:rPr>
                <w:i/>
              </w:rPr>
              <w:t>zavedeniu nových informačných povinností alebo odstráneniu, príp. úprave existujúcich informačných povinností? (napr. zmena požadovaných dát, zmena frekvencie reportovania, zmena formy predkladania a</w:t>
            </w:r>
            <w:r w:rsidR="001C3158">
              <w:rPr>
                <w:i/>
              </w:rPr>
              <w:t xml:space="preserve"> </w:t>
            </w:r>
            <w:r w:rsidRPr="00F04CCD">
              <w:rPr>
                <w:i/>
              </w:rPr>
              <w:t>pod.) Ak áno, popíšte a vyčíslite administratívne náklady. Uveďte tiež spôsob ich výpočtu.</w:t>
            </w:r>
          </w:p>
        </w:tc>
      </w:tr>
      <w:tr w:rsidR="009F2DFA" w:rsidRPr="00F04CCD" w14:paraId="1C0ED203" w14:textId="77777777" w:rsidTr="00151977">
        <w:tc>
          <w:tcPr>
            <w:tcW w:w="9212" w:type="dxa"/>
            <w:tcBorders>
              <w:bottom w:val="single" w:sz="4" w:space="0" w:color="auto"/>
            </w:tcBorders>
          </w:tcPr>
          <w:p w14:paraId="2D57CAE1" w14:textId="77777777" w:rsidR="0096199E" w:rsidRPr="00F04CCD" w:rsidRDefault="0096199E" w:rsidP="00590F35">
            <w:pPr>
              <w:rPr>
                <w:b/>
                <w:i/>
              </w:rPr>
            </w:pPr>
            <w:r>
              <w:rPr>
                <w:b/>
                <w:i/>
              </w:rPr>
              <w:t>X</w:t>
            </w:r>
          </w:p>
        </w:tc>
      </w:tr>
      <w:tr w:rsidR="009F2DFA" w:rsidRPr="00F04CCD" w14:paraId="5666821C" w14:textId="77777777" w:rsidTr="008F0266">
        <w:trPr>
          <w:trHeight w:val="1636"/>
        </w:trPr>
        <w:tc>
          <w:tcPr>
            <w:tcW w:w="9212" w:type="dxa"/>
            <w:tcBorders>
              <w:bottom w:val="single" w:sz="4" w:space="0" w:color="auto"/>
            </w:tcBorders>
          </w:tcPr>
          <w:p w14:paraId="7F9B805F" w14:textId="77777777" w:rsidR="009F2DFA" w:rsidRPr="00F04CCD" w:rsidRDefault="002B1108" w:rsidP="00151977">
            <w:pPr>
              <w:rPr>
                <w:i/>
              </w:rPr>
            </w:pPr>
            <w:r>
              <w:rPr>
                <w:b/>
                <w:i/>
              </w:rPr>
              <w:t>3</w:t>
            </w:r>
            <w:r w:rsidR="009F2DFA" w:rsidRPr="00F04CCD">
              <w:rPr>
                <w:b/>
                <w:i/>
              </w:rPr>
              <w:t>.3.4 Súhrnná tabuľka nákladov regulácie</w:t>
            </w:r>
          </w:p>
          <w:tbl>
            <w:tblPr>
              <w:tblStyle w:val="Mriekatabuky"/>
              <w:tblW w:w="0" w:type="auto"/>
              <w:tblLook w:val="04A0" w:firstRow="1" w:lastRow="0" w:firstColumn="1" w:lastColumn="0" w:noHBand="0" w:noVBand="1"/>
            </w:tblPr>
            <w:tblGrid>
              <w:gridCol w:w="2949"/>
              <w:gridCol w:w="2354"/>
              <w:gridCol w:w="3533"/>
            </w:tblGrid>
            <w:tr w:rsidR="009F2DFA" w:rsidRPr="00F04CCD" w14:paraId="2FFD78D4" w14:textId="77777777" w:rsidTr="00590F35">
              <w:tc>
                <w:tcPr>
                  <w:tcW w:w="2993" w:type="dxa"/>
                </w:tcPr>
                <w:p w14:paraId="0B98C110" w14:textId="77777777" w:rsidR="009F2DFA" w:rsidRPr="00F04CCD" w:rsidRDefault="009F2DFA" w:rsidP="00151977">
                  <w:pPr>
                    <w:rPr>
                      <w:i/>
                    </w:rPr>
                  </w:pPr>
                </w:p>
              </w:tc>
              <w:tc>
                <w:tcPr>
                  <w:tcW w:w="2389" w:type="dxa"/>
                </w:tcPr>
                <w:p w14:paraId="7E3342B9" w14:textId="77777777" w:rsidR="009F2DFA" w:rsidRPr="00F04CCD" w:rsidRDefault="009F2DFA" w:rsidP="00151977">
                  <w:pPr>
                    <w:jc w:val="center"/>
                    <w:rPr>
                      <w:i/>
                    </w:rPr>
                  </w:pPr>
                  <w:r w:rsidRPr="00F04CCD">
                    <w:rPr>
                      <w:i/>
                    </w:rPr>
                    <w:t>Náklady na 1 podnikateľa</w:t>
                  </w:r>
                </w:p>
              </w:tc>
              <w:tc>
                <w:tcPr>
                  <w:tcW w:w="3599" w:type="dxa"/>
                </w:tcPr>
                <w:p w14:paraId="0F93B117" w14:textId="77777777" w:rsidR="009F2DFA" w:rsidRPr="00F04CCD" w:rsidRDefault="009F2DFA" w:rsidP="00151977">
                  <w:pPr>
                    <w:jc w:val="center"/>
                    <w:rPr>
                      <w:i/>
                    </w:rPr>
                  </w:pPr>
                  <w:r w:rsidRPr="00F04CCD">
                    <w:rPr>
                      <w:i/>
                    </w:rPr>
                    <w:t>Náklady na celé podnikateľské prostredie</w:t>
                  </w:r>
                </w:p>
              </w:tc>
            </w:tr>
            <w:tr w:rsidR="009F2DFA" w:rsidRPr="00F04CCD" w14:paraId="16D60F1D" w14:textId="77777777" w:rsidTr="00590F35">
              <w:tc>
                <w:tcPr>
                  <w:tcW w:w="2993" w:type="dxa"/>
                </w:tcPr>
                <w:p w14:paraId="2A111CB5" w14:textId="77777777" w:rsidR="009F2DFA" w:rsidRPr="00F04CCD" w:rsidRDefault="009F2DFA" w:rsidP="00151977">
                  <w:pPr>
                    <w:rPr>
                      <w:i/>
                    </w:rPr>
                  </w:pPr>
                  <w:r w:rsidRPr="00F04CCD">
                    <w:rPr>
                      <w:i/>
                    </w:rPr>
                    <w:t>Priame finančné náklady</w:t>
                  </w:r>
                </w:p>
              </w:tc>
              <w:tc>
                <w:tcPr>
                  <w:tcW w:w="2389" w:type="dxa"/>
                </w:tcPr>
                <w:p w14:paraId="6D870E5D" w14:textId="714BA0E8" w:rsidR="009F2DFA" w:rsidRPr="00F04CCD" w:rsidRDefault="00436CBC" w:rsidP="00436CBC">
                  <w:pPr>
                    <w:jc w:val="center"/>
                    <w:rPr>
                      <w:i/>
                    </w:rPr>
                  </w:pPr>
                  <w:r>
                    <w:rPr>
                      <w:i/>
                    </w:rPr>
                    <w:t>N/A</w:t>
                  </w:r>
                </w:p>
              </w:tc>
              <w:tc>
                <w:tcPr>
                  <w:tcW w:w="3599" w:type="dxa"/>
                </w:tcPr>
                <w:p w14:paraId="713EF1FB" w14:textId="10BF47BE" w:rsidR="009F2DFA" w:rsidRPr="00F04CCD" w:rsidRDefault="00436CBC" w:rsidP="00436CBC">
                  <w:pPr>
                    <w:jc w:val="center"/>
                    <w:rPr>
                      <w:i/>
                    </w:rPr>
                  </w:pPr>
                  <w:r>
                    <w:rPr>
                      <w:i/>
                    </w:rPr>
                    <w:t>N/A</w:t>
                  </w:r>
                </w:p>
              </w:tc>
            </w:tr>
            <w:tr w:rsidR="009F2DFA" w:rsidRPr="00F04CCD" w14:paraId="4CB4D469" w14:textId="77777777" w:rsidTr="00590F35">
              <w:tc>
                <w:tcPr>
                  <w:tcW w:w="2993" w:type="dxa"/>
                </w:tcPr>
                <w:p w14:paraId="2D0E98CA" w14:textId="77777777" w:rsidR="009F2DFA" w:rsidRPr="00F04CCD" w:rsidRDefault="009F2DFA" w:rsidP="00151977">
                  <w:pPr>
                    <w:rPr>
                      <w:i/>
                    </w:rPr>
                  </w:pPr>
                  <w:r w:rsidRPr="00F04CCD">
                    <w:rPr>
                      <w:i/>
                    </w:rPr>
                    <w:t>Nepriame finančné náklady</w:t>
                  </w:r>
                </w:p>
              </w:tc>
              <w:tc>
                <w:tcPr>
                  <w:tcW w:w="2389" w:type="dxa"/>
                </w:tcPr>
                <w:p w14:paraId="24083B47" w14:textId="1B70B694" w:rsidR="009F2DFA" w:rsidRPr="00F04CCD" w:rsidRDefault="00436CBC" w:rsidP="00436CBC">
                  <w:pPr>
                    <w:jc w:val="center"/>
                    <w:rPr>
                      <w:i/>
                    </w:rPr>
                  </w:pPr>
                  <w:r>
                    <w:rPr>
                      <w:i/>
                    </w:rPr>
                    <w:t>N/A</w:t>
                  </w:r>
                </w:p>
              </w:tc>
              <w:tc>
                <w:tcPr>
                  <w:tcW w:w="3599" w:type="dxa"/>
                </w:tcPr>
                <w:p w14:paraId="6AD6C79D" w14:textId="1153F5AF" w:rsidR="009F2DFA" w:rsidRPr="00F04CCD" w:rsidRDefault="00436CBC" w:rsidP="00436CBC">
                  <w:pPr>
                    <w:jc w:val="center"/>
                    <w:rPr>
                      <w:i/>
                    </w:rPr>
                  </w:pPr>
                  <w:r>
                    <w:rPr>
                      <w:i/>
                    </w:rPr>
                    <w:t>N/A</w:t>
                  </w:r>
                </w:p>
              </w:tc>
            </w:tr>
            <w:tr w:rsidR="009F2DFA" w:rsidRPr="00F04CCD" w14:paraId="5EE2E333" w14:textId="77777777" w:rsidTr="00590F35">
              <w:tc>
                <w:tcPr>
                  <w:tcW w:w="2993" w:type="dxa"/>
                </w:tcPr>
                <w:p w14:paraId="50459C15" w14:textId="77777777" w:rsidR="009F2DFA" w:rsidRPr="00F04CCD" w:rsidRDefault="009F2DFA" w:rsidP="00151977">
                  <w:pPr>
                    <w:rPr>
                      <w:i/>
                    </w:rPr>
                  </w:pPr>
                  <w:r w:rsidRPr="00F04CCD">
                    <w:rPr>
                      <w:i/>
                    </w:rPr>
                    <w:t>Administratívne náklady</w:t>
                  </w:r>
                </w:p>
              </w:tc>
              <w:tc>
                <w:tcPr>
                  <w:tcW w:w="2389" w:type="dxa"/>
                </w:tcPr>
                <w:p w14:paraId="1981A69A" w14:textId="7B933477" w:rsidR="009F2DFA" w:rsidRPr="00F04CCD" w:rsidRDefault="00436CBC" w:rsidP="00436CBC">
                  <w:pPr>
                    <w:jc w:val="center"/>
                    <w:rPr>
                      <w:i/>
                    </w:rPr>
                  </w:pPr>
                  <w:r>
                    <w:rPr>
                      <w:i/>
                    </w:rPr>
                    <w:t>N/A</w:t>
                  </w:r>
                </w:p>
              </w:tc>
              <w:tc>
                <w:tcPr>
                  <w:tcW w:w="3599" w:type="dxa"/>
                </w:tcPr>
                <w:p w14:paraId="1DE114AD" w14:textId="0EB2BCE3" w:rsidR="009F2DFA" w:rsidRPr="00F04CCD" w:rsidRDefault="00436CBC" w:rsidP="00436CBC">
                  <w:pPr>
                    <w:jc w:val="center"/>
                    <w:rPr>
                      <w:i/>
                    </w:rPr>
                  </w:pPr>
                  <w:r>
                    <w:rPr>
                      <w:i/>
                    </w:rPr>
                    <w:t>N/A</w:t>
                  </w:r>
                </w:p>
              </w:tc>
            </w:tr>
            <w:tr w:rsidR="009F2DFA" w:rsidRPr="00F04CCD" w14:paraId="79E17CEC" w14:textId="77777777" w:rsidTr="00590F35">
              <w:tc>
                <w:tcPr>
                  <w:tcW w:w="2993" w:type="dxa"/>
                </w:tcPr>
                <w:p w14:paraId="4132F7C4" w14:textId="77777777" w:rsidR="009F2DFA" w:rsidRPr="00F04CCD" w:rsidRDefault="009F2DFA" w:rsidP="00151977">
                  <w:pPr>
                    <w:rPr>
                      <w:b/>
                      <w:i/>
                    </w:rPr>
                  </w:pPr>
                  <w:r w:rsidRPr="00F04CCD">
                    <w:rPr>
                      <w:b/>
                      <w:i/>
                    </w:rPr>
                    <w:t>Celkové náklady regulácie</w:t>
                  </w:r>
                </w:p>
              </w:tc>
              <w:tc>
                <w:tcPr>
                  <w:tcW w:w="2389" w:type="dxa"/>
                </w:tcPr>
                <w:p w14:paraId="5B57E4AE" w14:textId="53FABD87" w:rsidR="009F2DFA" w:rsidRPr="00F04CCD" w:rsidRDefault="00436CBC" w:rsidP="00436CBC">
                  <w:pPr>
                    <w:jc w:val="center"/>
                    <w:rPr>
                      <w:b/>
                      <w:i/>
                    </w:rPr>
                  </w:pPr>
                  <w:r>
                    <w:rPr>
                      <w:b/>
                      <w:i/>
                    </w:rPr>
                    <w:t>N/A</w:t>
                  </w:r>
                </w:p>
              </w:tc>
              <w:tc>
                <w:tcPr>
                  <w:tcW w:w="3599" w:type="dxa"/>
                </w:tcPr>
                <w:p w14:paraId="55ECD62E" w14:textId="7DBE44B5" w:rsidR="009F2DFA" w:rsidRPr="00F04CCD" w:rsidRDefault="00436CBC" w:rsidP="00436CBC">
                  <w:pPr>
                    <w:jc w:val="center"/>
                    <w:rPr>
                      <w:b/>
                      <w:i/>
                    </w:rPr>
                  </w:pPr>
                  <w:r>
                    <w:rPr>
                      <w:b/>
                      <w:i/>
                    </w:rPr>
                    <w:t>N/A</w:t>
                  </w:r>
                </w:p>
              </w:tc>
            </w:tr>
          </w:tbl>
          <w:p w14:paraId="5A825E3F" w14:textId="77777777" w:rsidR="005D6E3A" w:rsidRPr="00F04CCD" w:rsidRDefault="005D6E3A" w:rsidP="00151977">
            <w:pPr>
              <w:rPr>
                <w:i/>
              </w:rPr>
            </w:pPr>
          </w:p>
        </w:tc>
      </w:tr>
      <w:tr w:rsidR="009F2DFA" w:rsidRPr="00F04CCD" w14:paraId="7A12578B" w14:textId="77777777" w:rsidTr="00151977">
        <w:tc>
          <w:tcPr>
            <w:tcW w:w="9212" w:type="dxa"/>
            <w:shd w:val="clear" w:color="auto" w:fill="D9D9D9" w:themeFill="background1" w:themeFillShade="D9"/>
          </w:tcPr>
          <w:p w14:paraId="359A433D" w14:textId="77777777" w:rsidR="009F2DFA" w:rsidRPr="00F04CCD" w:rsidRDefault="002B1108" w:rsidP="008F0266">
            <w:r>
              <w:rPr>
                <w:b/>
                <w:sz w:val="24"/>
              </w:rPr>
              <w:t>3</w:t>
            </w:r>
            <w:r w:rsidR="009F2DFA" w:rsidRPr="00042C66">
              <w:rPr>
                <w:b/>
                <w:sz w:val="24"/>
              </w:rPr>
              <w:t>.4 Konkurencieschopnosť a správanie sa podnikov na trhu</w:t>
            </w:r>
            <w:r w:rsidR="008F0266">
              <w:rPr>
                <w:b/>
                <w:sz w:val="24"/>
              </w:rPr>
              <w:t xml:space="preserve"> </w:t>
            </w:r>
            <w:r w:rsidR="009F2DFA" w:rsidRPr="00042C66">
              <w:rPr>
                <w:sz w:val="24"/>
              </w:rPr>
              <w:t xml:space="preserve">- </w:t>
            </w:r>
            <w:r w:rsidR="009F2DFA" w:rsidRPr="00042C66">
              <w:rPr>
                <w:b/>
                <w:sz w:val="24"/>
              </w:rPr>
              <w:t>z</w:t>
            </w:r>
            <w:r w:rsidR="00590F35">
              <w:rPr>
                <w:b/>
                <w:sz w:val="24"/>
              </w:rPr>
              <w:t xml:space="preserve"> </w:t>
            </w:r>
            <w:r w:rsidR="009F2DFA" w:rsidRPr="00042C66">
              <w:rPr>
                <w:b/>
                <w:sz w:val="24"/>
              </w:rPr>
              <w:t>toho MSP</w:t>
            </w:r>
          </w:p>
        </w:tc>
      </w:tr>
      <w:tr w:rsidR="009F2DFA" w:rsidRPr="00F04CCD" w14:paraId="3A5588D3" w14:textId="77777777" w:rsidTr="00151977">
        <w:tc>
          <w:tcPr>
            <w:tcW w:w="9212" w:type="dxa"/>
            <w:tcBorders>
              <w:bottom w:val="single" w:sz="4" w:space="0" w:color="auto"/>
            </w:tcBorders>
          </w:tcPr>
          <w:p w14:paraId="2CB56E47" w14:textId="46631B8A" w:rsidR="009F2DFA" w:rsidRPr="00F04CCD" w:rsidRDefault="009F2DFA" w:rsidP="00151977">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r w:rsidR="00F34B1B">
              <w:rPr>
                <w:i/>
              </w:rPr>
              <w:t xml:space="preserve"> </w:t>
            </w:r>
          </w:p>
          <w:p w14:paraId="47545A28" w14:textId="77777777" w:rsidR="009F2DFA" w:rsidRPr="00F04CCD" w:rsidRDefault="009F2DFA" w:rsidP="00151977">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14:paraId="0A138B7F" w14:textId="77777777" w:rsidR="009F2DFA" w:rsidRPr="00F04CCD" w:rsidRDefault="009F2DFA" w:rsidP="00151977">
            <w:pPr>
              <w:rPr>
                <w:i/>
              </w:rPr>
            </w:pPr>
            <w:r w:rsidRPr="00F04CCD">
              <w:rPr>
                <w:i/>
              </w:rPr>
              <w:t>Ako ovplyvní cenu alebo dostupnosť základných zdrojov (suroviny, mechanizmy, pracovná sila, energie atď.)?</w:t>
            </w:r>
          </w:p>
          <w:p w14:paraId="2ADB4E3F" w14:textId="77777777" w:rsidR="009F2DFA" w:rsidRPr="00F04CCD" w:rsidRDefault="009F2DFA" w:rsidP="00151977">
            <w:pPr>
              <w:rPr>
                <w:i/>
              </w:rPr>
            </w:pPr>
            <w:r w:rsidRPr="00F04CCD">
              <w:rPr>
                <w:i/>
              </w:rPr>
              <w:t>Ovplyvňuje prístup k financiám? Ak áno, ako?</w:t>
            </w:r>
          </w:p>
        </w:tc>
      </w:tr>
      <w:tr w:rsidR="009F2DFA" w:rsidRPr="00F04CCD" w14:paraId="7DC11DCA" w14:textId="77777777" w:rsidTr="00C17403">
        <w:trPr>
          <w:trHeight w:val="386"/>
        </w:trPr>
        <w:tc>
          <w:tcPr>
            <w:tcW w:w="9212" w:type="dxa"/>
            <w:tcBorders>
              <w:bottom w:val="single" w:sz="4" w:space="0" w:color="auto"/>
            </w:tcBorders>
          </w:tcPr>
          <w:p w14:paraId="7E6EDA7E" w14:textId="77777777" w:rsidR="008F0266" w:rsidRPr="00413E39" w:rsidRDefault="005B3384" w:rsidP="00DD7397">
            <w:pPr>
              <w:jc w:val="both"/>
            </w:pPr>
            <w:r w:rsidRPr="00AF76D8">
              <w:rPr>
                <w:b/>
                <w:i/>
              </w:rPr>
              <w:t>X</w:t>
            </w:r>
          </w:p>
        </w:tc>
      </w:tr>
      <w:tr w:rsidR="009F2DFA" w:rsidRPr="00F04CCD" w14:paraId="55C0BDA8" w14:textId="77777777" w:rsidTr="00151977">
        <w:tc>
          <w:tcPr>
            <w:tcW w:w="9212" w:type="dxa"/>
            <w:shd w:val="clear" w:color="auto" w:fill="D9D9D9" w:themeFill="background1" w:themeFillShade="D9"/>
          </w:tcPr>
          <w:p w14:paraId="74A0BEB3" w14:textId="77777777" w:rsidR="009F2DFA" w:rsidRPr="00F04CCD" w:rsidRDefault="002B1108" w:rsidP="008F0266">
            <w:pPr>
              <w:rPr>
                <w:b/>
              </w:rPr>
            </w:pPr>
            <w:r>
              <w:rPr>
                <w:b/>
                <w:sz w:val="24"/>
              </w:rPr>
              <w:t>3</w:t>
            </w:r>
            <w:r w:rsidR="009F2DFA" w:rsidRPr="00042C66">
              <w:rPr>
                <w:b/>
                <w:sz w:val="24"/>
              </w:rPr>
              <w:t xml:space="preserve">.5 Inovácie </w:t>
            </w:r>
            <w:r w:rsidR="009F2DFA" w:rsidRPr="00042C66">
              <w:rPr>
                <w:sz w:val="24"/>
              </w:rPr>
              <w:t xml:space="preserve">- </w:t>
            </w:r>
            <w:r w:rsidR="009F2DFA" w:rsidRPr="00042C66">
              <w:rPr>
                <w:b/>
                <w:sz w:val="24"/>
              </w:rPr>
              <w:t>z toho MSP</w:t>
            </w:r>
          </w:p>
        </w:tc>
      </w:tr>
      <w:tr w:rsidR="009F2DFA" w:rsidRPr="00F04CCD" w14:paraId="76613913" w14:textId="77777777" w:rsidTr="00151977">
        <w:tc>
          <w:tcPr>
            <w:tcW w:w="9212" w:type="dxa"/>
          </w:tcPr>
          <w:p w14:paraId="5E38ADC5" w14:textId="77777777" w:rsidR="009F2DFA" w:rsidRPr="00F04CCD" w:rsidRDefault="009F2DFA" w:rsidP="00151977">
            <w:pPr>
              <w:rPr>
                <w:i/>
              </w:rPr>
            </w:pPr>
            <w:r w:rsidRPr="00F04CCD">
              <w:rPr>
                <w:i/>
              </w:rPr>
              <w:t>Uveďte, ako podporuje navrhovaná zmena inovácie.</w:t>
            </w:r>
          </w:p>
          <w:p w14:paraId="3F6F534E" w14:textId="77777777" w:rsidR="009F2DFA" w:rsidRPr="00F04CCD" w:rsidRDefault="009F2DFA" w:rsidP="00151977">
            <w:pPr>
              <w:rPr>
                <w:i/>
              </w:rPr>
            </w:pPr>
            <w:r w:rsidRPr="00F04CCD">
              <w:rPr>
                <w:i/>
              </w:rPr>
              <w:t>Zjednodušuje uvedenie alebo rozšírenie nových výrobných metód, technológií a výrobkov na trh?</w:t>
            </w:r>
          </w:p>
          <w:p w14:paraId="2CDBB107" w14:textId="77777777" w:rsidR="009F2DFA" w:rsidRPr="00F04CCD" w:rsidRDefault="009F2DFA" w:rsidP="00151977">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14:paraId="03231D48" w14:textId="77777777" w:rsidR="009F2DFA" w:rsidRDefault="009F2DFA" w:rsidP="00151977">
            <w:pPr>
              <w:rPr>
                <w:i/>
              </w:rPr>
            </w:pPr>
            <w:r w:rsidRPr="00F04CCD">
              <w:rPr>
                <w:i/>
              </w:rPr>
              <w:t>Podporuje vyššiu efektivitu výroby/využívania zdrojov? Ak áno, ako?</w:t>
            </w:r>
          </w:p>
          <w:p w14:paraId="75270E6C" w14:textId="77777777" w:rsidR="00837639" w:rsidRPr="00F04CCD" w:rsidRDefault="00837639" w:rsidP="00151977">
            <w:r w:rsidRPr="00154881">
              <w:rPr>
                <w:i/>
              </w:rPr>
              <w:t>Vytvorí zmena nové pracovné miesta pre zamestnancov výskumu a vývoja v</w:t>
            </w:r>
            <w:r>
              <w:rPr>
                <w:i/>
              </w:rPr>
              <w:t> </w:t>
            </w:r>
            <w:r w:rsidRPr="00154881">
              <w:rPr>
                <w:i/>
              </w:rPr>
              <w:t>SR</w:t>
            </w:r>
            <w:r>
              <w:rPr>
                <w:i/>
              </w:rPr>
              <w:t>?</w:t>
            </w:r>
          </w:p>
        </w:tc>
      </w:tr>
      <w:tr w:rsidR="009F2DFA" w:rsidRPr="00F04CCD" w14:paraId="071ADA19" w14:textId="77777777" w:rsidTr="001C3158">
        <w:trPr>
          <w:trHeight w:val="200"/>
        </w:trPr>
        <w:tc>
          <w:tcPr>
            <w:tcW w:w="9212" w:type="dxa"/>
          </w:tcPr>
          <w:p w14:paraId="0AD777C8" w14:textId="77777777" w:rsidR="009F2DFA" w:rsidRPr="00AF76D8" w:rsidRDefault="00AF76D8" w:rsidP="00151977">
            <w:pPr>
              <w:rPr>
                <w:b/>
                <w:i/>
              </w:rPr>
            </w:pPr>
            <w:r w:rsidRPr="00AF76D8">
              <w:rPr>
                <w:b/>
                <w:i/>
              </w:rPr>
              <w:t>X</w:t>
            </w:r>
          </w:p>
        </w:tc>
      </w:tr>
    </w:tbl>
    <w:p w14:paraId="2C2DAB87" w14:textId="77777777" w:rsidR="00CB3623" w:rsidRPr="00413E39" w:rsidRDefault="00CB3623">
      <w:pPr>
        <w:rPr>
          <w:b/>
          <w:sz w:val="24"/>
        </w:rPr>
      </w:pPr>
    </w:p>
    <w:sectPr w:rsidR="00CB3623" w:rsidRPr="00413E39" w:rsidSect="008F0266">
      <w:headerReference w:type="default" r:id="rId13"/>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E053C" w14:textId="77777777" w:rsidR="00871ABD" w:rsidRDefault="00871ABD" w:rsidP="009F2DFA">
      <w:r>
        <w:separator/>
      </w:r>
    </w:p>
  </w:endnote>
  <w:endnote w:type="continuationSeparator" w:id="0">
    <w:p w14:paraId="5A6F08C1" w14:textId="77777777" w:rsidR="00871ABD" w:rsidRDefault="00871ABD"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14:paraId="7AF9E6B8" w14:textId="09D01549" w:rsidR="009F2DFA" w:rsidRDefault="009F2DFA">
        <w:pPr>
          <w:pStyle w:val="Pta"/>
          <w:jc w:val="right"/>
        </w:pPr>
        <w:r>
          <w:fldChar w:fldCharType="begin"/>
        </w:r>
        <w:r>
          <w:instrText>PAGE   \* MERGEFORMAT</w:instrText>
        </w:r>
        <w:r>
          <w:fldChar w:fldCharType="separate"/>
        </w:r>
        <w:r w:rsidR="00C24CFD">
          <w:rPr>
            <w:noProof/>
          </w:rPr>
          <w:t>2</w:t>
        </w:r>
        <w:r>
          <w:fldChar w:fldCharType="end"/>
        </w:r>
      </w:p>
    </w:sdtContent>
  </w:sdt>
  <w:p w14:paraId="601523E4" w14:textId="77777777" w:rsidR="009F2DFA" w:rsidRDefault="009F2D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81CA3" w14:textId="77777777" w:rsidR="00871ABD" w:rsidRDefault="00871ABD" w:rsidP="009F2DFA">
      <w:r>
        <w:separator/>
      </w:r>
    </w:p>
  </w:footnote>
  <w:footnote w:type="continuationSeparator" w:id="0">
    <w:p w14:paraId="52791AAF" w14:textId="77777777" w:rsidR="00871ABD" w:rsidRDefault="00871ABD" w:rsidP="009F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CBB1" w14:textId="77777777" w:rsidR="00413E39" w:rsidRPr="000A15AE" w:rsidRDefault="00413E39" w:rsidP="00413E39">
    <w:pPr>
      <w:pStyle w:val="Hlavika"/>
      <w:jc w:val="right"/>
      <w:rPr>
        <w:sz w:val="24"/>
        <w:szCs w:val="24"/>
      </w:rPr>
    </w:pPr>
    <w:r>
      <w:rPr>
        <w:sz w:val="24"/>
        <w:szCs w:val="24"/>
      </w:rPr>
      <w:t>Príloha č. 3</w:t>
    </w:r>
  </w:p>
  <w:p w14:paraId="2F9329B5" w14:textId="77777777" w:rsidR="009F2DFA" w:rsidRDefault="009F2DF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47430"/>
    <w:rsid w:val="00060C5B"/>
    <w:rsid w:val="00060CAD"/>
    <w:rsid w:val="00070FCA"/>
    <w:rsid w:val="00071B6B"/>
    <w:rsid w:val="0009217C"/>
    <w:rsid w:val="000939C0"/>
    <w:rsid w:val="000F6641"/>
    <w:rsid w:val="00105C47"/>
    <w:rsid w:val="00125F4E"/>
    <w:rsid w:val="00151977"/>
    <w:rsid w:val="00154881"/>
    <w:rsid w:val="00172B80"/>
    <w:rsid w:val="00175076"/>
    <w:rsid w:val="00176D41"/>
    <w:rsid w:val="00184E65"/>
    <w:rsid w:val="00197886"/>
    <w:rsid w:val="001B43B5"/>
    <w:rsid w:val="001B7F40"/>
    <w:rsid w:val="001C3158"/>
    <w:rsid w:val="001C43CF"/>
    <w:rsid w:val="002135E0"/>
    <w:rsid w:val="00221038"/>
    <w:rsid w:val="0023795A"/>
    <w:rsid w:val="0024785C"/>
    <w:rsid w:val="002513D6"/>
    <w:rsid w:val="00276D2C"/>
    <w:rsid w:val="002B1108"/>
    <w:rsid w:val="002E62CC"/>
    <w:rsid w:val="00304A49"/>
    <w:rsid w:val="00311EAD"/>
    <w:rsid w:val="003136F4"/>
    <w:rsid w:val="0032268C"/>
    <w:rsid w:val="003479FC"/>
    <w:rsid w:val="0037559F"/>
    <w:rsid w:val="003762D5"/>
    <w:rsid w:val="0039375F"/>
    <w:rsid w:val="003B2360"/>
    <w:rsid w:val="003B60F8"/>
    <w:rsid w:val="003C606F"/>
    <w:rsid w:val="003D7F05"/>
    <w:rsid w:val="003E269E"/>
    <w:rsid w:val="003F364B"/>
    <w:rsid w:val="00413E39"/>
    <w:rsid w:val="00426FAD"/>
    <w:rsid w:val="00436CBC"/>
    <w:rsid w:val="00493C8C"/>
    <w:rsid w:val="004A4E64"/>
    <w:rsid w:val="004A6A9F"/>
    <w:rsid w:val="005026A2"/>
    <w:rsid w:val="0052297F"/>
    <w:rsid w:val="00524620"/>
    <w:rsid w:val="00557144"/>
    <w:rsid w:val="00582967"/>
    <w:rsid w:val="00590F35"/>
    <w:rsid w:val="00597DCC"/>
    <w:rsid w:val="005B3384"/>
    <w:rsid w:val="005C34E4"/>
    <w:rsid w:val="005C6BE7"/>
    <w:rsid w:val="005D6E3A"/>
    <w:rsid w:val="005E3A41"/>
    <w:rsid w:val="006379AE"/>
    <w:rsid w:val="006507D9"/>
    <w:rsid w:val="00663151"/>
    <w:rsid w:val="00676C83"/>
    <w:rsid w:val="00683BED"/>
    <w:rsid w:val="006871A8"/>
    <w:rsid w:val="006934E1"/>
    <w:rsid w:val="0069496F"/>
    <w:rsid w:val="006A0749"/>
    <w:rsid w:val="006A1934"/>
    <w:rsid w:val="006C1393"/>
    <w:rsid w:val="006F08CE"/>
    <w:rsid w:val="00713064"/>
    <w:rsid w:val="00774C67"/>
    <w:rsid w:val="00780BA6"/>
    <w:rsid w:val="007867D6"/>
    <w:rsid w:val="007D3B0F"/>
    <w:rsid w:val="0082786B"/>
    <w:rsid w:val="00837639"/>
    <w:rsid w:val="00852BF2"/>
    <w:rsid w:val="00871ABD"/>
    <w:rsid w:val="00892475"/>
    <w:rsid w:val="008967CE"/>
    <w:rsid w:val="008A1252"/>
    <w:rsid w:val="008A5771"/>
    <w:rsid w:val="008B1218"/>
    <w:rsid w:val="008B6099"/>
    <w:rsid w:val="008F0266"/>
    <w:rsid w:val="00904C9B"/>
    <w:rsid w:val="00920EAB"/>
    <w:rsid w:val="00926408"/>
    <w:rsid w:val="00927407"/>
    <w:rsid w:val="0096199E"/>
    <w:rsid w:val="009650AF"/>
    <w:rsid w:val="0098555B"/>
    <w:rsid w:val="009E656C"/>
    <w:rsid w:val="009F2DFA"/>
    <w:rsid w:val="009F37F9"/>
    <w:rsid w:val="00A854D1"/>
    <w:rsid w:val="00A97DBC"/>
    <w:rsid w:val="00AB0A8F"/>
    <w:rsid w:val="00AC3F1B"/>
    <w:rsid w:val="00AD67B3"/>
    <w:rsid w:val="00AF76D8"/>
    <w:rsid w:val="00AF7996"/>
    <w:rsid w:val="00B10732"/>
    <w:rsid w:val="00B13C14"/>
    <w:rsid w:val="00B31A8E"/>
    <w:rsid w:val="00B5171E"/>
    <w:rsid w:val="00B871BC"/>
    <w:rsid w:val="00B96CB0"/>
    <w:rsid w:val="00BA073A"/>
    <w:rsid w:val="00BD7FA9"/>
    <w:rsid w:val="00BE3914"/>
    <w:rsid w:val="00BF34B2"/>
    <w:rsid w:val="00C01671"/>
    <w:rsid w:val="00C17403"/>
    <w:rsid w:val="00C24CFD"/>
    <w:rsid w:val="00C46BFA"/>
    <w:rsid w:val="00C57578"/>
    <w:rsid w:val="00C60215"/>
    <w:rsid w:val="00C63BE9"/>
    <w:rsid w:val="00C95B07"/>
    <w:rsid w:val="00CA3953"/>
    <w:rsid w:val="00CB3623"/>
    <w:rsid w:val="00CC7A8C"/>
    <w:rsid w:val="00CD73D0"/>
    <w:rsid w:val="00CD7EF1"/>
    <w:rsid w:val="00CF1F93"/>
    <w:rsid w:val="00D122FE"/>
    <w:rsid w:val="00D25514"/>
    <w:rsid w:val="00D412BF"/>
    <w:rsid w:val="00D828A4"/>
    <w:rsid w:val="00D86F93"/>
    <w:rsid w:val="00D959B2"/>
    <w:rsid w:val="00D97145"/>
    <w:rsid w:val="00DB2970"/>
    <w:rsid w:val="00DC43EB"/>
    <w:rsid w:val="00DD4B12"/>
    <w:rsid w:val="00DD733E"/>
    <w:rsid w:val="00DD7397"/>
    <w:rsid w:val="00E150A4"/>
    <w:rsid w:val="00E208B1"/>
    <w:rsid w:val="00E243B4"/>
    <w:rsid w:val="00E25722"/>
    <w:rsid w:val="00E37918"/>
    <w:rsid w:val="00E56586"/>
    <w:rsid w:val="00E6790E"/>
    <w:rsid w:val="00E70DDA"/>
    <w:rsid w:val="00E86AD1"/>
    <w:rsid w:val="00EA3175"/>
    <w:rsid w:val="00EB4C1A"/>
    <w:rsid w:val="00EC1F0D"/>
    <w:rsid w:val="00EC4109"/>
    <w:rsid w:val="00EE362E"/>
    <w:rsid w:val="00F04914"/>
    <w:rsid w:val="00F34B1B"/>
    <w:rsid w:val="00F35D27"/>
    <w:rsid w:val="00F41620"/>
    <w:rsid w:val="00F42B85"/>
    <w:rsid w:val="00F53186"/>
    <w:rsid w:val="00F636EE"/>
    <w:rsid w:val="00F70312"/>
    <w:rsid w:val="00F83F01"/>
    <w:rsid w:val="00FB5C13"/>
    <w:rsid w:val="00FB6690"/>
    <w:rsid w:val="00FC1182"/>
    <w:rsid w:val="00FD3059"/>
    <w:rsid w:val="00FD61C5"/>
    <w:rsid w:val="00FE1927"/>
    <w:rsid w:val="00FF17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65B8"/>
  <w15:docId w15:val="{7D316BC5-634C-44D5-90E9-E90F0BBE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D86F93"/>
    <w:rPr>
      <w:color w:val="0000FF"/>
      <w:u w:val="single"/>
    </w:rPr>
  </w:style>
  <w:style w:type="character" w:styleId="PouitHypertextovPrepojenie">
    <w:name w:val="FollowedHyperlink"/>
    <w:basedOn w:val="Predvolenpsmoodseku"/>
    <w:uiPriority w:val="99"/>
    <w:semiHidden/>
    <w:unhideWhenUsed/>
    <w:rsid w:val="00D86F93"/>
    <w:rPr>
      <w:color w:val="800080" w:themeColor="followedHyperlink"/>
      <w:u w:val="single"/>
    </w:rPr>
  </w:style>
  <w:style w:type="character" w:styleId="Odkaznakomentr">
    <w:name w:val="annotation reference"/>
    <w:basedOn w:val="Predvolenpsmoodseku"/>
    <w:uiPriority w:val="99"/>
    <w:semiHidden/>
    <w:unhideWhenUsed/>
    <w:rsid w:val="00E6790E"/>
    <w:rPr>
      <w:sz w:val="16"/>
      <w:szCs w:val="16"/>
    </w:rPr>
  </w:style>
  <w:style w:type="paragraph" w:styleId="Textkomentra">
    <w:name w:val="annotation text"/>
    <w:basedOn w:val="Normlny"/>
    <w:link w:val="TextkomentraChar"/>
    <w:uiPriority w:val="99"/>
    <w:semiHidden/>
    <w:unhideWhenUsed/>
    <w:rsid w:val="00E6790E"/>
  </w:style>
  <w:style w:type="character" w:customStyle="1" w:styleId="TextkomentraChar">
    <w:name w:val="Text komentára Char"/>
    <w:basedOn w:val="Predvolenpsmoodseku"/>
    <w:link w:val="Textkomentra"/>
    <w:uiPriority w:val="99"/>
    <w:semiHidden/>
    <w:rsid w:val="00E6790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6790E"/>
    <w:rPr>
      <w:b/>
      <w:bCs/>
    </w:rPr>
  </w:style>
  <w:style w:type="character" w:customStyle="1" w:styleId="PredmetkomentraChar">
    <w:name w:val="Predmet komentára Char"/>
    <w:basedOn w:val="TextkomentraChar"/>
    <w:link w:val="Predmetkomentra"/>
    <w:uiPriority w:val="99"/>
    <w:semiHidden/>
    <w:rsid w:val="00E6790E"/>
    <w:rPr>
      <w:rFonts w:ascii="Times New Roman" w:eastAsia="Times New Roman" w:hAnsi="Times New Roman" w:cs="Times New Roman"/>
      <w:b/>
      <w:bCs/>
      <w:sz w:val="20"/>
      <w:szCs w:val="20"/>
      <w:lang w:eastAsia="sk-SK"/>
    </w:rPr>
  </w:style>
  <w:style w:type="paragraph" w:styleId="Obyajntext">
    <w:name w:val="Plain Text"/>
    <w:basedOn w:val="Normlny"/>
    <w:link w:val="ObyajntextChar"/>
    <w:uiPriority w:val="99"/>
    <w:semiHidden/>
    <w:unhideWhenUsed/>
    <w:rsid w:val="00493C8C"/>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493C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20329">
      <w:bodyDiv w:val="1"/>
      <w:marLeft w:val="0"/>
      <w:marRight w:val="0"/>
      <w:marTop w:val="0"/>
      <w:marBottom w:val="0"/>
      <w:divBdr>
        <w:top w:val="none" w:sz="0" w:space="0" w:color="auto"/>
        <w:left w:val="none" w:sz="0" w:space="0" w:color="auto"/>
        <w:bottom w:val="none" w:sz="0" w:space="0" w:color="auto"/>
        <w:right w:val="none" w:sz="0" w:space="0" w:color="auto"/>
      </w:divBdr>
    </w:div>
    <w:div w:id="1443497511">
      <w:bodyDiv w:val="1"/>
      <w:marLeft w:val="0"/>
      <w:marRight w:val="0"/>
      <w:marTop w:val="0"/>
      <w:marBottom w:val="0"/>
      <w:divBdr>
        <w:top w:val="none" w:sz="0" w:space="0" w:color="auto"/>
        <w:left w:val="none" w:sz="0" w:space="0" w:color="auto"/>
        <w:bottom w:val="none" w:sz="0" w:space="0" w:color="auto"/>
        <w:right w:val="none" w:sz="0" w:space="0" w:color="auto"/>
      </w:divBdr>
    </w:div>
    <w:div w:id="15526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p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f:fields xmlns:f="http://schemas.fabasoft.com/folio/2007/fields">
  <f:record ref="">
    <f:field ref="objname" par="" edit="true" text="05_doložka_podnikateľské_21-10-2016"/>
    <f:field ref="objsubject" par="" edit="true" text=""/>
    <f:field ref="objcreatedby" par="" text="Zubková, Katarína"/>
    <f:field ref="objcreatedat" par="" text="22.11.2016 15:32:01"/>
    <f:field ref="objchangedby" par="" text="Administrator, System"/>
    <f:field ref="objmodifiedat" par="" text="22.11.2016 15:32: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1C9B-226B-442F-B264-B452EA50DF4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590BCE1-7FDE-4307-97E3-90DFC6709C63}">
  <ds:schemaRefs>
    <ds:schemaRef ds:uri="http://schemas.microsoft.com/sharepoint/v3/contenttype/forms"/>
  </ds:schemaRefs>
</ds:datastoreItem>
</file>

<file path=customXml/itemProps3.xml><?xml version="1.0" encoding="utf-8"?>
<ds:datastoreItem xmlns:ds="http://schemas.openxmlformats.org/officeDocument/2006/customXml" ds:itemID="{71BF363B-2B9D-4CE1-9B61-8817791F6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87D63BDE-B6C5-4E80-826B-881321B9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1070</Words>
  <Characters>6100</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Guzmová Janka</cp:lastModifiedBy>
  <cp:revision>8</cp:revision>
  <cp:lastPrinted>2021-02-19T08:09:00Z</cp:lastPrinted>
  <dcterms:created xsi:type="dcterms:W3CDTF">2020-12-09T13:17:00Z</dcterms:created>
  <dcterms:modified xsi:type="dcterms:W3CDTF">2021-02-19T08:09:00Z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prostredie_x000d_
Príroda a krajina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Katarína Zubková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Návrh Programu starostlivosti o Chránené vtáčie územie Horná Orava na roky 2017 – 2046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892/2010  </vt:lpwstr>
  </property>
  <property fmtid="{D5CDD505-2E9C-101B-9397-08002B2CF9AE}" pid="23" name="FSC#SKEDITIONSLOVLEX@103.510:plnynazovpredpis">
    <vt:lpwstr> Návrh Programu starostlivosti o Chránené vtáčie územie Horná Orava na roky 2017 – 2046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8114/2016-6.1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LP/2016/1037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10. 11. 2016</vt:lpwstr>
  </property>
  <property fmtid="{D5CDD505-2E9C-101B-9397-08002B2CF9AE}" pid="59" name="FSC#SKEDITIONSLOVLEX@103.510:AttrDateDocPropUkonceniePKK">
    <vt:lpwstr>18. 11. 2016</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Stav ochrany druhov, biotopov a časti krajiny v CHVÚ Horná Orava vo všeobecnosti ovplyvňuje najmä poľnohospodárstvo, lesné hospodárstvo, vodné hospodárstvo, človekom spôsobené zmeny prírodných podmienok a aktivity (urbanizácia, cestovný ruch a infraštrukt</vt:lpwstr>
  </property>
  <property fmtid="{D5CDD505-2E9C-101B-9397-08002B2CF9AE}" pid="66" name="FSC#SKEDITIONSLOVLEX@103.510:AttrStrListDocPropAltRiesenia">
    <vt:lpwstr>Možnosti využitia opatrení s pozitívnym vplyvom na prírodu a krajinu financované zo zdrojov Európskeho spoločenstva.Na odstránenie definovaných problémov boli relevantné opatrenia s pozitívnym vplyvom na prírodu a krajinu zaradené medzi oprávnené aktivity</vt:lpwstr>
  </property>
  <property fmtid="{D5CDD505-2E9C-101B-9397-08002B2CF9AE}" pid="67" name="FSC#SKEDITIONSLOVLEX@103.510:AttrStrListDocPropStanoviskoGest">
    <vt:lpwstr>Stanovisko Komisie pre posudzovanie vybraných vplyvov (list číslo 296/2016 zo dňa 18. novembra.2016 doručený elektronicky 18. novembra 2016 v rámci predbežného pripomienkového konania):I. Úvod: Ministerstvo životného prostredia Slovenskej republiky dňa 10</vt:lpwstr>
  </property>
  <property fmtid="{D5CDD505-2E9C-101B-9397-08002B2CF9AE}" pid="68" name="FSC#SKEDITIONSLOVLEX@103.510:AttrStrListDocPropTextKomunike">
    <vt:lpwstr>Vláda Slovenskej republiky na svojom zasadnutí dňa...................... prerokovala a schválila Program starostlivosti o Chránené vtáčie územie Horná Orava na roky 2017 - 2046. Program obsahuje ciele starostlivosti a pravidlá trvalo udržateľného územia t</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životného prostredia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Predloženie uvedeného materiálu vyplýva z&amp;nbsp;uznesenia vlády Slovenskej republiky č. 892 z&amp;nbsp;15. decembra 2010, ktorým bol schválený Plán práce vlády S</vt:lpwstr>
  </property>
  <property fmtid="{D5CDD505-2E9C-101B-9397-08002B2CF9AE}" pid="150" name="FSC#COOSYSTEM@1.1:Container">
    <vt:lpwstr>COO.2145.1000.3.1696740</vt:lpwstr>
  </property>
  <property fmtid="{D5CDD505-2E9C-101B-9397-08002B2CF9AE}" pid="151" name="FSC#FSCFOLIO@1.1001:docpropproject">
    <vt:lpwstr/>
  </property>
</Properties>
</file>