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F586" w14:textId="13018AD0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54070F10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1522F146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2DD9BC8B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15FE8BA1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788EB68F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58557D42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3F66BE" w14:textId="77777777" w:rsidR="003501A1" w:rsidRPr="00A179AE" w:rsidRDefault="00E14F74" w:rsidP="000E301C">
            <w:pPr>
              <w:spacing w:after="60"/>
            </w:pPr>
            <w:r>
              <w:rPr>
                <w:rFonts w:ascii="Times" w:hAnsi="Times" w:cs="Times"/>
              </w:rPr>
              <w:t xml:space="preserve">Nariadenie vlády Slovenskej republiky, ktorým sa vyhlasuje </w:t>
            </w:r>
            <w:r w:rsidR="000E301C">
              <w:rPr>
                <w:rFonts w:ascii="Times" w:hAnsi="Times" w:cs="Times"/>
              </w:rPr>
              <w:t>chránený areál Temešská skala</w:t>
            </w:r>
          </w:p>
        </w:tc>
      </w:tr>
      <w:tr w:rsidR="003501A1" w:rsidRPr="00A179AE" w14:paraId="118287F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62B33EF1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2A4026F9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A684C4" w14:textId="77777777" w:rsidR="003501A1" w:rsidRPr="00A179AE" w:rsidRDefault="00926D39" w:rsidP="00926D39">
            <w:pPr>
              <w:spacing w:after="60"/>
            </w:pPr>
            <w:r>
              <w:rPr>
                <w:rFonts w:ascii="Times" w:hAnsi="Times" w:cs="Times"/>
              </w:rPr>
              <w:t>Ministerstvo životného prostredia Slovenskej republiky</w:t>
            </w:r>
          </w:p>
        </w:tc>
      </w:tr>
      <w:tr w:rsidR="003501A1" w:rsidRPr="00A179AE" w14:paraId="06D45CCB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7A23FB24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166885E" w14:textId="77777777" w:rsidR="003501A1" w:rsidRPr="00A179AE" w:rsidRDefault="00E14F7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A5464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6ED6AAB7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1BF890C5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9D691CF" w14:textId="77777777" w:rsidR="003501A1" w:rsidRPr="00A179AE" w:rsidRDefault="00E14F7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A48D8A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36989648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C60288A" w14:textId="77777777"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0000BED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D65C1D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64811A0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16CA2884" w14:textId="77777777" w:rsidR="003501A1" w:rsidRPr="00C1030C" w:rsidRDefault="003501A1" w:rsidP="007B71A4">
            <w:pPr>
              <w:rPr>
                <w:i/>
              </w:rPr>
            </w:pPr>
            <w:r w:rsidRPr="00C1030C">
              <w:rPr>
                <w:i/>
              </w:rPr>
              <w:t>V prípade transpozície uveďte zoznam transponovaných predpisov:</w:t>
            </w:r>
          </w:p>
        </w:tc>
      </w:tr>
      <w:tr w:rsidR="003501A1" w:rsidRPr="00A179AE" w14:paraId="7710D9FB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7D17D94" w14:textId="77777777" w:rsidR="003501A1" w:rsidRPr="00A179AE" w:rsidRDefault="003501A1" w:rsidP="00926D39">
            <w:pPr>
              <w:pStyle w:val="Odsekzoznamu"/>
              <w:spacing w:after="12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F39" w14:textId="57D8E28F" w:rsidR="003501A1" w:rsidRPr="00DC3B60" w:rsidRDefault="000D27BB" w:rsidP="00E14F74">
            <w:pPr>
              <w:rPr>
                <w:i/>
              </w:rPr>
            </w:pPr>
            <w:r>
              <w:rPr>
                <w:i/>
              </w:rPr>
              <w:t>29.01-16.02.</w:t>
            </w:r>
            <w:r w:rsidR="00DD0D9A" w:rsidRPr="00DC3B60">
              <w:rPr>
                <w:i/>
              </w:rPr>
              <w:t>20</w:t>
            </w:r>
            <w:r w:rsidR="0068316C">
              <w:rPr>
                <w:i/>
              </w:rPr>
              <w:t>2</w:t>
            </w:r>
            <w:r w:rsidR="00181779">
              <w:rPr>
                <w:i/>
              </w:rPr>
              <w:t>1</w:t>
            </w:r>
          </w:p>
        </w:tc>
      </w:tr>
      <w:tr w:rsidR="003501A1" w:rsidRPr="00A179AE" w14:paraId="71D94C80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C876EF0" w14:textId="77777777" w:rsidR="003501A1" w:rsidRPr="00651F45" w:rsidRDefault="003501A1" w:rsidP="00651F45">
            <w:pPr>
              <w:pStyle w:val="Odsekzoznamu"/>
              <w:spacing w:after="120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51F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Predpokladaný termín predloženia na MPK</w:t>
            </w:r>
            <w:r w:rsidR="00F62771" w:rsidRPr="00651F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7A9" w14:textId="0DEF5414" w:rsidR="003501A1" w:rsidRPr="00DC3B60" w:rsidRDefault="00295AB5" w:rsidP="00E14F74">
            <w:pPr>
              <w:jc w:val="both"/>
              <w:rPr>
                <w:i/>
              </w:rPr>
            </w:pPr>
            <w:r w:rsidRPr="00295AB5">
              <w:rPr>
                <w:i/>
              </w:rPr>
              <w:t>26.02 – 18.03.2021</w:t>
            </w:r>
          </w:p>
        </w:tc>
      </w:tr>
      <w:tr w:rsidR="003501A1" w:rsidRPr="00A179AE" w14:paraId="654F4033" w14:textId="77777777" w:rsidTr="007F0F79">
        <w:trPr>
          <w:trHeight w:val="545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58D019" w14:textId="77777777" w:rsidR="003501A1" w:rsidRPr="00A179AE" w:rsidRDefault="003501A1" w:rsidP="00926D39">
            <w:pPr>
              <w:pStyle w:val="Odsekzoznamu"/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3D3" w14:textId="12A8E386" w:rsidR="003501A1" w:rsidRPr="00DC3B60" w:rsidRDefault="00295AB5" w:rsidP="00E14F74">
            <w:pPr>
              <w:rPr>
                <w:i/>
              </w:rPr>
            </w:pPr>
            <w:r>
              <w:rPr>
                <w:i/>
              </w:rPr>
              <w:t xml:space="preserve">apríl </w:t>
            </w:r>
            <w:r w:rsidRPr="00DC3B60">
              <w:rPr>
                <w:i/>
              </w:rPr>
              <w:t xml:space="preserve"> </w:t>
            </w:r>
            <w:r w:rsidR="00DD0D9A" w:rsidRPr="00DC3B60">
              <w:rPr>
                <w:i/>
              </w:rPr>
              <w:t>20</w:t>
            </w:r>
            <w:r w:rsidR="0068316C">
              <w:rPr>
                <w:i/>
              </w:rPr>
              <w:t>2</w:t>
            </w:r>
            <w:r w:rsidR="000424BF">
              <w:rPr>
                <w:i/>
              </w:rPr>
              <w:t>1</w:t>
            </w:r>
          </w:p>
        </w:tc>
      </w:tr>
      <w:tr w:rsidR="003501A1" w:rsidRPr="00A179AE" w14:paraId="4B691A6C" w14:textId="77777777" w:rsidTr="007F0F79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EC99B" w14:textId="77777777" w:rsidR="003501A1" w:rsidRPr="00A179AE" w:rsidRDefault="003501A1" w:rsidP="007B71A4"/>
        </w:tc>
      </w:tr>
      <w:tr w:rsidR="003501A1" w:rsidRPr="00A179AE" w14:paraId="76F161D9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A277648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32AE6E12" w14:textId="77777777" w:rsidTr="00926D39">
        <w:trPr>
          <w:trHeight w:val="500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3BCCB" w14:textId="6C3647C0" w:rsidR="003501A1" w:rsidRPr="00A179AE" w:rsidRDefault="00E14F74" w:rsidP="00BA093B">
            <w:pPr>
              <w:jc w:val="both"/>
              <w:rPr>
                <w:b/>
              </w:rPr>
            </w:pPr>
            <w:r w:rsidRPr="00E14F74">
              <w:rPr>
                <w:rFonts w:ascii="Times" w:hAnsi="Times" w:cs="Times"/>
              </w:rPr>
              <w:t xml:space="preserve">Nedostatočné plnenie záväzkov Slovenskej republiky vyplývajúcich z čl. 4 ods. 4 smernice Rady 92/43/EHS z 21. mája 1992 o ochrane prirodzených biotopov a voľne žijúcich živočíchov a rastlín </w:t>
            </w:r>
            <w:r w:rsidR="00BA093B" w:rsidRPr="00C9674F">
              <w:rPr>
                <w:rFonts w:ascii="Times" w:hAnsi="Times" w:cs="Times"/>
              </w:rPr>
              <w:t>(Ú. v. ES L 206, 22.7.1992; Mimoriadne vydanie Ú. v. EÚ, kap. 15/zv. 2) v platnom znení (ďalej len „smernica 92/43/EHS v platnom znení“)</w:t>
            </w:r>
            <w:r w:rsidR="0068316C">
              <w:rPr>
                <w:rFonts w:ascii="Times" w:hAnsi="Times" w:cs="Times"/>
              </w:rPr>
              <w:t xml:space="preserve"> </w:t>
            </w:r>
            <w:r w:rsidRPr="00E14F74">
              <w:rPr>
                <w:rFonts w:ascii="Times" w:hAnsi="Times" w:cs="Times"/>
              </w:rPr>
              <w:t xml:space="preserve">pokiaľ ide </w:t>
            </w:r>
            <w:r>
              <w:rPr>
                <w:rFonts w:ascii="Times" w:hAnsi="Times" w:cs="Times"/>
              </w:rPr>
              <w:t xml:space="preserve">o </w:t>
            </w:r>
            <w:r w:rsidRPr="00E14F74">
              <w:rPr>
                <w:rFonts w:ascii="Times" w:hAnsi="Times" w:cs="Times"/>
              </w:rPr>
              <w:t xml:space="preserve">vyhlasovanie lokalít zapísaných v zozname lokalít európskeho významu. </w:t>
            </w:r>
            <w:r w:rsidR="0068316C">
              <w:rPr>
                <w:rFonts w:ascii="Times" w:hAnsi="Times" w:cs="Times"/>
              </w:rPr>
              <w:t xml:space="preserve">Dôvodom vyhlásenia </w:t>
            </w:r>
            <w:r w:rsidR="0091488B">
              <w:rPr>
                <w:rFonts w:ascii="Times" w:hAnsi="Times" w:cs="Times"/>
              </w:rPr>
              <w:t xml:space="preserve">navrhovaného chráneného areálu </w:t>
            </w:r>
            <w:r w:rsidR="00BA093B">
              <w:rPr>
                <w:rFonts w:ascii="Times" w:hAnsi="Times" w:cs="Times"/>
              </w:rPr>
              <w:t xml:space="preserve">(CHA) </w:t>
            </w:r>
            <w:r w:rsidR="0091488B">
              <w:rPr>
                <w:rFonts w:ascii="Times" w:hAnsi="Times" w:cs="Times"/>
              </w:rPr>
              <w:t>Temešská skala</w:t>
            </w:r>
            <w:r w:rsidR="003A54D9">
              <w:rPr>
                <w:rFonts w:ascii="Times" w:hAnsi="Times" w:cs="Times"/>
              </w:rPr>
              <w:t xml:space="preserve"> </w:t>
            </w:r>
            <w:r w:rsidR="00BA093B">
              <w:rPr>
                <w:rFonts w:ascii="Times" w:hAnsi="Times" w:cs="Times"/>
              </w:rPr>
              <w:t>je aj formálne</w:t>
            </w:r>
            <w:r w:rsidR="0068316C">
              <w:rPr>
                <w:rFonts w:ascii="Times" w:hAnsi="Times" w:cs="Times"/>
              </w:rPr>
              <w:t xml:space="preserve"> </w:t>
            </w:r>
            <w:r w:rsidR="00BA093B">
              <w:rPr>
                <w:rFonts w:ascii="Times" w:hAnsi="Times" w:cs="Times"/>
              </w:rPr>
              <w:t>oznámenie</w:t>
            </w:r>
            <w:r w:rsidR="0068316C">
              <w:rPr>
                <w:rFonts w:ascii="Times" w:hAnsi="Times" w:cs="Times"/>
              </w:rPr>
              <w:t xml:space="preserve"> </w:t>
            </w:r>
            <w:r w:rsidR="00BA093B" w:rsidRPr="00C36ABE">
              <w:rPr>
                <w:rFonts w:ascii="Times" w:hAnsi="Times" w:cs="Times"/>
              </w:rPr>
              <w:t>v rámci konania o porušení zmlúv č. 2019/2141</w:t>
            </w:r>
            <w:r w:rsidR="00BA093B">
              <w:rPr>
                <w:rFonts w:ascii="Times" w:hAnsi="Times" w:cs="Times"/>
              </w:rPr>
              <w:t xml:space="preserve">, </w:t>
            </w:r>
            <w:r w:rsidR="000424BF" w:rsidRPr="000424BF">
              <w:rPr>
                <w:rFonts w:ascii="Times" w:hAnsi="Times" w:cs="Times"/>
              </w:rPr>
              <w:t>ktoré sa týka nedostatočného vyhlasovania lokalít európskeho významu a stanovenia cieľov ochrany a opatrení na ich dosiahnutie (napr. v rámci programov starostlivosti).</w:t>
            </w:r>
          </w:p>
        </w:tc>
      </w:tr>
      <w:tr w:rsidR="003501A1" w:rsidRPr="00A179AE" w14:paraId="60EA8979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C1767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055DBF42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36C" w14:textId="77777777" w:rsidR="003501A1" w:rsidRPr="00A179AE" w:rsidRDefault="00E14F74" w:rsidP="0091488B">
            <w:pPr>
              <w:jc w:val="both"/>
            </w:pPr>
            <w:r>
              <w:rPr>
                <w:rFonts w:ascii="Times" w:hAnsi="Times" w:cs="Times"/>
              </w:rPr>
              <w:t>Zabezpečenie priaznivého st</w:t>
            </w:r>
            <w:r w:rsidR="003A54D9">
              <w:rPr>
                <w:rFonts w:ascii="Times" w:hAnsi="Times" w:cs="Times"/>
              </w:rPr>
              <w:t>a</w:t>
            </w:r>
            <w:r w:rsidR="0091488B">
              <w:rPr>
                <w:rFonts w:ascii="Times" w:hAnsi="Times" w:cs="Times"/>
              </w:rPr>
              <w:t xml:space="preserve">vu biotopov európskeho významu a </w:t>
            </w:r>
            <w:r>
              <w:rPr>
                <w:rFonts w:ascii="Times" w:hAnsi="Times" w:cs="Times"/>
              </w:rPr>
              <w:t>biotop</w:t>
            </w:r>
            <w:r w:rsidR="003A54D9">
              <w:rPr>
                <w:rFonts w:ascii="Times" w:hAnsi="Times" w:cs="Times"/>
              </w:rPr>
              <w:t>ov</w:t>
            </w:r>
            <w:r>
              <w:rPr>
                <w:rFonts w:ascii="Times" w:hAnsi="Times" w:cs="Times"/>
              </w:rPr>
              <w:t xml:space="preserve"> druh</w:t>
            </w:r>
            <w:r w:rsidR="003A54D9">
              <w:rPr>
                <w:rFonts w:ascii="Times" w:hAnsi="Times" w:cs="Times"/>
              </w:rPr>
              <w:t>ov</w:t>
            </w:r>
            <w:r>
              <w:rPr>
                <w:rFonts w:ascii="Times" w:hAnsi="Times" w:cs="Times"/>
              </w:rPr>
              <w:t xml:space="preserve"> </w:t>
            </w:r>
            <w:r w:rsidR="003A54D9">
              <w:rPr>
                <w:rFonts w:ascii="Times" w:hAnsi="Times" w:cs="Times"/>
              </w:rPr>
              <w:t xml:space="preserve">európskeho a </w:t>
            </w:r>
            <w:r w:rsidR="00E17E5F">
              <w:rPr>
                <w:rFonts w:ascii="Times" w:hAnsi="Times" w:cs="Times"/>
              </w:rPr>
              <w:t xml:space="preserve">národného </w:t>
            </w:r>
            <w:r>
              <w:rPr>
                <w:rFonts w:ascii="Times" w:hAnsi="Times" w:cs="Times"/>
              </w:rPr>
              <w:t>významu, ktoré s</w:t>
            </w:r>
            <w:r w:rsidR="003A54D9">
              <w:rPr>
                <w:rFonts w:ascii="Times" w:hAnsi="Times" w:cs="Times"/>
              </w:rPr>
              <w:t>ú predmetom ochrany navrhovan</w:t>
            </w:r>
            <w:r w:rsidR="0091488B">
              <w:rPr>
                <w:rFonts w:ascii="Times" w:hAnsi="Times" w:cs="Times"/>
              </w:rPr>
              <w:t>ého</w:t>
            </w:r>
            <w:r>
              <w:rPr>
                <w:rFonts w:ascii="Times" w:hAnsi="Times" w:cs="Times"/>
              </w:rPr>
              <w:t xml:space="preserve"> </w:t>
            </w:r>
            <w:r w:rsidR="0091488B">
              <w:rPr>
                <w:rFonts w:ascii="Times" w:hAnsi="Times" w:cs="Times"/>
              </w:rPr>
              <w:t>CHA Temešská skala</w:t>
            </w:r>
            <w:r w:rsidR="0068316C">
              <w:rPr>
                <w:rFonts w:ascii="Times" w:hAnsi="Times" w:cs="Times"/>
              </w:rPr>
              <w:t xml:space="preserve"> </w:t>
            </w:r>
            <w:r w:rsidR="00926D39"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 xml:space="preserve">  </w:t>
            </w:r>
            <w:r w:rsidR="00926D39">
              <w:rPr>
                <w:rFonts w:ascii="Times" w:hAnsi="Times" w:cs="Times"/>
              </w:rPr>
              <w:t>zároveň zabezpeč</w:t>
            </w:r>
            <w:r>
              <w:rPr>
                <w:rFonts w:ascii="Times" w:hAnsi="Times" w:cs="Times"/>
              </w:rPr>
              <w:t>enie</w:t>
            </w:r>
            <w:r w:rsidR="00926D39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plnenia </w:t>
            </w:r>
            <w:r w:rsidR="00926D39">
              <w:rPr>
                <w:rFonts w:ascii="Times" w:hAnsi="Times" w:cs="Times"/>
              </w:rPr>
              <w:t>medzinárodn</w:t>
            </w:r>
            <w:r>
              <w:rPr>
                <w:rFonts w:ascii="Times" w:hAnsi="Times" w:cs="Times"/>
              </w:rPr>
              <w:t>ých</w:t>
            </w:r>
            <w:r w:rsidR="00926D39">
              <w:rPr>
                <w:rFonts w:ascii="Times" w:hAnsi="Times" w:cs="Times"/>
              </w:rPr>
              <w:t xml:space="preserve"> záväzk</w:t>
            </w:r>
            <w:r>
              <w:rPr>
                <w:rFonts w:ascii="Times" w:hAnsi="Times" w:cs="Times"/>
              </w:rPr>
              <w:t>ov</w:t>
            </w:r>
            <w:r w:rsidR="00926D39">
              <w:rPr>
                <w:rFonts w:ascii="Times" w:hAnsi="Times" w:cs="Times"/>
              </w:rPr>
              <w:t xml:space="preserve"> ochrany európskej sústavy chránených území Natura 2000. </w:t>
            </w:r>
          </w:p>
        </w:tc>
      </w:tr>
      <w:tr w:rsidR="003501A1" w:rsidRPr="00A179AE" w14:paraId="3BAB56A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7F033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14:paraId="43D24776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3B3C" w14:textId="77777777" w:rsidR="003501A1" w:rsidRPr="00A179AE" w:rsidRDefault="00926D39" w:rsidP="007B71A4">
            <w:pPr>
              <w:rPr>
                <w:i/>
              </w:rPr>
            </w:pPr>
            <w:r>
              <w:rPr>
                <w:rFonts w:ascii="Times" w:hAnsi="Times" w:cs="Times"/>
              </w:rPr>
              <w:t>Vlastníci, správcovia a nájomcovia dotknutých pozemkov, obce, záujmové združenia, dotknuté orgány št</w:t>
            </w:r>
            <w:r w:rsidR="00462D0C">
              <w:rPr>
                <w:rFonts w:ascii="Times" w:hAnsi="Times" w:cs="Times"/>
              </w:rPr>
              <w:t>átnej správy, vráta</w:t>
            </w:r>
            <w:r>
              <w:rPr>
                <w:rFonts w:ascii="Times" w:hAnsi="Times" w:cs="Times"/>
              </w:rPr>
              <w:t>ne dotknutých organizácií v ich zriaďovacej pôsobnosti, verejnosť.</w:t>
            </w:r>
          </w:p>
        </w:tc>
      </w:tr>
      <w:tr w:rsidR="003501A1" w:rsidRPr="00A179AE" w14:paraId="73B7E6A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0C4B7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14:paraId="1518CDD4" w14:textId="77777777" w:rsidTr="00E14F74">
        <w:trPr>
          <w:trHeight w:val="45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86703" w14:textId="77777777" w:rsidR="001335AD" w:rsidRPr="00C57B8E" w:rsidRDefault="001335AD" w:rsidP="001335AD">
            <w:pPr>
              <w:rPr>
                <w:i/>
              </w:rPr>
            </w:pPr>
            <w:r w:rsidRPr="00B1366E">
              <w:t xml:space="preserve">Alternatívne riešenie sa týka </w:t>
            </w:r>
            <w:r w:rsidR="003A54D9">
              <w:t xml:space="preserve">celkovo vyhlásenia/nevyhlásenia </w:t>
            </w:r>
            <w:r w:rsidR="0091488B">
              <w:t>CHA Temešská skala</w:t>
            </w:r>
            <w:r w:rsidRPr="00B1366E">
              <w:t>.</w:t>
            </w:r>
          </w:p>
          <w:p w14:paraId="5034CFE8" w14:textId="421490A0" w:rsidR="003501A1" w:rsidRPr="00E14F74" w:rsidRDefault="0068316C" w:rsidP="0091488B">
            <w:pPr>
              <w:jc w:val="both"/>
              <w:rPr>
                <w:i/>
              </w:rPr>
            </w:pPr>
            <w:r>
              <w:rPr>
                <w:iCs/>
              </w:rPr>
              <w:t xml:space="preserve">Dôvodom vyhlásenia </w:t>
            </w:r>
            <w:r w:rsidR="0091488B">
              <w:rPr>
                <w:iCs/>
              </w:rPr>
              <w:t xml:space="preserve">CHA Temešská skala </w:t>
            </w:r>
            <w:r>
              <w:rPr>
                <w:iCs/>
              </w:rPr>
              <w:t xml:space="preserve">je splnenie </w:t>
            </w:r>
            <w:r w:rsidR="005F06BD">
              <w:rPr>
                <w:iCs/>
              </w:rPr>
              <w:t>požiadavky vyplývajúcej z čl.</w:t>
            </w:r>
            <w:r>
              <w:rPr>
                <w:iCs/>
              </w:rPr>
              <w:t xml:space="preserve"> 4 ods. 4 </w:t>
            </w:r>
            <w:r w:rsidR="005F06BD" w:rsidRPr="005F06BD">
              <w:rPr>
                <w:iCs/>
              </w:rPr>
              <w:t>smernice 92/43/EHS v platnom znení</w:t>
            </w:r>
            <w:r>
              <w:rPr>
                <w:iCs/>
              </w:rPr>
              <w:t xml:space="preserve">, podľa ktorého členské štáty určia lokality uvedené v národnom zozname lokalít európskeho významu ako osobitné chránené územia a stanovia priority </w:t>
            </w:r>
            <w:r w:rsidR="000424BF">
              <w:rPr>
                <w:iCs/>
              </w:rPr>
              <w:t xml:space="preserve">a ciele </w:t>
            </w:r>
            <w:r>
              <w:rPr>
                <w:iCs/>
              </w:rPr>
              <w:t xml:space="preserve">v oblasti ochrany a potrebné opatrenia, najneskôr do šiestich rokov. </w:t>
            </w:r>
            <w:r w:rsidRPr="002A69B3">
              <w:t xml:space="preserve">V prípade nevyhlásenia </w:t>
            </w:r>
            <w:r w:rsidR="0091488B" w:rsidRPr="002A69B3">
              <w:t>CHA Temešská skala</w:t>
            </w:r>
            <w:r w:rsidRPr="002A69B3">
              <w:t xml:space="preserve"> nebude splnená požiadavka na vyhlásenie a na stanovenie cieľov ochrany a opatrení na ich dosiahnutie.</w:t>
            </w:r>
          </w:p>
        </w:tc>
      </w:tr>
      <w:tr w:rsidR="003501A1" w:rsidRPr="00A179AE" w14:paraId="65BB6E0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39CE99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19FEEDAF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78C05B" w14:textId="77777777" w:rsidR="003501A1" w:rsidRPr="0068316C" w:rsidRDefault="003501A1" w:rsidP="007B71A4">
            <w:pPr>
              <w:rPr>
                <w:iCs/>
              </w:rPr>
            </w:pPr>
            <w:r w:rsidRPr="0068316C">
              <w:rPr>
                <w:iCs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85DA4" w14:textId="77777777" w:rsidR="003501A1" w:rsidRPr="00A179AE" w:rsidRDefault="00D7208D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AD3CB7" w14:textId="77777777" w:rsidR="003501A1" w:rsidRPr="00A179AE" w:rsidRDefault="00D7208D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304E34B9" w14:textId="77777777" w:rsidTr="0068316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3F104B3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73F5DE34" w14:textId="77777777" w:rsidTr="0068316C">
        <w:trPr>
          <w:trHeight w:hRule="exact" w:val="316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349740D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7F0F79" w:rsidRPr="00A179AE" w14:paraId="2003B272" w14:textId="77777777" w:rsidTr="0068316C">
        <w:trPr>
          <w:trHeight w:val="1134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3A5A55AB" w14:textId="77777777" w:rsidR="007F0F79" w:rsidRDefault="007F0F79" w:rsidP="00BC7674"/>
          <w:p w14:paraId="369566CD" w14:textId="77777777" w:rsidR="007F0F79" w:rsidRDefault="007F0F79" w:rsidP="004C60B8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14:paraId="1C958C9C" w14:textId="77777777" w:rsidR="007F0F79" w:rsidRDefault="007F0F79" w:rsidP="00F22831">
            <w:r>
              <w:t>** nepovinné</w:t>
            </w:r>
          </w:p>
          <w:p w14:paraId="303FF0C0" w14:textId="77777777" w:rsidR="007F0F79" w:rsidRPr="00A179AE" w:rsidRDefault="007F0F79" w:rsidP="00F22831"/>
        </w:tc>
      </w:tr>
      <w:tr w:rsidR="003501A1" w:rsidRPr="00A179AE" w14:paraId="0CBF1DF8" w14:textId="77777777" w:rsidTr="00E14F74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48E177D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14:paraId="3DE18562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ED62AD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Cs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EF4770" w14:textId="77777777" w:rsidR="003501A1" w:rsidRPr="0068316C" w:rsidRDefault="00F32FCB" w:rsidP="007B71A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45D31" w14:textId="77777777" w:rsidR="003501A1" w:rsidRPr="0068316C" w:rsidRDefault="003501A1" w:rsidP="007B71A4">
            <w:pPr>
              <w:rPr>
                <w:bCs/>
              </w:rPr>
            </w:pPr>
            <w:r w:rsidRPr="0068316C">
              <w:rPr>
                <w:bCs/>
              </w:rPr>
              <w:t>Pozitívne</w:t>
            </w:r>
          </w:p>
        </w:tc>
        <w:sdt>
          <w:sdtPr>
            <w:rPr>
              <w:bCs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C801E9" w14:textId="77777777" w:rsidR="003501A1" w:rsidRPr="0068316C" w:rsidRDefault="004B1300" w:rsidP="007B71A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E0AB5" w14:textId="77777777" w:rsidR="003501A1" w:rsidRPr="0068316C" w:rsidRDefault="003501A1" w:rsidP="007B71A4">
            <w:pPr>
              <w:rPr>
                <w:bCs/>
              </w:rPr>
            </w:pPr>
            <w:r w:rsidRPr="0068316C">
              <w:rPr>
                <w:bCs/>
              </w:rPr>
              <w:t>Žiadne</w:t>
            </w:r>
          </w:p>
        </w:tc>
        <w:sdt>
          <w:sdtPr>
            <w:rPr>
              <w:bCs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ED8B09" w14:textId="77777777" w:rsidR="003501A1" w:rsidRPr="0068316C" w:rsidRDefault="00926D39" w:rsidP="007B71A4">
                <w:pPr>
                  <w:ind w:left="-107" w:right="-108"/>
                  <w:jc w:val="center"/>
                  <w:rPr>
                    <w:bCs/>
                  </w:rPr>
                </w:pPr>
                <w:r w:rsidRPr="0068316C"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BA479" w14:textId="77777777" w:rsidR="003501A1" w:rsidRPr="0068316C" w:rsidRDefault="003501A1" w:rsidP="007B71A4">
            <w:pPr>
              <w:ind w:left="34"/>
              <w:rPr>
                <w:bCs/>
              </w:rPr>
            </w:pPr>
            <w:r w:rsidRPr="0068316C">
              <w:rPr>
                <w:bCs/>
              </w:rPr>
              <w:t>Negatívne</w:t>
            </w:r>
          </w:p>
        </w:tc>
      </w:tr>
      <w:tr w:rsidR="003501A1" w:rsidRPr="00A179AE" w14:paraId="21B58DE6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0FC6C8C3" w14:textId="77777777"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810913E" w14:textId="77777777" w:rsidR="003501A1" w:rsidRPr="0068316C" w:rsidRDefault="004B1300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0DE67" w14:textId="77777777" w:rsidR="003501A1" w:rsidRPr="0068316C" w:rsidRDefault="003501A1" w:rsidP="007B71A4">
            <w:r w:rsidRPr="0068316C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80D7F4" w14:textId="77777777"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90DF" w14:textId="77777777" w:rsidR="003501A1" w:rsidRPr="0068316C" w:rsidRDefault="003501A1" w:rsidP="007B71A4">
            <w:r w:rsidRPr="0068316C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677DB2" w14:textId="77777777" w:rsidR="003501A1" w:rsidRPr="0068316C" w:rsidRDefault="003501A1" w:rsidP="007B71A4">
                <w:pPr>
                  <w:ind w:left="-107" w:right="-108"/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08D4" w14:textId="77777777" w:rsidR="003501A1" w:rsidRPr="0068316C" w:rsidRDefault="003501A1" w:rsidP="007B71A4">
            <w:pPr>
              <w:ind w:left="34"/>
            </w:pPr>
            <w:r w:rsidRPr="0068316C">
              <w:t>Čiastočne</w:t>
            </w:r>
          </w:p>
        </w:tc>
      </w:tr>
      <w:tr w:rsidR="003501A1" w:rsidRPr="00A179AE" w14:paraId="15CF773F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118513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42AFF8C" w14:textId="6A109716" w:rsidR="003501A1" w:rsidRPr="0068316C" w:rsidRDefault="003836CA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A68EF" w14:textId="77777777"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B8992D" w14:textId="43CDE9E8" w:rsidR="003501A1" w:rsidRPr="0068316C" w:rsidRDefault="003836CA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93308" w14:textId="77777777" w:rsidR="003501A1" w:rsidRPr="0068316C" w:rsidRDefault="003501A1" w:rsidP="007B71A4">
            <w:r w:rsidRPr="0068316C">
              <w:t>Žiadne</w:t>
            </w:r>
          </w:p>
        </w:tc>
        <w:sdt>
          <w:sdt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879219" w14:textId="53A8C919" w:rsidR="003501A1" w:rsidRPr="0068316C" w:rsidRDefault="003836CA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9AE8" w14:textId="77777777"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14:paraId="0A7E6AEA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531E71DE" w14:textId="77777777" w:rsidR="003501A1" w:rsidRPr="00A179AE" w:rsidRDefault="003501A1" w:rsidP="007B71A4">
            <w:r w:rsidRPr="00A179AE">
              <w:lastRenderedPageBreak/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52034483" w14:textId="25D7D324" w:rsidR="003501A1" w:rsidRPr="0068316C" w:rsidRDefault="003836CA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840E3" w14:textId="77777777"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8E2280" w14:textId="59452C27" w:rsidR="003501A1" w:rsidRPr="0068316C" w:rsidRDefault="006C0F33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E60C3" w14:textId="77777777" w:rsidR="003501A1" w:rsidRPr="0068316C" w:rsidRDefault="003501A1" w:rsidP="007B71A4">
            <w:r w:rsidRPr="0068316C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6317FE" w14:textId="25884E7A" w:rsidR="003501A1" w:rsidRPr="0068316C" w:rsidRDefault="003836CA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C4E8D" w14:textId="77777777"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14:paraId="0FA2EFBE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D857DE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AFB6B7" w14:textId="2A9B432B" w:rsidR="003501A1" w:rsidRPr="0068316C" w:rsidRDefault="00123845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166DE" w14:textId="77777777"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D42B11" w14:textId="53F29EE4" w:rsidR="003501A1" w:rsidRPr="0068316C" w:rsidRDefault="00123845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EB8B" w14:textId="77777777" w:rsidR="003501A1" w:rsidRPr="0068316C" w:rsidRDefault="003501A1" w:rsidP="007B71A4">
            <w:r w:rsidRPr="0068316C">
              <w:t>Žiadne</w:t>
            </w:r>
          </w:p>
        </w:tc>
        <w:sdt>
          <w:sdtPr>
            <w:id w:val="-87083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04CE819" w14:textId="011F6EDF" w:rsidR="003501A1" w:rsidRPr="0068316C" w:rsidRDefault="00123845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0CE30" w14:textId="77777777"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14:paraId="11B3F63E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D3F980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id w:val="304755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717AD84" w14:textId="77777777" w:rsidR="003501A1" w:rsidRPr="0068316C" w:rsidRDefault="00926D3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89145" w14:textId="77777777"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099E8B2" w14:textId="77777777"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0CC55" w14:textId="77777777" w:rsidR="003501A1" w:rsidRPr="0068316C" w:rsidRDefault="003501A1" w:rsidP="007B71A4">
            <w:r w:rsidRPr="0068316C">
              <w:t>Žiadne</w:t>
            </w:r>
          </w:p>
        </w:tc>
        <w:sdt>
          <w:sdt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2BA049" w14:textId="77777777"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EE55" w14:textId="77777777"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14:paraId="7EAC6C71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FA6750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5A4A26" w14:textId="77777777"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B3E5E" w14:textId="77777777"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F45637" w14:textId="77777777" w:rsidR="003501A1" w:rsidRPr="0068316C" w:rsidRDefault="00926D3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C736A" w14:textId="77777777" w:rsidR="003501A1" w:rsidRPr="0068316C" w:rsidRDefault="003501A1" w:rsidP="007B71A4">
            <w:r w:rsidRPr="0068316C">
              <w:t>Žiadne</w:t>
            </w:r>
          </w:p>
        </w:tc>
        <w:sdt>
          <w:sdt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049807" w14:textId="77777777"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91B63" w14:textId="77777777"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554F27AA" w14:textId="77777777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C93632" w14:textId="77777777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30DB7B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60C3D2" w14:textId="77777777" w:rsidR="0045465B" w:rsidRPr="0068316C" w:rsidRDefault="0045465B" w:rsidP="00B83402">
            <w:pPr>
              <w:ind w:right="-108"/>
              <w:rPr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45035E" w14:textId="77777777" w:rsidR="0045465B" w:rsidRPr="0068316C" w:rsidRDefault="0045465B" w:rsidP="00B83402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EE9D8" w14:textId="77777777" w:rsidR="0045465B" w:rsidRPr="0068316C" w:rsidRDefault="0045465B" w:rsidP="00B83402">
            <w:pPr>
              <w:rPr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7DBBE3" w14:textId="77777777" w:rsidR="0045465B" w:rsidRPr="0068316C" w:rsidRDefault="0045465B" w:rsidP="00B83402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DEB0D" w14:textId="77777777" w:rsidR="0045465B" w:rsidRPr="0068316C" w:rsidRDefault="0045465B" w:rsidP="00B83402">
            <w:pPr>
              <w:ind w:left="54"/>
              <w:rPr>
                <w:bCs/>
              </w:rPr>
            </w:pPr>
          </w:p>
        </w:tc>
      </w:tr>
      <w:tr w:rsidR="0045465B" w:rsidRPr="009634B3" w14:paraId="073A74CD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8B18BB5" w14:textId="77777777"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53223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2E498EA0" w14:textId="77777777" w:rsidR="0045465B" w:rsidRPr="0068316C" w:rsidRDefault="00631E3A" w:rsidP="00B83402">
                <w:pPr>
                  <w:jc w:val="center"/>
                  <w:rPr>
                    <w:rFonts w:ascii="MS Mincho" w:eastAsia="MS Mincho" w:hAnsi="MS Mincho" w:cs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14ADE" w14:textId="77777777" w:rsidR="0045465B" w:rsidRPr="0068316C" w:rsidRDefault="0045465B" w:rsidP="00B83402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-35981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1D21014" w14:textId="77777777" w:rsidR="0045465B" w:rsidRPr="0068316C" w:rsidRDefault="007F0F79" w:rsidP="00B83402">
                <w:pPr>
                  <w:jc w:val="center"/>
                  <w:rPr>
                    <w:rFonts w:ascii="MS Mincho" w:eastAsia="MS Mincho" w:hAnsi="MS Mincho" w:cs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722E" w14:textId="77777777" w:rsidR="0045465B" w:rsidRPr="0068316C" w:rsidRDefault="0045465B" w:rsidP="00B83402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4148" w14:textId="77777777" w:rsidR="0045465B" w:rsidRPr="0068316C" w:rsidRDefault="0045465B" w:rsidP="00B83402">
            <w:pPr>
              <w:jc w:val="center"/>
              <w:rPr>
                <w:rFonts w:ascii="MS Mincho" w:eastAsia="MS Mincho" w:hAnsi="MS Mincho" w:cs="MS Mincho"/>
                <w:bCs/>
                <w:lang w:eastAsia="en-US"/>
              </w:rPr>
            </w:pPr>
            <w:r w:rsidRPr="0068316C">
              <w:rPr>
                <w:rFonts w:ascii="MS Mincho" w:eastAsia="MS Mincho" w:hAnsi="MS Mincho" w:cs="MS Mincho" w:hint="eastAsia"/>
                <w:bCs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12738" w14:textId="77777777" w:rsidR="0045465B" w:rsidRPr="0068316C" w:rsidRDefault="0045465B" w:rsidP="00562B10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  <w:tr w:rsidR="0045465B" w:rsidRPr="009634B3" w14:paraId="6453C413" w14:textId="77777777" w:rsidTr="00631E3A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9F8DB3" w14:textId="77777777"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528143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0BF2D4" w14:textId="77777777" w:rsidR="0045465B" w:rsidRPr="0068316C" w:rsidRDefault="00631E3A" w:rsidP="00B83402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F90F3" w14:textId="77777777" w:rsidR="0045465B" w:rsidRPr="0068316C" w:rsidRDefault="0045465B" w:rsidP="00B83402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-26634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0187D44" w14:textId="77777777" w:rsidR="0045465B" w:rsidRPr="0068316C" w:rsidRDefault="007F0F79" w:rsidP="00B83402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A5C04" w14:textId="77777777" w:rsidR="0045465B" w:rsidRPr="0068316C" w:rsidRDefault="0045465B" w:rsidP="00B83402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8E146" w14:textId="77777777" w:rsidR="0045465B" w:rsidRPr="0068316C" w:rsidRDefault="0045465B" w:rsidP="00B83402">
            <w:pPr>
              <w:jc w:val="center"/>
              <w:rPr>
                <w:rFonts w:eastAsia="MS Mincho"/>
                <w:bCs/>
                <w:lang w:eastAsia="en-US"/>
              </w:rPr>
            </w:pPr>
            <w:r w:rsidRPr="0068316C">
              <w:rPr>
                <w:rFonts w:ascii="MS Mincho" w:eastAsia="MS Mincho" w:hAnsi="MS Mincho" w:cs="MS Mincho" w:hint="eastAsia"/>
                <w:bCs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3E75" w14:textId="77777777" w:rsidR="0045465B" w:rsidRPr="0068316C" w:rsidRDefault="0045465B" w:rsidP="00562B10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  <w:tr w:rsidR="00631E3A" w:rsidRPr="009634B3" w14:paraId="7A35F086" w14:textId="77777777" w:rsidTr="00631E3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96083B" w14:textId="77777777" w:rsidR="00631E3A" w:rsidRDefault="00631E3A" w:rsidP="00631E3A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1283691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6BEE4" w14:textId="77777777"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5E341" w14:textId="77777777" w:rsidR="00631E3A" w:rsidRPr="0068316C" w:rsidRDefault="00631E3A" w:rsidP="00631E3A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-72845507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C17D2" w14:textId="77777777"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sdtContent>
          </w:sdt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A99A6" w14:textId="77777777" w:rsidR="00631E3A" w:rsidRPr="0068316C" w:rsidRDefault="00631E3A" w:rsidP="00631E3A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1012269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53E49" w14:textId="77777777"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4D36" w14:textId="77777777" w:rsidR="00631E3A" w:rsidRPr="0068316C" w:rsidRDefault="00631E3A" w:rsidP="00631E3A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32D484F5" w14:textId="77777777" w:rsidTr="0099066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25931B4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702C5CD5" w14:textId="77777777" w:rsidTr="00990661">
        <w:trPr>
          <w:trHeight w:val="568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782F" w14:textId="77777777" w:rsidR="009B681C" w:rsidRDefault="007F0F79" w:rsidP="00F42EEE">
            <w:pPr>
              <w:spacing w:after="120"/>
              <w:jc w:val="both"/>
            </w:pPr>
            <w:r w:rsidRPr="00795071">
              <w:t>Predkladaným návrhom nariadenia vlády</w:t>
            </w:r>
            <w:r w:rsidR="00F42EEE">
              <w:t xml:space="preserve"> Slovenskej republiky, ktorým sa vyhlasuje chránený areál Temešská skala</w:t>
            </w:r>
            <w:r w:rsidR="009B681C">
              <w:t xml:space="preserve"> (ďalej len „návrh nariadenia vlády“)</w:t>
            </w:r>
            <w:r w:rsidR="00F42EEE">
              <w:t>,</w:t>
            </w:r>
            <w:r w:rsidRPr="00795071">
              <w:t xml:space="preserve"> sa za chránené územie vyhlási lokalita európskeho významu</w:t>
            </w:r>
            <w:r w:rsidR="00F42EEE">
              <w:t xml:space="preserve"> SKUEV0127 Temešská skala</w:t>
            </w:r>
            <w:r w:rsidRPr="00795071">
              <w:t xml:space="preserve">, ktorá je súčasťou európskej sústavy chránených území Natura 2000. </w:t>
            </w:r>
            <w:r w:rsidR="00F42EEE">
              <w:t>SKUEV0127 Temešská skala bolo zaradené do v</w:t>
            </w:r>
            <w:r w:rsidR="00F42EEE" w:rsidRPr="004D23CE">
              <w:t>ýnos</w:t>
            </w:r>
            <w:r w:rsidR="00F42EEE">
              <w:t>u</w:t>
            </w:r>
            <w:r w:rsidR="00F42EEE" w:rsidRPr="004D23CE">
              <w:t xml:space="preserve"> Ministerstva životného prostredia Slovenskej republiky č. 3/2004-5.1 zo 14. júla 2004, ktorým sa vydáva národný zoznam území európskeho významu</w:t>
            </w:r>
            <w:r w:rsidR="00F42EEE">
              <w:t>.</w:t>
            </w:r>
            <w:r w:rsidR="00384EC5">
              <w:t xml:space="preserve"> </w:t>
            </w:r>
          </w:p>
          <w:p w14:paraId="1FF87100" w14:textId="3456B251" w:rsidR="009B681C" w:rsidRPr="006C7339" w:rsidRDefault="009B681C" w:rsidP="00F42EEE">
            <w:pPr>
              <w:spacing w:after="120"/>
              <w:jc w:val="both"/>
            </w:pPr>
            <w:r>
              <w:t xml:space="preserve">Schválením návrhu </w:t>
            </w:r>
            <w:r w:rsidRPr="006C7339">
              <w:t>nariadenia vlády zároveň dôjde k </w:t>
            </w:r>
            <w:r w:rsidR="008D483D">
              <w:t>zruš</w:t>
            </w:r>
            <w:r w:rsidRPr="006C7339">
              <w:t xml:space="preserve">eniu existujúcej prírodnej rezervácie </w:t>
            </w:r>
            <w:r w:rsidR="00192CAA" w:rsidRPr="006C7339">
              <w:t xml:space="preserve">(PR) </w:t>
            </w:r>
            <w:r w:rsidRPr="006C7339">
              <w:t xml:space="preserve">Temešská skala s výmerou </w:t>
            </w:r>
            <w:r w:rsidR="005C0A8F" w:rsidRPr="006C7339">
              <w:t>57,93 ha</w:t>
            </w:r>
            <w:r w:rsidRPr="006C7339">
              <w:t xml:space="preserve"> s</w:t>
            </w:r>
            <w:r w:rsidR="005C0A8F" w:rsidRPr="006C7339">
              <w:t xml:space="preserve"> platným </w:t>
            </w:r>
            <w:r w:rsidRPr="006C7339">
              <w:t xml:space="preserve">piatym stupňom ochrany, ktorá sa stane súčasťou A zóny CHA Temešská skala.  </w:t>
            </w:r>
          </w:p>
          <w:p w14:paraId="1913E33F" w14:textId="77777777" w:rsidR="0091488B" w:rsidRPr="006C7339" w:rsidRDefault="00D60E42" w:rsidP="00336FFD">
            <w:pPr>
              <w:spacing w:after="120"/>
              <w:jc w:val="both"/>
            </w:pPr>
            <w:r w:rsidRPr="006C7339">
              <w:t xml:space="preserve">Zámer vyhlásiť </w:t>
            </w:r>
            <w:r w:rsidR="0091488B" w:rsidRPr="006C7339">
              <w:t>CHA Temešská skala</w:t>
            </w:r>
            <w:r w:rsidRPr="006C7339">
              <w:t xml:space="preserve"> bol v zmysle § 50 zákona č. 543/2002 Z. z. o ochrane prírody a krajiny v znení neskorších predpisov (ďalej len „zákon“) oznámený Okresným úradom </w:t>
            </w:r>
            <w:r w:rsidR="00603100" w:rsidRPr="006C7339">
              <w:t>Trenčín</w:t>
            </w:r>
            <w:r w:rsidRPr="006C7339">
              <w:t xml:space="preserve">. Zámer bol spracovaný podľa projektu ochrany, ktorý je odborným podkladom na vyhlásenie chráneného územia (§ 54 ods. 13 zákona) a obsahuje ciele ochrany vymedzené pre chránené územie, návrh vhodného manažmentu na dosiahnutie cieľov, ako aj obmedzenia vyplývajúce zo stanoveného stupňa ochrany podľa zákona. </w:t>
            </w:r>
          </w:p>
          <w:p w14:paraId="2B019DFD" w14:textId="39EBC104" w:rsidR="0068014E" w:rsidRDefault="00192CAA" w:rsidP="0045741F">
            <w:pPr>
              <w:spacing w:after="120"/>
              <w:jc w:val="both"/>
            </w:pPr>
            <w:r w:rsidRPr="006C7339">
              <w:t xml:space="preserve">V navrhovanom </w:t>
            </w:r>
            <w:r w:rsidR="0045741F" w:rsidRPr="006C7339">
              <w:t xml:space="preserve">CHA Temešská skala </w:t>
            </w:r>
            <w:r w:rsidRPr="006C7339">
              <w:t xml:space="preserve">sa vyhlásia zóny A, C a D. V prípade zóny A a C sa nemenia stupne ochrany v porovnaní so súčasným stavom (zóna A je navrhnutá na území PR Temešská skala s piatym stupňom ochrany a zóna </w:t>
            </w:r>
            <w:r w:rsidR="005C0A8F" w:rsidRPr="006C7339">
              <w:t>C</w:t>
            </w:r>
            <w:r w:rsidRPr="006C7339">
              <w:t xml:space="preserve"> je navrhnutá v ochrannom pásme 100 m od hranice PR Temešská skala). </w:t>
            </w:r>
            <w:r w:rsidR="00A94CE6" w:rsidRPr="006C7339">
              <w:t xml:space="preserve">V navrhovanej zóne A dochádza k obmedzeniu </w:t>
            </w:r>
            <w:r w:rsidR="002F7D94" w:rsidRPr="006C7339">
              <w:t>bežného obhospodarovania (uplatňuje sa bezzásahový režim)</w:t>
            </w:r>
            <w:r w:rsidR="008D483D">
              <w:t>,</w:t>
            </w:r>
            <w:r w:rsidR="002F7D94" w:rsidRPr="006C7339">
              <w:t xml:space="preserve"> pričom</w:t>
            </w:r>
            <w:r w:rsidR="002F7D94">
              <w:t xml:space="preserve"> správcom a nájomcom pozemkov vzniká nárok na náhradu za obmedzenie bežného obhospodarovania v zmysle § 61 zákona. Keďže sa nemení stupeň ochrany v porovnaní so súčasným stavom, nejd</w:t>
            </w:r>
            <w:r w:rsidR="005F2AE2">
              <w:t>e</w:t>
            </w:r>
            <w:r w:rsidR="002F7D94">
              <w:t xml:space="preserve"> o nové obmedzenie obhospodarovania spôsobené vyhlásením CHA Temešská skala. </w:t>
            </w:r>
            <w:r w:rsidR="00B8172E">
              <w:t xml:space="preserve">V navrhovanej C a D zóne </w:t>
            </w:r>
            <w:r w:rsidR="000424BF">
              <w:t>sa vyžaduje jemnejšie obhospodarovanie</w:t>
            </w:r>
            <w:r w:rsidR="008D483D">
              <w:t>,</w:t>
            </w:r>
            <w:r w:rsidR="000424BF">
              <w:t xml:space="preserve"> čím dôjde </w:t>
            </w:r>
            <w:r w:rsidR="00B8172E">
              <w:t>k obmedzeniu bežného obhospodarovania</w:t>
            </w:r>
            <w:r w:rsidR="000424BF">
              <w:t xml:space="preserve"> a vzniká nárok na náhradu v zmysle § 61 zákona. </w:t>
            </w:r>
          </w:p>
          <w:p w14:paraId="7816ABED" w14:textId="463C3888" w:rsidR="00B8172E" w:rsidRDefault="0068014E" w:rsidP="0045741F">
            <w:pPr>
              <w:spacing w:after="120"/>
              <w:jc w:val="both"/>
            </w:pPr>
            <w:r>
              <w:t xml:space="preserve">Na nelesných biotopoch v CHA Temešská skala je potrebné zabezpečiť redukciu nežiadúcich sukcesných drevín a pravidelnú realizáciu kosenia s odstraňovaním biomasy, prípadne prepásanie. </w:t>
            </w:r>
          </w:p>
          <w:p w14:paraId="18CEAC12" w14:textId="7D03A144" w:rsidR="00C62F9E" w:rsidRDefault="00C928A0" w:rsidP="00336FFD">
            <w:pPr>
              <w:spacing w:after="12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Štátna ochrana prírody Slovenskej republiky (ŠOP SR)</w:t>
            </w:r>
            <w:r w:rsidRPr="00EC0E71">
              <w:rPr>
                <w:rFonts w:ascii="Times" w:hAnsi="Times" w:cs="Times"/>
              </w:rPr>
              <w:t xml:space="preserve"> a jej organizačná zložka Správa Chránenej krajinnej oblasti </w:t>
            </w:r>
            <w:r w:rsidR="00990661">
              <w:rPr>
                <w:rFonts w:ascii="Times" w:hAnsi="Times" w:cs="Times"/>
              </w:rPr>
              <w:t>Ponitrie a Chránenej krajinnej oblasti Dunajské luhy</w:t>
            </w:r>
            <w:r w:rsidRPr="00EC0E71">
              <w:rPr>
                <w:rFonts w:ascii="Times" w:hAnsi="Times" w:cs="Times"/>
              </w:rPr>
              <w:t xml:space="preserve"> bude zodpovedná za vykonanie ďalších potrebných opatrení v oblasti monitori</w:t>
            </w:r>
            <w:r>
              <w:rPr>
                <w:rFonts w:ascii="Times" w:hAnsi="Times" w:cs="Times"/>
              </w:rPr>
              <w:t>n</w:t>
            </w:r>
            <w:r w:rsidR="00C62F9E">
              <w:rPr>
                <w:rFonts w:ascii="Times" w:hAnsi="Times" w:cs="Times"/>
              </w:rPr>
              <w:t>gu a komunikácie s</w:t>
            </w:r>
            <w:r w:rsidR="008D483D">
              <w:rPr>
                <w:rFonts w:ascii="Times" w:hAnsi="Times" w:cs="Times"/>
              </w:rPr>
              <w:t> </w:t>
            </w:r>
            <w:r w:rsidR="00C62F9E">
              <w:rPr>
                <w:rFonts w:ascii="Times" w:hAnsi="Times" w:cs="Times"/>
              </w:rPr>
              <w:t>verejnosťou</w:t>
            </w:r>
            <w:r w:rsidR="008D483D">
              <w:rPr>
                <w:rFonts w:ascii="Times" w:hAnsi="Times" w:cs="Times"/>
              </w:rPr>
              <w:t>,</w:t>
            </w:r>
            <w:r w:rsidR="00C62F9E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ktoré budú zamestnanci ŠOP SR vyko</w:t>
            </w:r>
            <w:r w:rsidR="00C62F9E">
              <w:rPr>
                <w:rFonts w:ascii="Times" w:hAnsi="Times" w:cs="Times"/>
              </w:rPr>
              <w:t xml:space="preserve">návať v rámci pracovnej náplne. </w:t>
            </w:r>
          </w:p>
          <w:p w14:paraId="4BABE383" w14:textId="77777777" w:rsidR="00C62F9E" w:rsidRDefault="00990661">
            <w:pPr>
              <w:spacing w:after="12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CHA Temešská skala</w:t>
            </w:r>
            <w:r w:rsidR="00B979CE">
              <w:rPr>
                <w:rFonts w:ascii="Times" w:hAnsi="Times" w:cs="Times"/>
              </w:rPr>
              <w:t xml:space="preserve"> bude po </w:t>
            </w:r>
            <w:r>
              <w:rPr>
                <w:rFonts w:ascii="Times" w:hAnsi="Times" w:cs="Times"/>
              </w:rPr>
              <w:t>jeho vyhlásení zapísaný</w:t>
            </w:r>
            <w:r w:rsidR="00C62F9E">
              <w:rPr>
                <w:rFonts w:ascii="Times" w:hAnsi="Times" w:cs="Times"/>
              </w:rPr>
              <w:t xml:space="preserve"> v katastri nehnute</w:t>
            </w:r>
            <w:r w:rsidR="009B681C">
              <w:rPr>
                <w:rFonts w:ascii="Times" w:hAnsi="Times" w:cs="Times"/>
              </w:rPr>
              <w:t>ľností (§ 51 ods. 5 zákona), v Š</w:t>
            </w:r>
            <w:r w:rsidR="00C62F9E">
              <w:rPr>
                <w:rFonts w:ascii="Times" w:hAnsi="Times" w:cs="Times"/>
              </w:rPr>
              <w:t xml:space="preserve">tátnom zozname osobitne chránených častí prírody a krajiny (§ 51 ods. 4) a pre potreby praxe budú na Okresnom úrade </w:t>
            </w:r>
            <w:r>
              <w:rPr>
                <w:rFonts w:ascii="Times" w:hAnsi="Times" w:cs="Times"/>
              </w:rPr>
              <w:t>Prievidza</w:t>
            </w:r>
            <w:r w:rsidR="00C62F9E">
              <w:rPr>
                <w:rFonts w:ascii="Times" w:hAnsi="Times" w:cs="Times"/>
              </w:rPr>
              <w:t xml:space="preserve"> uložené grafické podklady, v ktorých je zakreslená hranica </w:t>
            </w:r>
            <w:r>
              <w:rPr>
                <w:rFonts w:ascii="Times" w:hAnsi="Times" w:cs="Times"/>
              </w:rPr>
              <w:t>CHA Temešská skala</w:t>
            </w:r>
            <w:r w:rsidR="00C62F9E">
              <w:rPr>
                <w:rFonts w:ascii="Times" w:hAnsi="Times" w:cs="Times"/>
              </w:rPr>
              <w:t>. V prípade zmeny vlastníctva pozemkov v</w:t>
            </w:r>
            <w:r>
              <w:rPr>
                <w:rFonts w:ascii="Times" w:hAnsi="Times" w:cs="Times"/>
              </w:rPr>
              <w:t> CHA Temešská skala</w:t>
            </w:r>
            <w:r w:rsidR="00C62F9E">
              <w:rPr>
                <w:rFonts w:ascii="Times" w:hAnsi="Times" w:cs="Times"/>
              </w:rPr>
              <w:t xml:space="preserve"> tak bude budúci vlastník vopred informovaný o existencii </w:t>
            </w:r>
            <w:r>
              <w:rPr>
                <w:rFonts w:ascii="Times" w:hAnsi="Times" w:cs="Times"/>
              </w:rPr>
              <w:t>CHA Temešská skala</w:t>
            </w:r>
            <w:r w:rsidR="00C62F9E">
              <w:rPr>
                <w:rFonts w:ascii="Times" w:hAnsi="Times" w:cs="Times"/>
              </w:rPr>
              <w:t xml:space="preserve"> a o obmedzeniach vyplývajúcich zo stanoveného stupňa ochrany a</w:t>
            </w:r>
            <w:r w:rsidR="00375884">
              <w:rPr>
                <w:rFonts w:ascii="Times" w:hAnsi="Times" w:cs="Times"/>
              </w:rPr>
              <w:t xml:space="preserve"> z </w:t>
            </w:r>
            <w:r w:rsidR="00C62F9E">
              <w:rPr>
                <w:rFonts w:ascii="Times" w:hAnsi="Times" w:cs="Times"/>
              </w:rPr>
              <w:t>vyme</w:t>
            </w:r>
            <w:r w:rsidR="00375884">
              <w:rPr>
                <w:rFonts w:ascii="Times" w:hAnsi="Times" w:cs="Times"/>
              </w:rPr>
              <w:t>dzených cieľov</w:t>
            </w:r>
            <w:r w:rsidR="00C62F9E">
              <w:rPr>
                <w:rFonts w:ascii="Times" w:hAnsi="Times" w:cs="Times"/>
              </w:rPr>
              <w:t xml:space="preserve"> ochrany. </w:t>
            </w:r>
          </w:p>
          <w:p w14:paraId="36A84358" w14:textId="7A846056" w:rsidR="008E4564" w:rsidRPr="00BC7674" w:rsidRDefault="00990661" w:rsidP="008D483D">
            <w:pPr>
              <w:jc w:val="both"/>
              <w:rPr>
                <w:rFonts w:ascii="Times" w:hAnsi="Times" w:cs="Times"/>
              </w:rPr>
            </w:pPr>
            <w:r w:rsidRPr="00990661">
              <w:rPr>
                <w:rFonts w:ascii="Times" w:hAnsi="Times" w:cs="Times"/>
              </w:rPr>
              <w:t>Pri navrhovaných stupňoch ochrany územia a zhodnotení obmedzenia bežného hospodárenia pri uplatňovaní navrhovaných spôsobov starostlivosti, nepredpokladáme vplyv ochrany územia na zamestnanosť</w:t>
            </w:r>
            <w:r>
              <w:rPr>
                <w:rFonts w:ascii="Times" w:hAnsi="Times" w:cs="Times"/>
              </w:rPr>
              <w:t>.</w:t>
            </w:r>
            <w:r w:rsidRPr="00990661">
              <w:rPr>
                <w:rFonts w:ascii="Times" w:hAnsi="Times" w:cs="Times"/>
              </w:rPr>
              <w:t xml:space="preserve"> </w:t>
            </w:r>
            <w:r w:rsidR="00227EF1">
              <w:rPr>
                <w:rFonts w:ascii="Times" w:hAnsi="Times" w:cs="Times"/>
              </w:rPr>
              <w:t xml:space="preserve">Ani rozšírenie ochrany územia o druhý stupeň ochrany (v porovnaní so súčasným stavom) nevytvára predpoklad vplyvov na zamestnanosť. </w:t>
            </w:r>
            <w:r w:rsidR="008E4564" w:rsidRPr="008E4564">
              <w:rPr>
                <w:rFonts w:ascii="Times" w:hAnsi="Times" w:cs="Times"/>
              </w:rPr>
              <w:t xml:space="preserve">Vyhlásením </w:t>
            </w:r>
            <w:r>
              <w:rPr>
                <w:rFonts w:ascii="Times" w:hAnsi="Times" w:cs="Times"/>
              </w:rPr>
              <w:t>CHA Temešská skala</w:t>
            </w:r>
            <w:r w:rsidR="008E4564" w:rsidRPr="008E4564">
              <w:rPr>
                <w:rFonts w:ascii="Times" w:hAnsi="Times" w:cs="Times"/>
              </w:rPr>
              <w:t xml:space="preserve"> sa nepredpokladá zánik pracovných miest, vplyv na fungovanie trhu práce, špecifické negatívne dôsledky na isté skupiny profesií, skupín zamestnancov či živnostníkov ani ovplyvnenie špecifických vekových skupín zamestnancov. </w:t>
            </w:r>
          </w:p>
        </w:tc>
      </w:tr>
      <w:tr w:rsidR="003501A1" w:rsidRPr="00A179AE" w14:paraId="1D027646" w14:textId="77777777" w:rsidTr="00BC767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F25DB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07DF53E7" w14:textId="77777777" w:rsidTr="00336FFD">
        <w:trPr>
          <w:trHeight w:val="288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1CD9" w14:textId="0DEFB0C4" w:rsidR="00702A8B" w:rsidRPr="00702A8B" w:rsidRDefault="00A227D2" w:rsidP="00336FFD">
            <w:pPr>
              <w:jc w:val="both"/>
            </w:pPr>
            <w:r>
              <w:t>Ing. Janka Guzmová</w:t>
            </w:r>
            <w:r w:rsidR="0083656C">
              <w:t xml:space="preserve">, sekcia ochrany prírody, biodiverzity a krajiny </w:t>
            </w:r>
            <w:r w:rsidR="00181779">
              <w:t>Ministerstva životného prostredia Slovenskej republiky</w:t>
            </w:r>
            <w:r w:rsidR="0083656C">
              <w:t xml:space="preserve"> (</w:t>
            </w:r>
            <w:r>
              <w:t>janka.guzmova</w:t>
            </w:r>
            <w:r w:rsidR="00702A8B" w:rsidRPr="0083656C">
              <w:t>@enviro.gov.sk</w:t>
            </w:r>
            <w:r w:rsidR="0083656C">
              <w:t>)</w:t>
            </w:r>
            <w:r w:rsidR="00702A8B">
              <w:t xml:space="preserve">. </w:t>
            </w:r>
          </w:p>
        </w:tc>
      </w:tr>
      <w:tr w:rsidR="003501A1" w:rsidRPr="00A179AE" w14:paraId="7CFD22D6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DA278B3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Zdroje</w:t>
            </w:r>
          </w:p>
        </w:tc>
      </w:tr>
      <w:tr w:rsidR="003501A1" w:rsidRPr="00A179AE" w14:paraId="0D8149AE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E6910" w14:textId="77777777" w:rsidR="003501A1" w:rsidRPr="008430C9" w:rsidRDefault="007F0F79" w:rsidP="00B979CE">
            <w:pPr>
              <w:rPr>
                <w:b/>
              </w:rPr>
            </w:pPr>
            <w:r w:rsidRPr="0057537F">
              <w:t xml:space="preserve">Doložka vplyvov bola vypracovaná v spolupráci so </w:t>
            </w:r>
            <w:r w:rsidR="00B979CE">
              <w:t>ŠOP SR</w:t>
            </w:r>
            <w:r w:rsidRPr="0057537F">
              <w:t xml:space="preserve"> (marta.mutnanova@sopsr.sk). </w:t>
            </w:r>
          </w:p>
        </w:tc>
      </w:tr>
      <w:tr w:rsidR="003501A1" w:rsidRPr="00A179AE" w14:paraId="404FF65B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3F45AE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14:paraId="74A7CF32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E848" w14:textId="4370B4E9" w:rsidR="0007786D" w:rsidRDefault="003836CA" w:rsidP="00EF4F8D">
            <w:pPr>
              <w:jc w:val="both"/>
            </w:pPr>
            <w:r>
              <w:t>Komisia v stanovisku č. 017/2021 zo dňa 16.02.2021 uplatnila nasledovné pripomienky a odporúčania:</w:t>
            </w:r>
          </w:p>
          <w:p w14:paraId="299369E6" w14:textId="77777777" w:rsidR="003836CA" w:rsidRDefault="003836CA" w:rsidP="00EF4F8D">
            <w:pPr>
              <w:jc w:val="both"/>
            </w:pPr>
          </w:p>
          <w:p w14:paraId="560F7BC3" w14:textId="77E50F93" w:rsidR="003836CA" w:rsidRPr="00EF4F8D" w:rsidRDefault="003836CA" w:rsidP="00EF4F8D">
            <w:pPr>
              <w:jc w:val="both"/>
              <w:rPr>
                <w:b/>
              </w:rPr>
            </w:pPr>
            <w:r w:rsidRPr="00EF4F8D">
              <w:rPr>
                <w:b/>
              </w:rPr>
              <w:t>K vplyvom na podnikateľské prostredie</w:t>
            </w:r>
          </w:p>
          <w:p w14:paraId="2B0BDD67" w14:textId="77777777" w:rsidR="003836CA" w:rsidRDefault="003836CA" w:rsidP="00EF4F8D">
            <w:pPr>
              <w:jc w:val="both"/>
            </w:pPr>
            <w:r>
              <w:t>V Doložke vybraných vplyvov Komisia žiada vyznačiť pozitívne a negatívne vplyvy na podnikateľské prostredie. Zároveň Komisia žiada dopracovať Analýzu vplyvov na podnikateľské prostredie.</w:t>
            </w:r>
          </w:p>
          <w:p w14:paraId="01399209" w14:textId="77777777" w:rsidR="003836CA" w:rsidRDefault="003836CA" w:rsidP="00EF4F8D">
            <w:pPr>
              <w:jc w:val="both"/>
            </w:pPr>
          </w:p>
          <w:p w14:paraId="18A4200A" w14:textId="77777777" w:rsidR="003836CA" w:rsidRDefault="003836CA" w:rsidP="00EF4F8D">
            <w:pPr>
              <w:jc w:val="both"/>
            </w:pPr>
            <w:r>
              <w:t>Odôvodnenie:</w:t>
            </w:r>
          </w:p>
          <w:p w14:paraId="6B6DDF05" w14:textId="77777777" w:rsidR="003836CA" w:rsidRDefault="003836CA" w:rsidP="00EF4F8D">
            <w:pPr>
              <w:jc w:val="both"/>
            </w:pPr>
            <w:r>
              <w:t>Na časti CHA Temešská skala dochádza k obmedzeniu bežného obhospodarovania. Na nelesných biotopoch v CHA Temešská skala je potrebné zabezpečiť redukciu nežiadúcich sukcesných drevín a pravidelnú realizáciu kosenia s odstraňovaním biomasy, prípadne prepásanie. Medzi dotknuté subjekty patria aj vlastníci, správcovia a nájomcovia dotknutých pozemkov, obce, záujmové združenia.</w:t>
            </w:r>
          </w:p>
          <w:p w14:paraId="7111C1C8" w14:textId="77777777" w:rsidR="003836CA" w:rsidRDefault="003836CA" w:rsidP="00EF4F8D">
            <w:pPr>
              <w:jc w:val="both"/>
            </w:pPr>
          </w:p>
          <w:p w14:paraId="5143FABC" w14:textId="77777777" w:rsidR="003836CA" w:rsidRPr="00EF4F8D" w:rsidRDefault="003836CA" w:rsidP="00EF4F8D">
            <w:pPr>
              <w:jc w:val="both"/>
              <w:rPr>
                <w:b/>
              </w:rPr>
            </w:pPr>
            <w:r w:rsidRPr="00EF4F8D">
              <w:rPr>
                <w:b/>
              </w:rPr>
              <w:t>K sociálnym vplyvom</w:t>
            </w:r>
          </w:p>
          <w:p w14:paraId="37F6D97C" w14:textId="77777777" w:rsidR="003836CA" w:rsidRDefault="003836CA" w:rsidP="00EF4F8D">
            <w:pPr>
              <w:jc w:val="both"/>
            </w:pPr>
            <w:r>
              <w:t>Výmera navrhovaného chráneného areálu Temešská skala je 165,9153 ha. Medzi dotknutými subjektmi je veľký počet majiteľov pozemkov – fyzických osôb. Samotný predkladateľ v sprievodných materiáloch uvádza, že schválenie prijatého materiálu spôsobí obmedzenie bežného obhospodarovania pozemkov a predkladateľ riešenie tohto problému navrhuje riešiť formou finančnej náhrady v zmysle § 61e zákona č. 543/2002 Z. z. o ochrane prírody a krajiny v znení neskorších predpisov. Napriek tejto skutočnosti predkladateľ nevyhodnotil sociálne vplyvy, t. j. kvantifikáciu zvýšenia príjmov fyzických osôb – majiteľov pozemkov za obmedzenie bežného obhospodarovania dotknutých pozemkov. Preto Komisia odporúča predkladateľovi vypracovať separátnu analýzu sociálnych vplyvov a kvalitatívnym a kvantitatívnym spôsobom vyhodnotiť sociálne vplyvy predkladaného materiálu, identifikovať veľkostnú skupinu dotknutých fyzických osôb – majiteľov pozemkov. Komisia odporúča uviesť aspoň vzorový príklad, napr. výšku náhrady za 1 ha pozemku.</w:t>
            </w:r>
          </w:p>
          <w:p w14:paraId="14024610" w14:textId="77777777" w:rsidR="003836CA" w:rsidRDefault="003836CA" w:rsidP="00EF4F8D">
            <w:pPr>
              <w:jc w:val="both"/>
            </w:pPr>
          </w:p>
          <w:p w14:paraId="7E5962CB" w14:textId="15DA169E" w:rsidR="003836CA" w:rsidRDefault="003836CA" w:rsidP="00EF4F8D">
            <w:pPr>
              <w:jc w:val="both"/>
            </w:pPr>
            <w:r>
              <w:t>Stála pracovná komisia na posudzovan</w:t>
            </w:r>
            <w:r w:rsidR="00341FFB">
              <w:t xml:space="preserve">ie vybraných vplyvov vyjadruje </w:t>
            </w:r>
            <w:r w:rsidR="00341FFB" w:rsidRPr="00EF4F8D">
              <w:rPr>
                <w:b/>
              </w:rPr>
              <w:t>nesúhlasné stanovisko</w:t>
            </w:r>
            <w:r w:rsidR="00341FFB">
              <w:t xml:space="preserve"> </w:t>
            </w:r>
            <w:r>
              <w:t>s materiálom predloženým na predbežné pripomienkové konanie s odporúčaním na jeho dopracovanie podľa pripomienok</w:t>
            </w:r>
            <w:r w:rsidR="00341FFB">
              <w:t>.</w:t>
            </w:r>
            <w:r>
              <w:t xml:space="preserve"> </w:t>
            </w:r>
          </w:p>
          <w:p w14:paraId="46300653" w14:textId="77777777" w:rsidR="003836CA" w:rsidRDefault="003836CA" w:rsidP="00EF4F8D">
            <w:pPr>
              <w:jc w:val="both"/>
            </w:pPr>
          </w:p>
          <w:p w14:paraId="0E2C6294" w14:textId="77777777" w:rsidR="003836CA" w:rsidRDefault="003836CA" w:rsidP="00EF4F8D">
            <w:pPr>
              <w:jc w:val="both"/>
            </w:pPr>
            <w:r>
              <w:t>Poznámka: Predkladateľ zapracuje pripomienky a odporúčania na úpravu a uvedie stanovisko Komisie do doložky vybraných vplyvov sp</w:t>
            </w:r>
            <w:r w:rsidR="00341FFB">
              <w:t xml:space="preserve">olu s vyhodnotením pripomienok. </w:t>
            </w:r>
            <w:r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</w:p>
          <w:p w14:paraId="50D04713" w14:textId="77777777" w:rsidR="00341FFB" w:rsidRDefault="00341FFB" w:rsidP="00EF4F8D">
            <w:pPr>
              <w:jc w:val="both"/>
            </w:pPr>
          </w:p>
          <w:p w14:paraId="59960AF7" w14:textId="117A722C" w:rsidR="00341FFB" w:rsidRPr="00EF4F8D" w:rsidRDefault="00341FFB" w:rsidP="00EF4F8D">
            <w:pPr>
              <w:jc w:val="both"/>
              <w:rPr>
                <w:b/>
              </w:rPr>
            </w:pPr>
            <w:r w:rsidRPr="00EF4F8D">
              <w:rPr>
                <w:b/>
              </w:rPr>
              <w:t>Stanovisko MŽP SR:</w:t>
            </w:r>
          </w:p>
          <w:p w14:paraId="70FA5900" w14:textId="77777777" w:rsidR="00341FFB" w:rsidRDefault="00341FFB" w:rsidP="00EF4F8D">
            <w:pPr>
              <w:jc w:val="both"/>
              <w:rPr>
                <w:b/>
              </w:rPr>
            </w:pPr>
            <w:r w:rsidRPr="00EF4F8D">
              <w:rPr>
                <w:b/>
              </w:rPr>
              <w:t>Pripomienka k vplyvom na podnikateľské prostredie:</w:t>
            </w:r>
          </w:p>
          <w:p w14:paraId="1F8B9D08" w14:textId="77777777" w:rsidR="00341FFB" w:rsidRDefault="00341FFB" w:rsidP="00EF4F8D">
            <w:pPr>
              <w:jc w:val="both"/>
            </w:pPr>
            <w:r>
              <w:t>MŽP SR akceptovalo pripomienku a vyznačilo pozitívne aj negatívne vplyvy na podnikateľské prostredie v Doložk</w:t>
            </w:r>
            <w:bookmarkStart w:id="0" w:name="_GoBack"/>
            <w:bookmarkEnd w:id="0"/>
            <w:r>
              <w:t xml:space="preserve">e vybraných vplyvov. MŽP SR zároveň dopracovalo Analýzu vplyvov na podnikateľské prostredie. </w:t>
            </w:r>
          </w:p>
          <w:p w14:paraId="13DD82E3" w14:textId="77777777" w:rsidR="006E6344" w:rsidRDefault="006E6344" w:rsidP="00EF4F8D">
            <w:pPr>
              <w:jc w:val="both"/>
            </w:pPr>
          </w:p>
          <w:p w14:paraId="3B5BA133" w14:textId="75121E41" w:rsidR="006E6344" w:rsidRDefault="006E6344" w:rsidP="00EF4F8D">
            <w:pPr>
              <w:jc w:val="both"/>
              <w:rPr>
                <w:b/>
              </w:rPr>
            </w:pPr>
            <w:r w:rsidRPr="00EF4F8D">
              <w:rPr>
                <w:b/>
              </w:rPr>
              <w:t xml:space="preserve">Pripomienka k sociálnym vplyvom: </w:t>
            </w:r>
          </w:p>
          <w:p w14:paraId="531F9B46" w14:textId="4F08B031" w:rsidR="006E6344" w:rsidRPr="006E6344" w:rsidRDefault="003D4838" w:rsidP="00EF4F8D">
            <w:pPr>
              <w:jc w:val="both"/>
            </w:pPr>
            <w:r>
              <w:t xml:space="preserve">MŽP SR akceptovalo pripomienku a dopracovalo Analýzu sociálnych vplyvov. </w:t>
            </w:r>
          </w:p>
          <w:p w14:paraId="56AAE1DD" w14:textId="726582E6" w:rsidR="006E6344" w:rsidRPr="00341FFB" w:rsidRDefault="006E6344" w:rsidP="00EF4F8D">
            <w:pPr>
              <w:jc w:val="both"/>
            </w:pPr>
          </w:p>
        </w:tc>
      </w:tr>
    </w:tbl>
    <w:p w14:paraId="64C4B14A" w14:textId="77777777" w:rsidR="003501A1" w:rsidRDefault="003501A1" w:rsidP="003501A1">
      <w:pPr>
        <w:rPr>
          <w:b/>
        </w:rPr>
      </w:pPr>
    </w:p>
    <w:p w14:paraId="68D25519" w14:textId="77777777" w:rsidR="003501A1" w:rsidRDefault="003501A1" w:rsidP="003501A1">
      <w:pPr>
        <w:rPr>
          <w:b/>
        </w:rPr>
      </w:pPr>
    </w:p>
    <w:p w14:paraId="68178B87" w14:textId="77777777" w:rsidR="00CB3623" w:rsidRDefault="00CB3623"/>
    <w:sectPr w:rsidR="00CB3623" w:rsidSect="004C60B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C8BC" w14:textId="77777777" w:rsidR="00D7208D" w:rsidRDefault="00D7208D" w:rsidP="003501A1">
      <w:r>
        <w:separator/>
      </w:r>
    </w:p>
  </w:endnote>
  <w:endnote w:type="continuationSeparator" w:id="0">
    <w:p w14:paraId="61C87837" w14:textId="77777777" w:rsidR="00D7208D" w:rsidRDefault="00D7208D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471075"/>
      <w:docPartObj>
        <w:docPartGallery w:val="Page Numbers (Bottom of Page)"/>
        <w:docPartUnique/>
      </w:docPartObj>
    </w:sdtPr>
    <w:sdtEndPr/>
    <w:sdtContent>
      <w:p w14:paraId="4F14CBE1" w14:textId="5F9D9F39" w:rsidR="008A147E" w:rsidRDefault="008A147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B5">
          <w:rPr>
            <w:noProof/>
          </w:rPr>
          <w:t>2</w:t>
        </w:r>
        <w:r>
          <w:fldChar w:fldCharType="end"/>
        </w:r>
      </w:p>
    </w:sdtContent>
  </w:sdt>
  <w:p w14:paraId="6BDE54B2" w14:textId="77777777" w:rsidR="008A147E" w:rsidRDefault="008A1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1B7AD" w14:textId="77777777" w:rsidR="00D7208D" w:rsidRDefault="00D7208D" w:rsidP="003501A1">
      <w:r>
        <w:separator/>
      </w:r>
    </w:p>
  </w:footnote>
  <w:footnote w:type="continuationSeparator" w:id="0">
    <w:p w14:paraId="49EE0775" w14:textId="77777777" w:rsidR="00D7208D" w:rsidRDefault="00D7208D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00D6" w14:textId="77777777"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14:paraId="71E2DC98" w14:textId="77777777"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EEA22E8"/>
    <w:multiLevelType w:val="hybridMultilevel"/>
    <w:tmpl w:val="7BAAAC1E"/>
    <w:lvl w:ilvl="0" w:tplc="97C60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685E"/>
    <w:rsid w:val="00036A60"/>
    <w:rsid w:val="000424BF"/>
    <w:rsid w:val="00077809"/>
    <w:rsid w:val="0007786D"/>
    <w:rsid w:val="000A68AD"/>
    <w:rsid w:val="000D27BB"/>
    <w:rsid w:val="000E301C"/>
    <w:rsid w:val="000E6CB1"/>
    <w:rsid w:val="00122A3D"/>
    <w:rsid w:val="00123845"/>
    <w:rsid w:val="001335AD"/>
    <w:rsid w:val="00175FD8"/>
    <w:rsid w:val="00176670"/>
    <w:rsid w:val="00181779"/>
    <w:rsid w:val="00192CAA"/>
    <w:rsid w:val="00196B61"/>
    <w:rsid w:val="001A67F9"/>
    <w:rsid w:val="001D0FCA"/>
    <w:rsid w:val="00227EF1"/>
    <w:rsid w:val="002432D5"/>
    <w:rsid w:val="00255617"/>
    <w:rsid w:val="0027635C"/>
    <w:rsid w:val="00295AB5"/>
    <w:rsid w:val="002A69B3"/>
    <w:rsid w:val="002F7D94"/>
    <w:rsid w:val="0032574A"/>
    <w:rsid w:val="00336FFD"/>
    <w:rsid w:val="00341FFB"/>
    <w:rsid w:val="00344899"/>
    <w:rsid w:val="003501A1"/>
    <w:rsid w:val="00375884"/>
    <w:rsid w:val="003836CA"/>
    <w:rsid w:val="00384EC5"/>
    <w:rsid w:val="00395098"/>
    <w:rsid w:val="003A54D9"/>
    <w:rsid w:val="003B7DE7"/>
    <w:rsid w:val="003D4838"/>
    <w:rsid w:val="004339A8"/>
    <w:rsid w:val="00446925"/>
    <w:rsid w:val="00447F24"/>
    <w:rsid w:val="00452B1E"/>
    <w:rsid w:val="0045465B"/>
    <w:rsid w:val="0045741F"/>
    <w:rsid w:val="00462D0C"/>
    <w:rsid w:val="004748DA"/>
    <w:rsid w:val="004866A6"/>
    <w:rsid w:val="004B1300"/>
    <w:rsid w:val="004C2A4F"/>
    <w:rsid w:val="004C60B8"/>
    <w:rsid w:val="004C794A"/>
    <w:rsid w:val="004E1017"/>
    <w:rsid w:val="004F5662"/>
    <w:rsid w:val="004F6F1F"/>
    <w:rsid w:val="004F7D6F"/>
    <w:rsid w:val="00500DAB"/>
    <w:rsid w:val="00515FEC"/>
    <w:rsid w:val="00562B10"/>
    <w:rsid w:val="00570B48"/>
    <w:rsid w:val="0057537F"/>
    <w:rsid w:val="005A6308"/>
    <w:rsid w:val="005B7A8D"/>
    <w:rsid w:val="005C0A8F"/>
    <w:rsid w:val="005C7002"/>
    <w:rsid w:val="005F06BD"/>
    <w:rsid w:val="005F2AE2"/>
    <w:rsid w:val="00603100"/>
    <w:rsid w:val="00631E3A"/>
    <w:rsid w:val="00651F45"/>
    <w:rsid w:val="00676D19"/>
    <w:rsid w:val="0068014E"/>
    <w:rsid w:val="0068316C"/>
    <w:rsid w:val="00684CA3"/>
    <w:rsid w:val="00684FD2"/>
    <w:rsid w:val="006C0F33"/>
    <w:rsid w:val="006C3B7D"/>
    <w:rsid w:val="006C7339"/>
    <w:rsid w:val="006E2C4A"/>
    <w:rsid w:val="006E6344"/>
    <w:rsid w:val="00702A8B"/>
    <w:rsid w:val="00725D2D"/>
    <w:rsid w:val="00797FBF"/>
    <w:rsid w:val="007D4F66"/>
    <w:rsid w:val="007F0F79"/>
    <w:rsid w:val="007F69D6"/>
    <w:rsid w:val="0083656C"/>
    <w:rsid w:val="008430C9"/>
    <w:rsid w:val="008462BF"/>
    <w:rsid w:val="00893A9A"/>
    <w:rsid w:val="008A147E"/>
    <w:rsid w:val="008A29C0"/>
    <w:rsid w:val="008B3ABB"/>
    <w:rsid w:val="008B6550"/>
    <w:rsid w:val="008D483D"/>
    <w:rsid w:val="008E4564"/>
    <w:rsid w:val="008F171D"/>
    <w:rsid w:val="009055B1"/>
    <w:rsid w:val="0091488B"/>
    <w:rsid w:val="00926D39"/>
    <w:rsid w:val="00946B71"/>
    <w:rsid w:val="00990661"/>
    <w:rsid w:val="009B1D23"/>
    <w:rsid w:val="009B681C"/>
    <w:rsid w:val="00A04632"/>
    <w:rsid w:val="00A227D2"/>
    <w:rsid w:val="00A767C1"/>
    <w:rsid w:val="00A94CE6"/>
    <w:rsid w:val="00AA08EC"/>
    <w:rsid w:val="00AC2477"/>
    <w:rsid w:val="00AD2034"/>
    <w:rsid w:val="00AD3286"/>
    <w:rsid w:val="00AE31A4"/>
    <w:rsid w:val="00AF1FC2"/>
    <w:rsid w:val="00AF4FB6"/>
    <w:rsid w:val="00B373E9"/>
    <w:rsid w:val="00B65A86"/>
    <w:rsid w:val="00B8172E"/>
    <w:rsid w:val="00B97150"/>
    <w:rsid w:val="00B979CE"/>
    <w:rsid w:val="00BA093B"/>
    <w:rsid w:val="00BC5F8B"/>
    <w:rsid w:val="00BC7674"/>
    <w:rsid w:val="00C1030C"/>
    <w:rsid w:val="00C176F9"/>
    <w:rsid w:val="00C474BC"/>
    <w:rsid w:val="00C62F9E"/>
    <w:rsid w:val="00C63743"/>
    <w:rsid w:val="00C9172E"/>
    <w:rsid w:val="00C928A0"/>
    <w:rsid w:val="00CB3623"/>
    <w:rsid w:val="00CC7A9D"/>
    <w:rsid w:val="00CE44A8"/>
    <w:rsid w:val="00D13B6F"/>
    <w:rsid w:val="00D60E42"/>
    <w:rsid w:val="00D63113"/>
    <w:rsid w:val="00D669AF"/>
    <w:rsid w:val="00D7208D"/>
    <w:rsid w:val="00D72982"/>
    <w:rsid w:val="00D75D35"/>
    <w:rsid w:val="00DB27E9"/>
    <w:rsid w:val="00DC3B60"/>
    <w:rsid w:val="00DD0D9A"/>
    <w:rsid w:val="00DD2BFF"/>
    <w:rsid w:val="00DE2A12"/>
    <w:rsid w:val="00DE5E0C"/>
    <w:rsid w:val="00DF3D04"/>
    <w:rsid w:val="00E13854"/>
    <w:rsid w:val="00E14F74"/>
    <w:rsid w:val="00E17E5F"/>
    <w:rsid w:val="00E41ADB"/>
    <w:rsid w:val="00E81ECD"/>
    <w:rsid w:val="00EA275D"/>
    <w:rsid w:val="00EB59E3"/>
    <w:rsid w:val="00ED6E8B"/>
    <w:rsid w:val="00EE05DA"/>
    <w:rsid w:val="00EF4F8D"/>
    <w:rsid w:val="00F155EB"/>
    <w:rsid w:val="00F22831"/>
    <w:rsid w:val="00F32FCB"/>
    <w:rsid w:val="00F33439"/>
    <w:rsid w:val="00F42EEE"/>
    <w:rsid w:val="00F62771"/>
    <w:rsid w:val="00FC2F37"/>
    <w:rsid w:val="00FE7297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52B6"/>
  <w15:docId w15:val="{68DAA522-6B1E-40FC-BF34-E3C65C3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6D39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71DC-AA14-4F6B-A9B3-28387DFB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Lojková Silvia</cp:lastModifiedBy>
  <cp:revision>2</cp:revision>
  <cp:lastPrinted>2021-02-19T07:53:00Z</cp:lastPrinted>
  <dcterms:created xsi:type="dcterms:W3CDTF">2021-04-06T12:25:00Z</dcterms:created>
  <dcterms:modified xsi:type="dcterms:W3CDTF">2021-04-06T12:25:00Z</dcterms:modified>
</cp:coreProperties>
</file>