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14:paraId="53403508" w14:textId="77777777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ABD8264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557C5FB6" w14:textId="77777777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14:paraId="613F53BD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14:paraId="33924EA1" w14:textId="77777777" w:rsidTr="00F330AF">
        <w:trPr>
          <w:trHeight w:val="995"/>
        </w:trPr>
        <w:tc>
          <w:tcPr>
            <w:tcW w:w="9464" w:type="dxa"/>
          </w:tcPr>
          <w:p w14:paraId="1F70B218" w14:textId="7760B0A7" w:rsidR="00D47CEA" w:rsidRDefault="003510F0" w:rsidP="00B61CE9">
            <w:pPr>
              <w:spacing w:after="120"/>
              <w:jc w:val="both"/>
            </w:pPr>
            <w:r>
              <w:t>Vyhlásením</w:t>
            </w:r>
            <w:r w:rsidR="001F7966">
              <w:t xml:space="preserve"> </w:t>
            </w:r>
            <w:r w:rsidR="00D47CEA">
              <w:t>chráneného areálu</w:t>
            </w:r>
            <w:r w:rsidR="00DB1F27">
              <w:t xml:space="preserve"> (CHA) </w:t>
            </w:r>
            <w:proofErr w:type="spellStart"/>
            <w:r w:rsidR="00D47CEA">
              <w:t>Temešská</w:t>
            </w:r>
            <w:proofErr w:type="spellEnd"/>
            <w:r w:rsidR="00D47CEA">
              <w:t xml:space="preserve"> skala</w:t>
            </w:r>
            <w:r w:rsidR="00DB1F27">
              <w:t xml:space="preserve"> </w:t>
            </w:r>
            <w:r>
              <w:t xml:space="preserve">sa predpokladá </w:t>
            </w:r>
            <w:r w:rsidR="001F7966">
              <w:t>dlhodobý pozitívny vplyv na prírodné hodnoty, ktoré sú predmetom ochrany</w:t>
            </w:r>
            <w:r w:rsidR="009E6A34">
              <w:t xml:space="preserve"> tohto územia. </w:t>
            </w:r>
            <w:r w:rsidR="00B61CE9">
              <w:t xml:space="preserve">Predmetom ochrany CHA </w:t>
            </w:r>
            <w:proofErr w:type="spellStart"/>
            <w:r w:rsidR="00D47CEA">
              <w:t>Temešská</w:t>
            </w:r>
            <w:proofErr w:type="spellEnd"/>
            <w:r w:rsidR="00D47CEA">
              <w:t xml:space="preserve"> skala</w:t>
            </w:r>
            <w:r w:rsidR="00B61CE9">
              <w:t xml:space="preserve"> </w:t>
            </w:r>
            <w:r w:rsidR="00D47CEA" w:rsidRPr="00D47CEA">
              <w:t xml:space="preserve">sú tri prioritné biotopy európskeho významu Tr1.1 Suchomilné </w:t>
            </w:r>
            <w:proofErr w:type="spellStart"/>
            <w:r w:rsidR="00D47CEA" w:rsidRPr="00D47CEA">
              <w:t>travinno</w:t>
            </w:r>
            <w:proofErr w:type="spellEnd"/>
            <w:r w:rsidR="00D47CEA" w:rsidRPr="00D47CEA">
              <w:t xml:space="preserve">-bylinné a krovinové porasty na vápnitom substráte s významným výskytom druhov čeľade </w:t>
            </w:r>
            <w:proofErr w:type="spellStart"/>
            <w:r w:rsidR="00D47CEA" w:rsidRPr="00D47CEA">
              <w:rPr>
                <w:i/>
              </w:rPr>
              <w:t>Orchidaceae</w:t>
            </w:r>
            <w:proofErr w:type="spellEnd"/>
            <w:r w:rsidR="00D47CEA" w:rsidRPr="00D47CEA">
              <w:t xml:space="preserve"> (</w:t>
            </w:r>
            <w:r w:rsidR="002C50CC" w:rsidRPr="00D47CEA">
              <w:t>*</w:t>
            </w:r>
            <w:r w:rsidR="00D47CEA" w:rsidRPr="00D47CEA">
              <w:t xml:space="preserve">6210), Sk6 Nespevnené </w:t>
            </w:r>
            <w:proofErr w:type="spellStart"/>
            <w:r w:rsidR="00D47CEA" w:rsidRPr="00D47CEA">
              <w:t>karbonátové</w:t>
            </w:r>
            <w:proofErr w:type="spellEnd"/>
            <w:r w:rsidR="00D47CEA" w:rsidRPr="00D47CEA">
              <w:t xml:space="preserve"> skalné sutiny v montánnom až </w:t>
            </w:r>
            <w:proofErr w:type="spellStart"/>
            <w:r w:rsidR="00D47CEA" w:rsidRPr="00D47CEA">
              <w:t>kolínnom</w:t>
            </w:r>
            <w:proofErr w:type="spellEnd"/>
            <w:r w:rsidR="00D47CEA" w:rsidRPr="00D47CEA">
              <w:t xml:space="preserve"> stupni (</w:t>
            </w:r>
            <w:r w:rsidR="002C50CC" w:rsidRPr="00D47CEA">
              <w:t>*</w:t>
            </w:r>
            <w:r w:rsidR="00D47CEA" w:rsidRPr="00D47CEA">
              <w:t>8160), Ls4 Lipovo-javorové sutinové lesy (</w:t>
            </w:r>
            <w:r w:rsidR="002C50CC" w:rsidRPr="00D47CEA">
              <w:t>*</w:t>
            </w:r>
            <w:r w:rsidR="00D47CEA" w:rsidRPr="00D47CEA">
              <w:t xml:space="preserve">9180), sedem biotopov európskeho významu Tr5 Suché a </w:t>
            </w:r>
            <w:proofErr w:type="spellStart"/>
            <w:r w:rsidR="00D47CEA" w:rsidRPr="00D47CEA">
              <w:t>dealpínske</w:t>
            </w:r>
            <w:proofErr w:type="spellEnd"/>
            <w:r w:rsidR="00D47CEA" w:rsidRPr="00D47CEA">
              <w:t xml:space="preserve"> </w:t>
            </w:r>
            <w:proofErr w:type="spellStart"/>
            <w:r w:rsidR="00D47CEA" w:rsidRPr="00D47CEA">
              <w:t>travinno</w:t>
            </w:r>
            <w:proofErr w:type="spellEnd"/>
            <w:r w:rsidR="00D47CEA" w:rsidRPr="00D47CEA">
              <w:t xml:space="preserve">-bylinné porasty (6190), Lk1 Nížinné a podhorské kosné lúky (6510), Ra6 Slatiny s vysokým obsahom báz (7230), Sk1 </w:t>
            </w:r>
            <w:proofErr w:type="spellStart"/>
            <w:r w:rsidR="00D47CEA" w:rsidRPr="00D47CEA">
              <w:t>Karbonátové</w:t>
            </w:r>
            <w:proofErr w:type="spellEnd"/>
            <w:r w:rsidR="00D47CEA" w:rsidRPr="00D47CEA">
              <w:t xml:space="preserve"> skalné steny a svahy so štrbi</w:t>
            </w:r>
            <w:r w:rsidR="005B0D36">
              <w:t xml:space="preserve">novou vegetáciou (8210), Ls5.1 </w:t>
            </w:r>
            <w:r w:rsidR="00D47CEA" w:rsidRPr="00D47CEA">
              <w:t xml:space="preserve">Bukové a jedľovo-bukové kvetnaté lesy (9130), Ls5.2 </w:t>
            </w:r>
            <w:proofErr w:type="spellStart"/>
            <w:r w:rsidR="00D47CEA" w:rsidRPr="00D47CEA">
              <w:t>Kyslomilné</w:t>
            </w:r>
            <w:proofErr w:type="spellEnd"/>
            <w:r w:rsidR="00D47CEA" w:rsidRPr="00D47CEA">
              <w:t xml:space="preserve"> bukové lesy (9110), Ls5.4 </w:t>
            </w:r>
            <w:proofErr w:type="spellStart"/>
            <w:r w:rsidR="00D47CEA" w:rsidRPr="00D47CEA">
              <w:t>Vápnomilné</w:t>
            </w:r>
            <w:proofErr w:type="spellEnd"/>
            <w:r w:rsidR="00D47CEA" w:rsidRPr="00D47CEA">
              <w:t xml:space="preserve"> bukové lesy (9150), biotopy dr</w:t>
            </w:r>
            <w:r w:rsidR="005B0D36">
              <w:t>uhu rastliny európskeho významu</w:t>
            </w:r>
            <w:r w:rsidR="00D47CEA" w:rsidRPr="00D47CEA">
              <w:t xml:space="preserve"> </w:t>
            </w:r>
            <w:proofErr w:type="spellStart"/>
            <w:r w:rsidR="00D47CEA" w:rsidRPr="00D47CEA">
              <w:t>popolavec</w:t>
            </w:r>
            <w:proofErr w:type="spellEnd"/>
            <w:r w:rsidR="00D47CEA" w:rsidRPr="00D47CEA">
              <w:t xml:space="preserve"> dlholistý moravský (</w:t>
            </w:r>
            <w:proofErr w:type="spellStart"/>
            <w:r w:rsidR="00D47CEA" w:rsidRPr="00D47CEA">
              <w:rPr>
                <w:i/>
              </w:rPr>
              <w:t>Tephroseris</w:t>
            </w:r>
            <w:proofErr w:type="spellEnd"/>
            <w:r w:rsidR="00D47CEA" w:rsidRPr="00D47CEA">
              <w:rPr>
                <w:i/>
              </w:rPr>
              <w:t xml:space="preserve"> </w:t>
            </w:r>
            <w:proofErr w:type="spellStart"/>
            <w:r w:rsidR="00D47CEA" w:rsidRPr="00D47CEA">
              <w:rPr>
                <w:i/>
              </w:rPr>
              <w:t>longifolia</w:t>
            </w:r>
            <w:proofErr w:type="spellEnd"/>
            <w:r w:rsidR="00D47CEA" w:rsidRPr="00D47CEA">
              <w:rPr>
                <w:i/>
              </w:rPr>
              <w:t xml:space="preserve"> </w:t>
            </w:r>
            <w:proofErr w:type="spellStart"/>
            <w:r w:rsidR="00D47CEA" w:rsidRPr="00034604">
              <w:rPr>
                <w:iCs/>
              </w:rPr>
              <w:t>subsp</w:t>
            </w:r>
            <w:proofErr w:type="spellEnd"/>
            <w:r w:rsidR="00D47CEA" w:rsidRPr="00D47CEA">
              <w:rPr>
                <w:i/>
              </w:rPr>
              <w:t xml:space="preserve">. </w:t>
            </w:r>
            <w:proofErr w:type="spellStart"/>
            <w:r w:rsidR="002C50CC" w:rsidRPr="00D47CEA">
              <w:rPr>
                <w:i/>
              </w:rPr>
              <w:t>M</w:t>
            </w:r>
            <w:r w:rsidR="00D47CEA" w:rsidRPr="00D47CEA">
              <w:rPr>
                <w:i/>
              </w:rPr>
              <w:t>oravica</w:t>
            </w:r>
            <w:proofErr w:type="spellEnd"/>
            <w:r w:rsidR="002C50CC">
              <w:rPr>
                <w:i/>
              </w:rPr>
              <w:t xml:space="preserve"> </w:t>
            </w:r>
            <w:r w:rsidR="002C50CC" w:rsidRPr="00034604">
              <w:rPr>
                <w:iCs/>
              </w:rPr>
              <w:t>Holub</w:t>
            </w:r>
            <w:r w:rsidR="00D47CEA" w:rsidRPr="00D47CEA">
              <w:t>), biotopy jedného prioritného druh</w:t>
            </w:r>
            <w:r w:rsidR="005B0D36">
              <w:t xml:space="preserve">u živočícha európskeho významu </w:t>
            </w:r>
            <w:r w:rsidR="002C50CC" w:rsidRPr="00D47CEA">
              <w:t>*</w:t>
            </w:r>
            <w:r w:rsidR="00D47CEA" w:rsidRPr="00D47CEA">
              <w:t>fuzáč alpský (</w:t>
            </w:r>
            <w:proofErr w:type="spellStart"/>
            <w:r w:rsidR="00D47CEA" w:rsidRPr="005B0D36">
              <w:rPr>
                <w:i/>
              </w:rPr>
              <w:t>Rosalia</w:t>
            </w:r>
            <w:proofErr w:type="spellEnd"/>
            <w:r w:rsidR="00D47CEA" w:rsidRPr="005B0D36">
              <w:rPr>
                <w:i/>
              </w:rPr>
              <w:t xml:space="preserve"> </w:t>
            </w:r>
            <w:proofErr w:type="spellStart"/>
            <w:r w:rsidR="00D47CEA" w:rsidRPr="005B0D36">
              <w:rPr>
                <w:i/>
              </w:rPr>
              <w:t>alpina</w:t>
            </w:r>
            <w:proofErr w:type="spellEnd"/>
            <w:r w:rsidR="00D47CEA" w:rsidRPr="00D47CEA">
              <w:t>)</w:t>
            </w:r>
            <w:r w:rsidR="008F6989">
              <w:t xml:space="preserve"> a </w:t>
            </w:r>
            <w:r w:rsidR="00D47CEA" w:rsidRPr="00D47CEA">
              <w:t xml:space="preserve">biotopy </w:t>
            </w:r>
            <w:r w:rsidR="008F6989">
              <w:t>troch</w:t>
            </w:r>
            <w:r w:rsidR="008F6989" w:rsidRPr="00D47CEA">
              <w:t xml:space="preserve"> </w:t>
            </w:r>
            <w:r w:rsidR="00D47CEA" w:rsidRPr="00D47CEA">
              <w:t>druhov živočíchov európskeho významu netopier obyčajný (</w:t>
            </w:r>
            <w:proofErr w:type="spellStart"/>
            <w:r w:rsidR="00D47CEA" w:rsidRPr="00D47CEA">
              <w:rPr>
                <w:i/>
              </w:rPr>
              <w:t>Myotis</w:t>
            </w:r>
            <w:proofErr w:type="spellEnd"/>
            <w:r w:rsidR="00D47CEA" w:rsidRPr="00D47CEA">
              <w:rPr>
                <w:i/>
              </w:rPr>
              <w:t xml:space="preserve"> </w:t>
            </w:r>
            <w:proofErr w:type="spellStart"/>
            <w:r w:rsidR="00D47CEA" w:rsidRPr="00D47CEA">
              <w:rPr>
                <w:i/>
              </w:rPr>
              <w:t>myotis</w:t>
            </w:r>
            <w:proofErr w:type="spellEnd"/>
            <w:r w:rsidR="00D47CEA" w:rsidRPr="00D47CEA">
              <w:t xml:space="preserve">), </w:t>
            </w:r>
            <w:proofErr w:type="spellStart"/>
            <w:r w:rsidR="00D47CEA" w:rsidRPr="00D47CEA">
              <w:t>podkovár</w:t>
            </w:r>
            <w:proofErr w:type="spellEnd"/>
            <w:r w:rsidR="002C50CC">
              <w:t xml:space="preserve"> krpatý/</w:t>
            </w:r>
            <w:proofErr w:type="spellStart"/>
            <w:r w:rsidR="002C50CC">
              <w:t>podkovár</w:t>
            </w:r>
            <w:proofErr w:type="spellEnd"/>
            <w:r w:rsidR="00D47CEA" w:rsidRPr="00D47CEA">
              <w:t xml:space="preserve"> malý (</w:t>
            </w:r>
            <w:proofErr w:type="spellStart"/>
            <w:r w:rsidR="00D47CEA" w:rsidRPr="00D47CEA">
              <w:rPr>
                <w:i/>
              </w:rPr>
              <w:t>Rhinolophus</w:t>
            </w:r>
            <w:proofErr w:type="spellEnd"/>
            <w:r w:rsidR="00D47CEA" w:rsidRPr="00D47CEA">
              <w:rPr>
                <w:i/>
              </w:rPr>
              <w:t xml:space="preserve"> </w:t>
            </w:r>
            <w:proofErr w:type="spellStart"/>
            <w:r w:rsidR="00D47CEA" w:rsidRPr="00D47CEA">
              <w:rPr>
                <w:i/>
              </w:rPr>
              <w:t>hipposideros</w:t>
            </w:r>
            <w:proofErr w:type="spellEnd"/>
            <w:r w:rsidR="00D47CEA" w:rsidRPr="00D47CEA">
              <w:t xml:space="preserve">) a </w:t>
            </w:r>
            <w:proofErr w:type="spellStart"/>
            <w:r w:rsidR="00D47CEA" w:rsidRPr="00D47CEA">
              <w:t>jasoň</w:t>
            </w:r>
            <w:proofErr w:type="spellEnd"/>
            <w:r w:rsidR="00D47CEA" w:rsidRPr="00D47CEA">
              <w:t xml:space="preserve"> </w:t>
            </w:r>
            <w:proofErr w:type="spellStart"/>
            <w:r w:rsidR="00D47CEA" w:rsidRPr="00D47CEA">
              <w:t>červenooký</w:t>
            </w:r>
            <w:proofErr w:type="spellEnd"/>
            <w:r w:rsidR="00D47CEA" w:rsidRPr="00D47CEA">
              <w:t xml:space="preserve"> (</w:t>
            </w:r>
            <w:proofErr w:type="spellStart"/>
            <w:r w:rsidR="00D47CEA" w:rsidRPr="00D47CEA">
              <w:rPr>
                <w:i/>
              </w:rPr>
              <w:t>Parnassius</w:t>
            </w:r>
            <w:proofErr w:type="spellEnd"/>
            <w:r w:rsidR="00D47CEA" w:rsidRPr="00D47CEA">
              <w:rPr>
                <w:i/>
              </w:rPr>
              <w:t xml:space="preserve"> </w:t>
            </w:r>
            <w:proofErr w:type="spellStart"/>
            <w:r w:rsidR="00D47CEA" w:rsidRPr="00D47CEA">
              <w:rPr>
                <w:i/>
              </w:rPr>
              <w:t>apollo</w:t>
            </w:r>
            <w:proofErr w:type="spellEnd"/>
            <w:r w:rsidR="00D47CEA" w:rsidRPr="00D47CEA">
              <w:t>).</w:t>
            </w:r>
            <w:r w:rsidR="00D47CEA">
              <w:t xml:space="preserve"> </w:t>
            </w:r>
            <w:r w:rsidR="00B61CE9" w:rsidRPr="00B61CE9">
              <w:t xml:space="preserve">Za prioritné biotopy európskeho významu sa označujú biotopy, ktoré sú na území Európskej únie ohrozené vymiznutím a za ochranu ktorých má Európska únia osobitnú zodpovednosť. </w:t>
            </w:r>
          </w:p>
          <w:p w14:paraId="416D088D" w14:textId="6419F8C5" w:rsidR="0067693E" w:rsidRDefault="0067693E" w:rsidP="0067693E">
            <w:pPr>
              <w:jc w:val="both"/>
            </w:pPr>
            <w:r>
              <w:t xml:space="preserve">Jadrom navrhovaného CHA </w:t>
            </w:r>
            <w:proofErr w:type="spellStart"/>
            <w:r>
              <w:t>Temešská</w:t>
            </w:r>
            <w:proofErr w:type="spellEnd"/>
            <w:r>
              <w:t xml:space="preserve"> skala je už existujúca prírodná rezervácia </w:t>
            </w:r>
            <w:proofErr w:type="spellStart"/>
            <w:r>
              <w:t>Temešská</w:t>
            </w:r>
            <w:proofErr w:type="spellEnd"/>
            <w:r>
              <w:t xml:space="preserve"> skala, v ktorej platí piaty stupeň ochrany od roku 1986. V území sa zachovala mozaika kvetnatých a </w:t>
            </w:r>
            <w:proofErr w:type="spellStart"/>
            <w:r>
              <w:t>vápnomilných</w:t>
            </w:r>
            <w:proofErr w:type="spellEnd"/>
            <w:r>
              <w:t xml:space="preserve"> bučín, v južnej časti územia ich dopĺňajú sutinové lesy, vyskytujúce sa na sutinových svahoch pod dominantným skalnatým masívom kóty </w:t>
            </w:r>
            <w:proofErr w:type="spellStart"/>
            <w:r>
              <w:t>Temešská</w:t>
            </w:r>
            <w:proofErr w:type="spellEnd"/>
            <w:r>
              <w:t xml:space="preserve"> skala. Lesné spoločenstvá dopĺňajú v celom území aj </w:t>
            </w:r>
            <w:proofErr w:type="spellStart"/>
            <w:r>
              <w:t>kyslomilné</w:t>
            </w:r>
            <w:proofErr w:type="spellEnd"/>
            <w:r>
              <w:t xml:space="preserve"> bučiny. Ponechanie biotopov na prirodzený vývoj vytvára nenarušené prírodné podmienky. Stromy tak môžu dosahovať značné dimenzie a vysoký fyzický vek. Charakterizuje ich rôzny zdravotný stav a dotvárajú prirodzenú zložku biotopu vo forme vzácnych a odumretých stromov, prípadne mŕtveho dreva ponechaného v rámci územnej ochrany na prirodzený rozklad, čím výrazne prispievajú k vysokej biodiverzite územia. Severnú časť územia charakterizuje mozaika nelesných biotopov, ktoré sú pozostatkom tradičného využívania územia vo forme kosenia a pastvy. Zároveň sú biotopmi vzácnych rastlinných druhov. </w:t>
            </w:r>
          </w:p>
          <w:p w14:paraId="0EEDEE28" w14:textId="77777777" w:rsidR="0067693E" w:rsidRDefault="0067693E" w:rsidP="0067693E">
            <w:pPr>
              <w:jc w:val="both"/>
            </w:pPr>
          </w:p>
          <w:p w14:paraId="58D61B58" w14:textId="39133C29" w:rsidR="001B5EEC" w:rsidRDefault="001F7966" w:rsidP="00B61CE9">
            <w:pPr>
              <w:spacing w:after="120"/>
              <w:jc w:val="both"/>
            </w:pPr>
            <w:r>
              <w:t xml:space="preserve">Vyhlásením </w:t>
            </w:r>
            <w:r w:rsidR="0067693E">
              <w:t xml:space="preserve">CHA </w:t>
            </w:r>
            <w:proofErr w:type="spellStart"/>
            <w:r w:rsidR="0067693E">
              <w:t>Temešská</w:t>
            </w:r>
            <w:proofErr w:type="spellEnd"/>
            <w:r w:rsidR="0067693E">
              <w:t xml:space="preserve"> skala</w:t>
            </w:r>
            <w:r>
              <w:t xml:space="preserve"> budú pozitívne ovplyvnené aj ďalšie zložky životného prostredia</w:t>
            </w:r>
            <w:r w:rsidR="004C440E">
              <w:t>,</w:t>
            </w:r>
            <w:r>
              <w:t xml:space="preserve"> napr. pôda, voda a ovzdušie.</w:t>
            </w:r>
          </w:p>
          <w:p w14:paraId="28E3DC42" w14:textId="77777777" w:rsidR="001F7966" w:rsidRPr="00911663" w:rsidRDefault="001F7966" w:rsidP="001B5EEC">
            <w:pPr>
              <w:jc w:val="both"/>
            </w:pPr>
          </w:p>
          <w:p w14:paraId="488588EC" w14:textId="77777777" w:rsidR="001B5EEC" w:rsidRDefault="001B5EEC" w:rsidP="001B5EEC">
            <w:pPr>
              <w:jc w:val="both"/>
            </w:pPr>
            <w:r w:rsidRPr="00911663">
              <w:t>Hodnotenie vplyvov na jednotlivé zložky životného prostredia:</w:t>
            </w:r>
          </w:p>
          <w:p w14:paraId="45E2A15F" w14:textId="77777777" w:rsidR="00F330AF" w:rsidRPr="00911663" w:rsidRDefault="00F330AF" w:rsidP="001B5EEC">
            <w:pPr>
              <w:jc w:val="both"/>
            </w:pPr>
          </w:p>
          <w:p w14:paraId="225598F9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Organizmy - </w:t>
            </w:r>
            <w:proofErr w:type="spellStart"/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biota</w:t>
            </w:r>
            <w:proofErr w:type="spell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911663" w14:paraId="7F80EB90" w14:textId="77777777" w:rsidTr="00E06E04">
              <w:tc>
                <w:tcPr>
                  <w:tcW w:w="2689" w:type="dxa"/>
                </w:tcPr>
                <w:p w14:paraId="48DA4BAB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14:paraId="7995B656" w14:textId="77777777" w:rsidR="001B5EEC" w:rsidRPr="00911663" w:rsidRDefault="001B5EEC" w:rsidP="001466BF">
                  <w:pPr>
                    <w:jc w:val="both"/>
                  </w:pPr>
                  <w:r w:rsidRPr="00911663">
                    <w:t>pozitívny, s</w:t>
                  </w:r>
                  <w:r w:rsidR="001466BF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51072161" w14:textId="77777777" w:rsidTr="00E06E04">
              <w:tc>
                <w:tcPr>
                  <w:tcW w:w="2689" w:type="dxa"/>
                </w:tcPr>
                <w:p w14:paraId="0FD9E9ED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14:paraId="35EFF141" w14:textId="77777777" w:rsidR="001B5EEC" w:rsidRPr="00911663" w:rsidRDefault="001B5EEC" w:rsidP="001B5EEC">
                  <w:pPr>
                    <w:jc w:val="both"/>
                  </w:pPr>
                  <w:r w:rsidRPr="00911663">
                    <w:t>veľký</w:t>
                  </w:r>
                </w:p>
              </w:tc>
            </w:tr>
            <w:tr w:rsidR="001B5EEC" w:rsidRPr="00911663" w14:paraId="742EB98D" w14:textId="77777777" w:rsidTr="00E06E04">
              <w:tc>
                <w:tcPr>
                  <w:tcW w:w="2689" w:type="dxa"/>
                </w:tcPr>
                <w:p w14:paraId="19986D1E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14:paraId="079EDA70" w14:textId="77777777" w:rsidR="001B5EEC" w:rsidRPr="00911663" w:rsidRDefault="00216EE0" w:rsidP="00BC6400">
                  <w:pPr>
                    <w:jc w:val="both"/>
                  </w:pPr>
                  <w:r>
                    <w:t xml:space="preserve">CHA </w:t>
                  </w:r>
                  <w:proofErr w:type="spellStart"/>
                  <w:r>
                    <w:t>Temešská</w:t>
                  </w:r>
                  <w:proofErr w:type="spellEnd"/>
                  <w:r>
                    <w:t xml:space="preserve"> skala</w:t>
                  </w:r>
                  <w:r w:rsidR="001B5EEC" w:rsidRPr="00911663">
                    <w:t>, čiastočne územie SR</w:t>
                  </w:r>
                </w:p>
              </w:tc>
            </w:tr>
            <w:tr w:rsidR="001B5EEC" w:rsidRPr="00911663" w14:paraId="0D1AD0FC" w14:textId="77777777" w:rsidTr="00E06E04">
              <w:tc>
                <w:tcPr>
                  <w:tcW w:w="2689" w:type="dxa"/>
                </w:tcPr>
                <w:p w14:paraId="3F913F46" w14:textId="77777777" w:rsidR="001B5EEC" w:rsidRPr="00911663" w:rsidRDefault="001B5EEC" w:rsidP="00457976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14:paraId="42352D62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58D018DB" w14:textId="77777777" w:rsidR="001B5EEC" w:rsidRPr="00911663" w:rsidRDefault="001B5EEC" w:rsidP="001B5EEC">
            <w:pPr>
              <w:jc w:val="both"/>
            </w:pPr>
          </w:p>
          <w:p w14:paraId="42566412" w14:textId="42CA99B9" w:rsidR="00BC6400" w:rsidRPr="00DB2F33" w:rsidRDefault="002D0B1A" w:rsidP="001B5EEC">
            <w:pPr>
              <w:jc w:val="both"/>
              <w:rPr>
                <w:bCs/>
              </w:rPr>
            </w:pPr>
            <w:r w:rsidRPr="002D0B1A">
              <w:t xml:space="preserve">Vyhlásením </w:t>
            </w:r>
            <w:r w:rsidR="00216EE0">
              <w:t xml:space="preserve">CHA </w:t>
            </w:r>
            <w:proofErr w:type="spellStart"/>
            <w:r w:rsidR="00216EE0">
              <w:t>Temešská</w:t>
            </w:r>
            <w:proofErr w:type="spellEnd"/>
            <w:r w:rsidR="00216EE0">
              <w:t xml:space="preserve"> skala</w:t>
            </w:r>
            <w:r>
              <w:t xml:space="preserve"> bude </w:t>
            </w:r>
            <w:r w:rsidR="00DB1F27">
              <w:t xml:space="preserve">v súlade s požiadavkami Európskej komisie </w:t>
            </w:r>
            <w:r>
              <w:t>zabezpečená právna ochrana</w:t>
            </w:r>
            <w:r w:rsidRPr="002D0B1A">
              <w:t xml:space="preserve"> územia, čím budú vytvorené podmienky pre </w:t>
            </w:r>
            <w:r w:rsidR="00BC6400">
              <w:t>zachovanie</w:t>
            </w:r>
            <w:r w:rsidR="008F6989">
              <w:t>,</w:t>
            </w:r>
            <w:r w:rsidR="00BC6400">
              <w:t xml:space="preserve"> resp. </w:t>
            </w:r>
            <w:r w:rsidR="00A61513">
              <w:t>obnovenie</w:t>
            </w:r>
            <w:r w:rsidR="008F6989">
              <w:t>,</w:t>
            </w:r>
            <w:r w:rsidRPr="002D0B1A">
              <w:t xml:space="preserve"> </w:t>
            </w:r>
            <w:r w:rsidR="00BA1FA3">
              <w:t xml:space="preserve">priaznivého </w:t>
            </w:r>
            <w:r w:rsidR="008D3422">
              <w:t xml:space="preserve">stavu </w:t>
            </w:r>
            <w:r w:rsidR="00BC6400">
              <w:t xml:space="preserve">predmetu ochrany </w:t>
            </w:r>
            <w:r w:rsidR="00216EE0">
              <w:t xml:space="preserve">CHA </w:t>
            </w:r>
            <w:proofErr w:type="spellStart"/>
            <w:r w:rsidR="00216EE0">
              <w:t>Temešská</w:t>
            </w:r>
            <w:proofErr w:type="spellEnd"/>
            <w:r w:rsidR="00216EE0">
              <w:t xml:space="preserve"> skala</w:t>
            </w:r>
            <w:r w:rsidR="00BC6400">
              <w:t>.</w:t>
            </w:r>
            <w:r w:rsidR="008D3422">
              <w:t xml:space="preserve"> </w:t>
            </w:r>
            <w:r w:rsidR="007D084C">
              <w:t>Hoci sú opatrenia prioritne zamerané na ochranu</w:t>
            </w:r>
            <w:r w:rsidR="001F7966">
              <w:t xml:space="preserve"> biotopov a biotopov druhov, ktoré sú predmetom ochrany územia</w:t>
            </w:r>
            <w:r w:rsidR="007D084C">
              <w:t>, výsledným efektom bude aj zachovanie alebo zlepšenie stavu ďalších druhov živých organizmov</w:t>
            </w:r>
            <w:r w:rsidR="001F7966">
              <w:t xml:space="preserve"> vrátane druhov národného a európskeho významu</w:t>
            </w:r>
            <w:r w:rsidR="007D084C">
              <w:t xml:space="preserve">, ktoré </w:t>
            </w:r>
            <w:r w:rsidR="00671A1E">
              <w:t xml:space="preserve">sa v území vyskytujú. </w:t>
            </w:r>
            <w:r w:rsidR="00DB2F33">
              <w:t xml:space="preserve">Extrémne podmienky sutín vyhovujú </w:t>
            </w:r>
            <w:proofErr w:type="spellStart"/>
            <w:r w:rsidR="00DB2F33">
              <w:t>tučnolistým</w:t>
            </w:r>
            <w:proofErr w:type="spellEnd"/>
            <w:r w:rsidR="00DB2F33">
              <w:t xml:space="preserve"> (</w:t>
            </w:r>
            <w:proofErr w:type="spellStart"/>
            <w:r w:rsidR="00DB2F33">
              <w:t>sukulentným</w:t>
            </w:r>
            <w:proofErr w:type="spellEnd"/>
            <w:r w:rsidR="00DB2F33">
              <w:t>) rastlinám ako rozchodník biely (</w:t>
            </w:r>
            <w:proofErr w:type="spellStart"/>
            <w:r w:rsidR="00DB2F33">
              <w:rPr>
                <w:i/>
              </w:rPr>
              <w:t>Sedum</w:t>
            </w:r>
            <w:proofErr w:type="spellEnd"/>
            <w:r w:rsidR="00DB2F33">
              <w:rPr>
                <w:i/>
              </w:rPr>
              <w:t xml:space="preserve"> album</w:t>
            </w:r>
            <w:r w:rsidR="00DB2F33">
              <w:t xml:space="preserve">), ktorý je živnou rastlinou húseníc vzácneho </w:t>
            </w:r>
            <w:r w:rsidR="002C50CC">
              <w:t xml:space="preserve">druhu európskeho významu </w:t>
            </w:r>
            <w:r w:rsidR="00C879B7">
              <w:t xml:space="preserve">denného </w:t>
            </w:r>
            <w:r w:rsidR="00DB2F33">
              <w:t xml:space="preserve">motýľa </w:t>
            </w:r>
            <w:proofErr w:type="spellStart"/>
            <w:r w:rsidR="00DB2F33" w:rsidRPr="00DB2F33">
              <w:rPr>
                <w:bCs/>
              </w:rPr>
              <w:t>jasoňa</w:t>
            </w:r>
            <w:proofErr w:type="spellEnd"/>
            <w:r w:rsidR="00DB2F33" w:rsidRPr="00DB2F33">
              <w:rPr>
                <w:bCs/>
              </w:rPr>
              <w:t xml:space="preserve"> </w:t>
            </w:r>
            <w:proofErr w:type="spellStart"/>
            <w:r w:rsidR="00DB2F33" w:rsidRPr="00DB2F33">
              <w:rPr>
                <w:bCs/>
              </w:rPr>
              <w:t>červenookého</w:t>
            </w:r>
            <w:proofErr w:type="spellEnd"/>
            <w:r w:rsidR="00962044">
              <w:rPr>
                <w:bCs/>
              </w:rPr>
              <w:t>, ktorý je v podmienkach Slovenska ohrozený.</w:t>
            </w:r>
            <w:r w:rsidR="00C879B7">
              <w:rPr>
                <w:bCs/>
              </w:rPr>
              <w:t xml:space="preserve"> Pre tento druh vypracovala Štátna ochrana prírody Slovenskej republiky v spolupráci s Ministerstvom životného prostredia Slovenskej republiky Program záchrany </w:t>
            </w:r>
            <w:proofErr w:type="spellStart"/>
            <w:r w:rsidR="00F51C36">
              <w:rPr>
                <w:bCs/>
              </w:rPr>
              <w:t>jasoňa</w:t>
            </w:r>
            <w:proofErr w:type="spellEnd"/>
            <w:r w:rsidR="00F51C36">
              <w:rPr>
                <w:bCs/>
              </w:rPr>
              <w:t xml:space="preserve"> </w:t>
            </w:r>
            <w:proofErr w:type="spellStart"/>
            <w:r w:rsidR="00F51C36">
              <w:rPr>
                <w:bCs/>
              </w:rPr>
              <w:t>červenookého</w:t>
            </w:r>
            <w:proofErr w:type="spellEnd"/>
            <w:r w:rsidR="00F51C36">
              <w:rPr>
                <w:bCs/>
              </w:rPr>
              <w:t xml:space="preserve"> (</w:t>
            </w:r>
            <w:proofErr w:type="spellStart"/>
            <w:r w:rsidR="00F51C36" w:rsidRPr="00962044">
              <w:rPr>
                <w:bCs/>
                <w:i/>
                <w:iCs/>
              </w:rPr>
              <w:t>Parnassius</w:t>
            </w:r>
            <w:proofErr w:type="spellEnd"/>
            <w:r w:rsidR="00F51C36" w:rsidRPr="00962044">
              <w:rPr>
                <w:bCs/>
                <w:i/>
                <w:iCs/>
              </w:rPr>
              <w:t xml:space="preserve"> </w:t>
            </w:r>
            <w:proofErr w:type="spellStart"/>
            <w:r w:rsidR="00F51C36" w:rsidRPr="00962044">
              <w:rPr>
                <w:bCs/>
                <w:i/>
                <w:iCs/>
              </w:rPr>
              <w:t>apollo</w:t>
            </w:r>
            <w:proofErr w:type="spellEnd"/>
            <w:r w:rsidR="00F51C36">
              <w:rPr>
                <w:bCs/>
              </w:rPr>
              <w:t xml:space="preserve"> </w:t>
            </w:r>
            <w:proofErr w:type="spellStart"/>
            <w:r w:rsidR="00F51C36">
              <w:rPr>
                <w:bCs/>
              </w:rPr>
              <w:t>Linnaeus</w:t>
            </w:r>
            <w:proofErr w:type="spellEnd"/>
            <w:r w:rsidR="00F51C36">
              <w:rPr>
                <w:bCs/>
              </w:rPr>
              <w:t>, 1758) na roky 2017 – 2021.</w:t>
            </w:r>
          </w:p>
          <w:p w14:paraId="0749F091" w14:textId="77777777" w:rsidR="001B5EEC" w:rsidRPr="00911663" w:rsidRDefault="001B5EEC" w:rsidP="001B5EEC">
            <w:pPr>
              <w:jc w:val="both"/>
            </w:pPr>
          </w:p>
          <w:p w14:paraId="3A9E9EFA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39413C98" w14:textId="77777777" w:rsidTr="003C5F7D">
              <w:tc>
                <w:tcPr>
                  <w:tcW w:w="2122" w:type="dxa"/>
                </w:tcPr>
                <w:p w14:paraId="7245AE6A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7641114A" w14:textId="77777777"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D92F92">
                    <w:t xml:space="preserve"> </w:t>
                  </w:r>
                  <w:r w:rsidR="001F7966">
                    <w:t>priamym</w:t>
                  </w:r>
                  <w:r w:rsidRPr="00911663">
                    <w:t xml:space="preserve"> environmentálnym dopadom, trvalý</w:t>
                  </w:r>
                </w:p>
              </w:tc>
            </w:tr>
            <w:tr w:rsidR="001B5EEC" w:rsidRPr="00911663" w14:paraId="3C3DD5A5" w14:textId="77777777" w:rsidTr="003C5F7D">
              <w:tc>
                <w:tcPr>
                  <w:tcW w:w="2122" w:type="dxa"/>
                </w:tcPr>
                <w:p w14:paraId="16BE5EAD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2042C2F4" w14:textId="77777777" w:rsidR="001B5EEC" w:rsidRPr="00911663" w:rsidRDefault="00E53EFE" w:rsidP="001B5EEC">
                  <w:pPr>
                    <w:jc w:val="both"/>
                  </w:pPr>
                  <w:r>
                    <w:t>veľký</w:t>
                  </w:r>
                </w:p>
              </w:tc>
            </w:tr>
            <w:tr w:rsidR="001B5EEC" w:rsidRPr="00911663" w14:paraId="663DC1DA" w14:textId="77777777" w:rsidTr="003C5F7D">
              <w:tc>
                <w:tcPr>
                  <w:tcW w:w="2122" w:type="dxa"/>
                </w:tcPr>
                <w:p w14:paraId="2B39EDF7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686ADA18" w14:textId="77777777" w:rsidR="001B5EEC" w:rsidRPr="00911663" w:rsidRDefault="00CD6BE2" w:rsidP="001E5DE1">
                  <w:pPr>
                    <w:jc w:val="both"/>
                  </w:pPr>
                  <w:r>
                    <w:t xml:space="preserve">CHA </w:t>
                  </w:r>
                  <w:proofErr w:type="spellStart"/>
                  <w:r>
                    <w:t>Temešská</w:t>
                  </w:r>
                  <w:proofErr w:type="spellEnd"/>
                  <w:r>
                    <w:t xml:space="preserve"> skala</w:t>
                  </w:r>
                </w:p>
              </w:tc>
            </w:tr>
            <w:tr w:rsidR="001B5EEC" w:rsidRPr="00911663" w14:paraId="5D5CA9AC" w14:textId="77777777" w:rsidTr="003C5F7D">
              <w:tc>
                <w:tcPr>
                  <w:tcW w:w="2122" w:type="dxa"/>
                </w:tcPr>
                <w:p w14:paraId="6A42C10D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14:paraId="1DF50F67" w14:textId="77777777" w:rsidR="001B5EEC" w:rsidRPr="00911663" w:rsidRDefault="001F7966" w:rsidP="001B5EEC">
                  <w:pPr>
                    <w:jc w:val="both"/>
                  </w:pPr>
                  <w:r>
                    <w:t>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46E621B9" w14:textId="77777777" w:rsidR="001B5EEC" w:rsidRDefault="001B5EEC" w:rsidP="001B5EEC">
            <w:pPr>
              <w:jc w:val="both"/>
            </w:pPr>
          </w:p>
          <w:p w14:paraId="05A881D0" w14:textId="77777777" w:rsidR="000C5587" w:rsidRDefault="001F7966" w:rsidP="001B5EEC">
            <w:pPr>
              <w:jc w:val="both"/>
            </w:pPr>
            <w:r>
              <w:t>Cieľom predkladaného materiálu nie je ochrana vôd, ale zlepšen</w:t>
            </w:r>
            <w:r w:rsidR="00EC3C36">
              <w:t>i</w:t>
            </w:r>
            <w:r>
              <w:t xml:space="preserve">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CD6BE2">
              <w:t xml:space="preserve">CHA </w:t>
            </w:r>
            <w:proofErr w:type="spellStart"/>
            <w:r w:rsidR="00CD6BE2">
              <w:t>Temešská</w:t>
            </w:r>
            <w:proofErr w:type="spellEnd"/>
            <w:r w:rsidR="00CD6BE2">
              <w:t xml:space="preserve"> skala</w:t>
            </w:r>
            <w:r>
              <w:t xml:space="preserve"> p</w:t>
            </w:r>
            <w:r w:rsidR="001E5DE1">
              <w:t>ozitívne</w:t>
            </w:r>
            <w:r>
              <w:t xml:space="preserve"> ovplyvní </w:t>
            </w:r>
            <w:r w:rsidR="00122E3C">
              <w:t>všet</w:t>
            </w:r>
            <w:r w:rsidR="00AA0516">
              <w:t>ky zložky okolitého ekosystému vrátane vôd.</w:t>
            </w:r>
            <w:r w:rsidR="003E7FED">
              <w:t xml:space="preserve"> </w:t>
            </w:r>
          </w:p>
          <w:p w14:paraId="2C88C69B" w14:textId="77777777" w:rsidR="00EC5290" w:rsidRPr="00911663" w:rsidRDefault="00EC5290" w:rsidP="001B5EEC">
            <w:pPr>
              <w:jc w:val="both"/>
            </w:pPr>
          </w:p>
          <w:p w14:paraId="1637EB13" w14:textId="77777777"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1C7477F8" w14:textId="77777777" w:rsidTr="003C5F7D">
              <w:tc>
                <w:tcPr>
                  <w:tcW w:w="2122" w:type="dxa"/>
                </w:tcPr>
                <w:p w14:paraId="7A41E54E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4D06E463" w14:textId="77777777"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2D1D3E97" w14:textId="77777777" w:rsidTr="003C5F7D">
              <w:tc>
                <w:tcPr>
                  <w:tcW w:w="2122" w:type="dxa"/>
                </w:tcPr>
                <w:p w14:paraId="3B2B1BF1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7FDBC4E3" w14:textId="77777777" w:rsidR="001B5EEC" w:rsidRPr="00911663" w:rsidRDefault="001B5EEC" w:rsidP="001B5EEC">
                  <w:pPr>
                    <w:jc w:val="both"/>
                  </w:pPr>
                  <w:r w:rsidRPr="00911663">
                    <w:t>malý</w:t>
                  </w:r>
                </w:p>
              </w:tc>
            </w:tr>
            <w:tr w:rsidR="001B5EEC" w:rsidRPr="00911663" w14:paraId="260F82BE" w14:textId="77777777" w:rsidTr="003C5F7D">
              <w:tc>
                <w:tcPr>
                  <w:tcW w:w="2122" w:type="dxa"/>
                </w:tcPr>
                <w:p w14:paraId="55F6DFBA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7AF1B73C" w14:textId="77777777" w:rsidR="001B5EEC" w:rsidRPr="00911663" w:rsidRDefault="00CD6BE2" w:rsidP="003244E9">
                  <w:pPr>
                    <w:jc w:val="both"/>
                  </w:pPr>
                  <w:r>
                    <w:t xml:space="preserve">CHA </w:t>
                  </w:r>
                  <w:proofErr w:type="spellStart"/>
                  <w:r>
                    <w:t>Temešská</w:t>
                  </w:r>
                  <w:proofErr w:type="spellEnd"/>
                  <w:r>
                    <w:t xml:space="preserve"> skala</w:t>
                  </w:r>
                </w:p>
              </w:tc>
            </w:tr>
            <w:tr w:rsidR="001B5EEC" w:rsidRPr="00911663" w14:paraId="0109BCDB" w14:textId="77777777" w:rsidTr="003C5F7D">
              <w:tc>
                <w:tcPr>
                  <w:tcW w:w="2122" w:type="dxa"/>
                </w:tcPr>
                <w:p w14:paraId="3C1775EF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14:paraId="6B143387" w14:textId="77777777" w:rsidR="001B5EEC" w:rsidRPr="00911663" w:rsidRDefault="00122E3C" w:rsidP="00CB1021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6D9EC5F1" w14:textId="77777777" w:rsidR="00C97DC8" w:rsidRDefault="00C97DC8" w:rsidP="001734DC">
            <w:pPr>
              <w:jc w:val="both"/>
            </w:pPr>
          </w:p>
          <w:p w14:paraId="7F1CAB14" w14:textId="77777777" w:rsidR="009F17BF" w:rsidRDefault="00EC3C36" w:rsidP="000564F2">
            <w:pPr>
              <w:jc w:val="both"/>
            </w:pPr>
            <w:r>
              <w:t>Predkladaný materiál sa nezaoberá prob</w:t>
            </w:r>
            <w:r w:rsidR="001E5DE1">
              <w:t xml:space="preserve">lematikou ochrany hornín a pôdy, ale zlepšenie a udržanie priaznivého stavu predmetov ochrany </w:t>
            </w:r>
            <w:r w:rsidR="00CD6BE2">
              <w:t xml:space="preserve">CHA </w:t>
            </w:r>
            <w:proofErr w:type="spellStart"/>
            <w:r w:rsidR="00CD6BE2">
              <w:t>Temešská</w:t>
            </w:r>
            <w:proofErr w:type="spellEnd"/>
            <w:r w:rsidR="00CD6BE2">
              <w:t xml:space="preserve"> skala</w:t>
            </w:r>
            <w:r w:rsidR="001E5DE1">
              <w:t xml:space="preserve"> pozitívne ovplyvní vše</w:t>
            </w:r>
            <w:r w:rsidR="00AA0516">
              <w:t>tky zložky okolitého ekosystému vrátane pôd.</w:t>
            </w:r>
            <w:r>
              <w:t xml:space="preserve"> </w:t>
            </w:r>
          </w:p>
          <w:p w14:paraId="09DC25AA" w14:textId="77777777" w:rsidR="001E5DE1" w:rsidRDefault="001E5DE1" w:rsidP="000564F2">
            <w:pPr>
              <w:jc w:val="both"/>
            </w:pPr>
          </w:p>
          <w:p w14:paraId="5D9DA6EC" w14:textId="77777777"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14:paraId="07E88A4C" w14:textId="77777777" w:rsidTr="00915935">
              <w:tc>
                <w:tcPr>
                  <w:tcW w:w="3256" w:type="dxa"/>
                </w:tcPr>
                <w:p w14:paraId="0419A679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6714114C" w14:textId="77777777" w:rsidR="00915935" w:rsidRPr="00F330AF" w:rsidRDefault="00915935" w:rsidP="00915935">
                  <w:pPr>
                    <w:jc w:val="both"/>
                  </w:pPr>
                  <w:r w:rsidRPr="00F330AF">
                    <w:t>pozitívny, s nepriamym environmentálnym dopadom, trvalý</w:t>
                  </w:r>
                </w:p>
              </w:tc>
            </w:tr>
            <w:tr w:rsidR="00915935" w:rsidRPr="00911663" w14:paraId="2B5B4E2C" w14:textId="77777777" w:rsidTr="00915935">
              <w:tc>
                <w:tcPr>
                  <w:tcW w:w="3256" w:type="dxa"/>
                </w:tcPr>
                <w:p w14:paraId="7F0E387B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5F99D3B2" w14:textId="77777777" w:rsidR="00915935" w:rsidRPr="00F330AF" w:rsidRDefault="00915935" w:rsidP="00915935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14:paraId="15CD7F87" w14:textId="77777777" w:rsidTr="00915935">
              <w:tc>
                <w:tcPr>
                  <w:tcW w:w="3256" w:type="dxa"/>
                </w:tcPr>
                <w:p w14:paraId="68D2C726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792EDC7C" w14:textId="77777777" w:rsidR="00915935" w:rsidRPr="00F330AF" w:rsidRDefault="00CD6BE2" w:rsidP="00915935">
                  <w:pPr>
                    <w:jc w:val="both"/>
                  </w:pPr>
                  <w:r>
                    <w:t xml:space="preserve">CHA </w:t>
                  </w:r>
                  <w:proofErr w:type="spellStart"/>
                  <w:r>
                    <w:t>Temešská</w:t>
                  </w:r>
                  <w:proofErr w:type="spellEnd"/>
                  <w:r>
                    <w:t xml:space="preserve"> skala</w:t>
                  </w:r>
                </w:p>
              </w:tc>
            </w:tr>
            <w:tr w:rsidR="00915935" w:rsidRPr="00911663" w14:paraId="0C0F8D31" w14:textId="77777777" w:rsidTr="00915935">
              <w:tc>
                <w:tcPr>
                  <w:tcW w:w="3256" w:type="dxa"/>
                </w:tcPr>
                <w:p w14:paraId="07A228E6" w14:textId="77777777" w:rsidR="00915935" w:rsidRPr="00F330AF" w:rsidRDefault="00915935" w:rsidP="00915935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14:paraId="7307C4A3" w14:textId="77777777" w:rsidR="00915935" w:rsidRPr="00F330AF" w:rsidRDefault="00915935" w:rsidP="00915935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14:paraId="4BA83A89" w14:textId="77777777" w:rsidR="00C97DC8" w:rsidRDefault="00C97DC8" w:rsidP="001734DC">
            <w:pPr>
              <w:jc w:val="both"/>
              <w:rPr>
                <w:u w:val="single"/>
              </w:rPr>
            </w:pPr>
          </w:p>
          <w:p w14:paraId="0FDA7A48" w14:textId="77777777"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CD6BE2">
              <w:t xml:space="preserve">CHA </w:t>
            </w:r>
            <w:proofErr w:type="spellStart"/>
            <w:r w:rsidR="00CD6BE2">
              <w:t>Temešská</w:t>
            </w:r>
            <w:proofErr w:type="spellEnd"/>
            <w:r w:rsidR="00CD6BE2">
              <w:t xml:space="preserve"> skala</w:t>
            </w:r>
            <w:r>
              <w:t xml:space="preserve"> </w:t>
            </w:r>
            <w:r w:rsidR="001E5DE1">
              <w:t>pozitívne</w:t>
            </w:r>
            <w:r>
              <w:t xml:space="preserve"> ovplyvní </w:t>
            </w:r>
            <w:r w:rsidR="00AA0516">
              <w:t>aj ďalšie zložky okolitého ekosystému vrátane ovzdušia.</w:t>
            </w:r>
          </w:p>
          <w:p w14:paraId="4B91CDD5" w14:textId="77777777"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14:paraId="259B54E6" w14:textId="77777777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14:paraId="0EDF3FB2" w14:textId="77777777"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14:paraId="2BC804AD" w14:textId="77777777" w:rsidTr="00F330AF">
        <w:trPr>
          <w:trHeight w:val="987"/>
        </w:trPr>
        <w:tc>
          <w:tcPr>
            <w:tcW w:w="9464" w:type="dxa"/>
          </w:tcPr>
          <w:p w14:paraId="5314CF19" w14:textId="0D8C934B" w:rsidR="009F17BF" w:rsidRPr="009F17BF" w:rsidRDefault="009F17BF" w:rsidP="00E06E04">
            <w:pPr>
              <w:jc w:val="both"/>
            </w:pPr>
            <w:r w:rsidRPr="002F5259">
              <w:t>Schválením nariadenia vlády</w:t>
            </w:r>
            <w:r w:rsidR="008D5CFF">
              <w:t xml:space="preserve">, ktorým sa vyhlasuje chránený areál </w:t>
            </w:r>
            <w:proofErr w:type="spellStart"/>
            <w:r w:rsidR="008D5CFF">
              <w:t>Temešská</w:t>
            </w:r>
            <w:proofErr w:type="spellEnd"/>
            <w:r w:rsidR="008D5CFF">
              <w:t xml:space="preserve"> skala,</w:t>
            </w:r>
            <w:r w:rsidRPr="002F5259">
              <w:t xml:space="preserve"> vznikne nové chránené ú</w:t>
            </w:r>
            <w:r>
              <w:t xml:space="preserve">zemie – </w:t>
            </w:r>
            <w:r w:rsidR="00CD6BE2">
              <w:t xml:space="preserve">CHA </w:t>
            </w:r>
            <w:proofErr w:type="spellStart"/>
            <w:r w:rsidR="00CD6BE2">
              <w:t>Temešská</w:t>
            </w:r>
            <w:proofErr w:type="spellEnd"/>
            <w:r w:rsidR="00CD6BE2">
              <w:t xml:space="preserve"> skala</w:t>
            </w:r>
            <w:r w:rsidR="008D5CFF">
              <w:t xml:space="preserve"> a dôjde k </w:t>
            </w:r>
            <w:r w:rsidR="004C440E">
              <w:t>zruš</w:t>
            </w:r>
            <w:r w:rsidR="008D5CFF">
              <w:t xml:space="preserve">eniu existujúcej PR </w:t>
            </w:r>
            <w:proofErr w:type="spellStart"/>
            <w:r w:rsidR="008D5CFF">
              <w:t>Temešská</w:t>
            </w:r>
            <w:proofErr w:type="spellEnd"/>
            <w:r w:rsidR="008D5CFF">
              <w:t xml:space="preserve"> skala</w:t>
            </w:r>
            <w:r w:rsidR="00596AD5">
              <w:t xml:space="preserve"> s výmerou 57,93 ha a s piatym stupňom ochrany</w:t>
            </w:r>
            <w:r w:rsidR="008D5CFF">
              <w:t xml:space="preserve">, ktorá sa stane súčasťou CHA </w:t>
            </w:r>
            <w:proofErr w:type="spellStart"/>
            <w:r w:rsidR="008D5CFF">
              <w:t>Temešská</w:t>
            </w:r>
            <w:proofErr w:type="spellEnd"/>
            <w:r w:rsidR="008D5CFF">
              <w:t xml:space="preserve"> skala.</w:t>
            </w:r>
            <w:r w:rsidR="00C35DD5">
              <w:t xml:space="preserve"> </w:t>
            </w:r>
          </w:p>
          <w:p w14:paraId="6059E03A" w14:textId="77777777" w:rsidR="008A7A83" w:rsidRPr="00911663" w:rsidRDefault="008A7A83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14:paraId="008B7E2A" w14:textId="77777777" w:rsidTr="006B0C15">
              <w:tc>
                <w:tcPr>
                  <w:tcW w:w="3256" w:type="dxa"/>
                </w:tcPr>
                <w:p w14:paraId="72FBEB5B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4580FD8A" w14:textId="77777777"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56DB27A6" w14:textId="77777777" w:rsidTr="006B0C15">
              <w:tc>
                <w:tcPr>
                  <w:tcW w:w="3256" w:type="dxa"/>
                </w:tcPr>
                <w:p w14:paraId="0273BB5F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2CE7E223" w14:textId="77777777" w:rsidR="001B5EEC" w:rsidRPr="00911663" w:rsidRDefault="00C35DD5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14:paraId="3CAC2681" w14:textId="77777777" w:rsidTr="006B0C15">
              <w:tc>
                <w:tcPr>
                  <w:tcW w:w="3256" w:type="dxa"/>
                </w:tcPr>
                <w:p w14:paraId="308CEF13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29BC6CF1" w14:textId="77777777" w:rsidR="001B5EEC" w:rsidRPr="00911663" w:rsidRDefault="004A38D0" w:rsidP="001E5DE1">
                  <w:pPr>
                    <w:jc w:val="both"/>
                  </w:pPr>
                  <w:r>
                    <w:t xml:space="preserve">CHA </w:t>
                  </w:r>
                  <w:proofErr w:type="spellStart"/>
                  <w:r>
                    <w:t>Temešská</w:t>
                  </w:r>
                  <w:proofErr w:type="spellEnd"/>
                  <w:r>
                    <w:t xml:space="preserve"> skala</w:t>
                  </w:r>
                </w:p>
              </w:tc>
            </w:tr>
            <w:tr w:rsidR="001B5EEC" w:rsidRPr="00911663" w14:paraId="61D679AD" w14:textId="77777777" w:rsidTr="006B0C15">
              <w:tc>
                <w:tcPr>
                  <w:tcW w:w="3256" w:type="dxa"/>
                </w:tcPr>
                <w:p w14:paraId="334DEB3F" w14:textId="77777777" w:rsidR="001B5EEC" w:rsidRPr="00911663" w:rsidRDefault="001B5EEC" w:rsidP="00E06E04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14:paraId="4F469532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7C06CBDE" w14:textId="77777777" w:rsidR="001B5EEC" w:rsidRPr="00841720" w:rsidRDefault="001B5EEC" w:rsidP="00C35DD5">
            <w:pPr>
              <w:jc w:val="both"/>
            </w:pPr>
          </w:p>
        </w:tc>
      </w:tr>
      <w:tr w:rsidR="001B5EEC" w:rsidRPr="002E32C0" w14:paraId="3F69D194" w14:textId="77777777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14:paraId="33683298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14:paraId="7FEE0B23" w14:textId="77777777" w:rsidTr="006B0C15">
        <w:trPr>
          <w:trHeight w:val="781"/>
        </w:trPr>
        <w:tc>
          <w:tcPr>
            <w:tcW w:w="9464" w:type="dxa"/>
          </w:tcPr>
          <w:p w14:paraId="5999E4DE" w14:textId="623D6D4C" w:rsidR="00DB2F1B" w:rsidRPr="00D25992" w:rsidRDefault="00550B14" w:rsidP="003510F0">
            <w:pPr>
              <w:jc w:val="both"/>
              <w:rPr>
                <w:b/>
                <w:sz w:val="24"/>
                <w:szCs w:val="24"/>
              </w:rPr>
            </w:pPr>
            <w:r w:rsidRPr="00550B14">
              <w:t xml:space="preserve">Áno. </w:t>
            </w:r>
            <w:r w:rsidR="00CD6BE2">
              <w:t xml:space="preserve">CHA </w:t>
            </w:r>
            <w:proofErr w:type="spellStart"/>
            <w:r w:rsidR="00CD6BE2">
              <w:t>Temešská</w:t>
            </w:r>
            <w:proofErr w:type="spellEnd"/>
            <w:r w:rsidR="00CD6BE2">
              <w:t xml:space="preserve"> skala</w:t>
            </w:r>
            <w:r w:rsidRPr="00550B14">
              <w:t xml:space="preserve"> je zároveň územím európskeho významu</w:t>
            </w:r>
            <w:r w:rsidR="003510F0">
              <w:t>.</w:t>
            </w:r>
            <w:r w:rsidRPr="00550B14">
              <w:t xml:space="preserve"> </w:t>
            </w:r>
            <w:r w:rsidR="004A38D0" w:rsidRPr="004A38D0">
              <w:t xml:space="preserve">Uplatnenie ochrany biotopov spolu s realizáciou </w:t>
            </w:r>
            <w:proofErr w:type="spellStart"/>
            <w:r w:rsidR="004A38D0" w:rsidRPr="004A38D0">
              <w:t>manažmentových</w:t>
            </w:r>
            <w:proofErr w:type="spellEnd"/>
            <w:r w:rsidR="004A38D0" w:rsidRPr="004A38D0">
              <w:t xml:space="preserve"> opatrení vytvára predpoklad pre zachovanie alebo zlepšenie lokálnej biodiverzity a spolu s ďalšími územiami navrhnutými do sústavy N</w:t>
            </w:r>
            <w:r w:rsidR="00CF37D6">
              <w:t>atura</w:t>
            </w:r>
            <w:r w:rsidR="004A38D0" w:rsidRPr="004A38D0">
              <w:t xml:space="preserve"> 2000 vytvára podmienky pre naplnenie jej hlavného cieľa, ktorým je zachovanie prírodného dedičstva, významného nielen pre príslušný členský štát, ale pre Európsku úniu ako celok. Územie tak prispieva k zabezpečeniu ochrany najvzácnejších a najviac ohrozených druhov voľne rastúcich rastlín, voľne žijúcich živočíchov a prírodných biotopov. Prostredníctvom ochrany týchto druhov a biotopov sa sleduje zabezpečenie zachovania biologickej rôznorodosti v širokom meradle v rámci členských krajín únie. </w:t>
            </w:r>
          </w:p>
        </w:tc>
      </w:tr>
      <w:tr w:rsidR="001B5EEC" w:rsidRPr="002E32C0" w14:paraId="086F5020" w14:textId="77777777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14:paraId="6A2E2C88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14:paraId="0742C40B" w14:textId="77777777" w:rsidTr="00F330AF">
        <w:trPr>
          <w:trHeight w:val="520"/>
        </w:trPr>
        <w:tc>
          <w:tcPr>
            <w:tcW w:w="9464" w:type="dxa"/>
            <w:shd w:val="clear" w:color="auto" w:fill="FFFFFF"/>
          </w:tcPr>
          <w:p w14:paraId="316192A0" w14:textId="77777777"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14:paraId="27678B27" w14:textId="77777777"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822A" w14:textId="77777777" w:rsidR="00F12A85" w:rsidRDefault="00F12A85" w:rsidP="00374EDB">
      <w:r>
        <w:separator/>
      </w:r>
    </w:p>
  </w:endnote>
  <w:endnote w:type="continuationSeparator" w:id="0">
    <w:p w14:paraId="7E8884B1" w14:textId="77777777" w:rsidR="00F12A85" w:rsidRDefault="00F12A8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14:paraId="47967C0D" w14:textId="344C7321"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2D">
          <w:rPr>
            <w:noProof/>
          </w:rPr>
          <w:t>2</w:t>
        </w:r>
        <w:r>
          <w:fldChar w:fldCharType="end"/>
        </w:r>
      </w:p>
    </w:sdtContent>
  </w:sdt>
  <w:p w14:paraId="7321C959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DA56" w14:textId="77777777" w:rsidR="00F12A85" w:rsidRDefault="00F12A85" w:rsidP="00374EDB">
      <w:r>
        <w:separator/>
      </w:r>
    </w:p>
  </w:footnote>
  <w:footnote w:type="continuationSeparator" w:id="0">
    <w:p w14:paraId="3A7E6B10" w14:textId="77777777" w:rsidR="00F12A85" w:rsidRDefault="00F12A85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0A5F" w14:textId="77777777"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14:paraId="36DFBAD3" w14:textId="77777777"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14:paraId="400F021A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30BD"/>
    <w:rsid w:val="00021A2A"/>
    <w:rsid w:val="00034604"/>
    <w:rsid w:val="000564F2"/>
    <w:rsid w:val="000649EE"/>
    <w:rsid w:val="00065608"/>
    <w:rsid w:val="000727C2"/>
    <w:rsid w:val="000B15AB"/>
    <w:rsid w:val="000C5587"/>
    <w:rsid w:val="000E3602"/>
    <w:rsid w:val="000F2A8C"/>
    <w:rsid w:val="00116DE1"/>
    <w:rsid w:val="00122E3C"/>
    <w:rsid w:val="0013154B"/>
    <w:rsid w:val="001466BF"/>
    <w:rsid w:val="001734DC"/>
    <w:rsid w:val="001A438A"/>
    <w:rsid w:val="001A6857"/>
    <w:rsid w:val="001B5EEC"/>
    <w:rsid w:val="001E5DE1"/>
    <w:rsid w:val="001F7966"/>
    <w:rsid w:val="00216EE0"/>
    <w:rsid w:val="0022267E"/>
    <w:rsid w:val="00237FEC"/>
    <w:rsid w:val="00246AC0"/>
    <w:rsid w:val="0024763C"/>
    <w:rsid w:val="00272EC3"/>
    <w:rsid w:val="0028795C"/>
    <w:rsid w:val="002C1D45"/>
    <w:rsid w:val="002C26F5"/>
    <w:rsid w:val="002C50CC"/>
    <w:rsid w:val="002D0B1A"/>
    <w:rsid w:val="002D6FD9"/>
    <w:rsid w:val="002E32C0"/>
    <w:rsid w:val="00306101"/>
    <w:rsid w:val="0032226A"/>
    <w:rsid w:val="003244E9"/>
    <w:rsid w:val="00333C84"/>
    <w:rsid w:val="00337A38"/>
    <w:rsid w:val="003510F0"/>
    <w:rsid w:val="003529C8"/>
    <w:rsid w:val="00363282"/>
    <w:rsid w:val="00374EDB"/>
    <w:rsid w:val="00390E8B"/>
    <w:rsid w:val="003B5D81"/>
    <w:rsid w:val="003C230E"/>
    <w:rsid w:val="003C3556"/>
    <w:rsid w:val="003E7FED"/>
    <w:rsid w:val="004011D0"/>
    <w:rsid w:val="00402E53"/>
    <w:rsid w:val="00412CB6"/>
    <w:rsid w:val="00413E9A"/>
    <w:rsid w:val="00426EBC"/>
    <w:rsid w:val="0044200B"/>
    <w:rsid w:val="00457976"/>
    <w:rsid w:val="00491D7D"/>
    <w:rsid w:val="004A38D0"/>
    <w:rsid w:val="004A46A0"/>
    <w:rsid w:val="004C440E"/>
    <w:rsid w:val="004D4509"/>
    <w:rsid w:val="004D7407"/>
    <w:rsid w:val="004F0B70"/>
    <w:rsid w:val="00501F88"/>
    <w:rsid w:val="00505FD9"/>
    <w:rsid w:val="00511203"/>
    <w:rsid w:val="00515556"/>
    <w:rsid w:val="00520832"/>
    <w:rsid w:val="0052120A"/>
    <w:rsid w:val="00550B14"/>
    <w:rsid w:val="00582A57"/>
    <w:rsid w:val="005842DA"/>
    <w:rsid w:val="00596AD5"/>
    <w:rsid w:val="005A1401"/>
    <w:rsid w:val="005B0D36"/>
    <w:rsid w:val="005D2D1A"/>
    <w:rsid w:val="005E30D0"/>
    <w:rsid w:val="005E503B"/>
    <w:rsid w:val="0060322F"/>
    <w:rsid w:val="00603BB0"/>
    <w:rsid w:val="00660868"/>
    <w:rsid w:val="00671A1E"/>
    <w:rsid w:val="00671FEC"/>
    <w:rsid w:val="0067693E"/>
    <w:rsid w:val="0068737F"/>
    <w:rsid w:val="00690EB6"/>
    <w:rsid w:val="006B0C15"/>
    <w:rsid w:val="006C3BC7"/>
    <w:rsid w:val="006F122D"/>
    <w:rsid w:val="0070044C"/>
    <w:rsid w:val="00702CAB"/>
    <w:rsid w:val="007179ED"/>
    <w:rsid w:val="007228E3"/>
    <w:rsid w:val="0075319E"/>
    <w:rsid w:val="007604EE"/>
    <w:rsid w:val="007812C4"/>
    <w:rsid w:val="007A3CF1"/>
    <w:rsid w:val="007D084C"/>
    <w:rsid w:val="007E2E4D"/>
    <w:rsid w:val="007E6EBB"/>
    <w:rsid w:val="007F3674"/>
    <w:rsid w:val="008108E7"/>
    <w:rsid w:val="00822E39"/>
    <w:rsid w:val="00830034"/>
    <w:rsid w:val="00836E01"/>
    <w:rsid w:val="00841720"/>
    <w:rsid w:val="008475D2"/>
    <w:rsid w:val="0085051E"/>
    <w:rsid w:val="00854D4F"/>
    <w:rsid w:val="00864E2C"/>
    <w:rsid w:val="00867427"/>
    <w:rsid w:val="00881815"/>
    <w:rsid w:val="0089671F"/>
    <w:rsid w:val="008A7A83"/>
    <w:rsid w:val="008B0F16"/>
    <w:rsid w:val="008D17C9"/>
    <w:rsid w:val="008D3422"/>
    <w:rsid w:val="008D5CFF"/>
    <w:rsid w:val="008E0A9A"/>
    <w:rsid w:val="008F6989"/>
    <w:rsid w:val="00903D22"/>
    <w:rsid w:val="0090462E"/>
    <w:rsid w:val="00906477"/>
    <w:rsid w:val="00914FB7"/>
    <w:rsid w:val="00915935"/>
    <w:rsid w:val="00915B29"/>
    <w:rsid w:val="009333AF"/>
    <w:rsid w:val="0095007B"/>
    <w:rsid w:val="00962044"/>
    <w:rsid w:val="009E6A34"/>
    <w:rsid w:val="009F03AB"/>
    <w:rsid w:val="009F17BF"/>
    <w:rsid w:val="00A02E49"/>
    <w:rsid w:val="00A03FD7"/>
    <w:rsid w:val="00A21FB9"/>
    <w:rsid w:val="00A316DA"/>
    <w:rsid w:val="00A3602C"/>
    <w:rsid w:val="00A4435F"/>
    <w:rsid w:val="00A462C6"/>
    <w:rsid w:val="00A53E7A"/>
    <w:rsid w:val="00A61513"/>
    <w:rsid w:val="00A63042"/>
    <w:rsid w:val="00A86166"/>
    <w:rsid w:val="00A96EDF"/>
    <w:rsid w:val="00AA0516"/>
    <w:rsid w:val="00AB06B8"/>
    <w:rsid w:val="00AB3B88"/>
    <w:rsid w:val="00AC1350"/>
    <w:rsid w:val="00AD297E"/>
    <w:rsid w:val="00AF3AB6"/>
    <w:rsid w:val="00AF3C7A"/>
    <w:rsid w:val="00B45CE7"/>
    <w:rsid w:val="00B46AD8"/>
    <w:rsid w:val="00B4795E"/>
    <w:rsid w:val="00B61CE9"/>
    <w:rsid w:val="00B6641D"/>
    <w:rsid w:val="00B7174E"/>
    <w:rsid w:val="00B8052F"/>
    <w:rsid w:val="00B877D2"/>
    <w:rsid w:val="00BA1FA3"/>
    <w:rsid w:val="00BC1508"/>
    <w:rsid w:val="00BC6400"/>
    <w:rsid w:val="00BE5EC0"/>
    <w:rsid w:val="00C01B19"/>
    <w:rsid w:val="00C05EFA"/>
    <w:rsid w:val="00C10D28"/>
    <w:rsid w:val="00C35DD5"/>
    <w:rsid w:val="00C47EF1"/>
    <w:rsid w:val="00C536C6"/>
    <w:rsid w:val="00C5658D"/>
    <w:rsid w:val="00C65770"/>
    <w:rsid w:val="00C879B7"/>
    <w:rsid w:val="00C97DC8"/>
    <w:rsid w:val="00CB1021"/>
    <w:rsid w:val="00CB3623"/>
    <w:rsid w:val="00CC330C"/>
    <w:rsid w:val="00CC6BFA"/>
    <w:rsid w:val="00CD0F30"/>
    <w:rsid w:val="00CD630E"/>
    <w:rsid w:val="00CD6BE2"/>
    <w:rsid w:val="00CF37D6"/>
    <w:rsid w:val="00CF4078"/>
    <w:rsid w:val="00D01089"/>
    <w:rsid w:val="00D016CB"/>
    <w:rsid w:val="00D12CC5"/>
    <w:rsid w:val="00D20709"/>
    <w:rsid w:val="00D22815"/>
    <w:rsid w:val="00D25992"/>
    <w:rsid w:val="00D312CF"/>
    <w:rsid w:val="00D37E8F"/>
    <w:rsid w:val="00D4562F"/>
    <w:rsid w:val="00D47CEA"/>
    <w:rsid w:val="00D92F92"/>
    <w:rsid w:val="00DA097A"/>
    <w:rsid w:val="00DB1F27"/>
    <w:rsid w:val="00DB2F1B"/>
    <w:rsid w:val="00DB2F33"/>
    <w:rsid w:val="00DD0028"/>
    <w:rsid w:val="00DD15AF"/>
    <w:rsid w:val="00E06E04"/>
    <w:rsid w:val="00E239E3"/>
    <w:rsid w:val="00E43C25"/>
    <w:rsid w:val="00E53EFE"/>
    <w:rsid w:val="00E9322D"/>
    <w:rsid w:val="00EA0219"/>
    <w:rsid w:val="00EC3C36"/>
    <w:rsid w:val="00EC5290"/>
    <w:rsid w:val="00EF743B"/>
    <w:rsid w:val="00F12A85"/>
    <w:rsid w:val="00F21A49"/>
    <w:rsid w:val="00F330AF"/>
    <w:rsid w:val="00F33EF9"/>
    <w:rsid w:val="00F51C36"/>
    <w:rsid w:val="00F61834"/>
    <w:rsid w:val="00F65BF4"/>
    <w:rsid w:val="00F67200"/>
    <w:rsid w:val="00F85ABB"/>
    <w:rsid w:val="00F86DFE"/>
    <w:rsid w:val="00FB242B"/>
    <w:rsid w:val="00FB54CD"/>
    <w:rsid w:val="00FC6AC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E1E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doložka_-zivotne-prostredie_Temešská-skala"/>
    <f:field ref="objsubject" par="" edit="true" text=""/>
    <f:field ref="objcreatedby" par="" text="Lojková, Silvia, JUDr."/>
    <f:field ref="objcreatedat" par="" text="26.2.2021 16:20:50"/>
    <f:field ref="objchangedby" par="" text="Administrator, System"/>
    <f:field ref="objmodifiedat" par="" text="26.2.2021 16:20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3C25C-C195-4905-8297-F568F5F7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7EC1059-8E77-4E1C-85C2-6F62040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cp:lastPrinted>2020-12-14T09:05:00Z</cp:lastPrinted>
  <dcterms:created xsi:type="dcterms:W3CDTF">2021-04-06T12:15:00Z</dcterms:created>
  <dcterms:modified xsi:type="dcterms:W3CDTF">2021-04-06T12:15:00Z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Temešská skala bol oznámený Okresným úradom Trenčín dotknutým subjektom v zmysle § 50 zákona č. 543/2002 Z. z. o ochrane prírody a krajiny v znení neskorších predpisov. Obce Čavoj a&amp;nbsp;Temeš&amp;nbsp; o zámere informovali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Temešská skala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3" name="FSC#SKEDITIONSLOVLEX@103.510:plnynazovpredpis">
    <vt:lpwstr> Nariadenie vlády  Slovenskej republiky, ktorým sa vyhlasuje chránený areál Temešská skala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7059/2021-1.7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15/zv.2) v platnom znení        gestor: Ministerstvo životného prostredia Slovenske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Členské štáty majú širokú diskrečnú právomoc v súvislosti so spôsobom označovania území európskeho významu za osobitne chránené územia. Obmedzenia tejto právomoci však vyplývajú z ustálenej judikatúry Súdneho dvora, podľa ktorej „musia byť ustanovenia sme</vt:lpwstr>
  </property>
  <property fmtid="{D5CDD505-2E9C-101B-9397-08002B2CF9AE}" pid="52" name="FSC#SKEDITIONSLOVLEX@103.510:AttrStrListDocPropLehotaPrebratieSmernice">
    <vt:lpwstr>15. január 2014 – lehota je určená v súlade s čl. 4 ods. 4 smernice Rady 92/43/EHS z 21. mája 1992 o ochrane prirodzených biotopov a voľne žijúcich živočíchov a rastlín (Ú. V. ES L 206, 22.7.1992; Mimoriadne vydanie Ú. v. EÚ, kap. 15/zv.2) v platnom znení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Formálne oznámenie Európskej komisie v rámci konania o porušení zmlúv č. 2019/2141, ktoré sa týka nedostatočného vyhlasovania lokalít európskeho významu a stanovenia cieľov ochrany a opatrení na ich dosiahnutie (napr. v rámci programov starostlivosti)._x000d_
_x000d_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15/zv.2) v platnom znení  je prebratá predovšetkým_x000d_
-	zákonom č. 543/2002 Z. z. o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29. 1. 2021</vt:lpwstr>
  </property>
  <property fmtid="{D5CDD505-2E9C-101B-9397-08002B2CF9AE}" pid="59" name="FSC#SKEDITIONSLOVLEX@103.510:AttrDateDocPropUkonceniePKK">
    <vt:lpwstr>16. 2. 2021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justify;"&gt;Predkladaným návrhom nariadenia vlády Slovenskej republiky, ktorým sa vyhlasuje chránený areál Temešská skala (ďalej len „návrh nariadenia vlády“), sa za chránené územie vyhlási lokalita európskeho významu SKUEV0127 Temešsk</vt:lpwstr>
  </property>
  <property fmtid="{D5CDD505-2E9C-101B-9397-08002B2CF9AE}" pid="66" name="FSC#SKEDITIONSLOVLEX@103.510:AttrStrListDocPropAltRiesenia">
    <vt:lpwstr>Alternatívne riešenie sa týka celkovo vyhlásenia/nevyhlásenia CHA Temešská skala.Dôvodom vyhlásenia CHA Temešská skala je splnenie požiadavky vyplývajúcej z čl. 4 ods. 4 smernice 92/43/EHS v platnom znení, podľa ktorého členské štáty určia lokality uveden</vt:lpwstr>
  </property>
  <property fmtid="{D5CDD505-2E9C-101B-9397-08002B2CF9AE}" pid="67" name="FSC#SKEDITIONSLOVLEX@103.510:AttrStrListDocPropStanoviskoGest">
    <vt:lpwstr>&lt;p style="text-align: justify;"&gt;Komisia v&amp;nbsp;stanovisku č. 017/2021 zo dňa 16.02.2021 uplatnila nasledovné pripomienky a&amp;nbsp;odporúčania:&lt;/p&gt;&lt;p style="text-align: justify;"&gt;&lt;strong&gt;K vplyvom na podnikateľské prostredie&lt;/strong&gt;&lt;/p&gt;&lt;p style="text-align: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&lt;div style="clear: both; text-align: justify;"&gt;Ministerstvo životného prostredia Slovenskej republiky predkladá na medzirezortné pripomienkové konanie návrh nariadenia vlády Slovenskej republiky, ktorým sa vyhlasuje chránený areál Temešská skala (ďalej le</vt:lpwstr>
  </property>
  <property fmtid="{D5CDD505-2E9C-101B-9397-08002B2CF9AE}" pid="150" name="FSC#COOSYSTEM@1.1:Container">
    <vt:lpwstr>COO.2145.1000.3.4268032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26. 2. 2021</vt:lpwstr>
  </property>
</Properties>
</file>