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74EDB" w:rsidRPr="002E32C0" w14:paraId="4CB9D797" w14:textId="77777777" w:rsidTr="00F330AF">
        <w:trPr>
          <w:trHeight w:val="566"/>
        </w:trPr>
        <w:tc>
          <w:tcPr>
            <w:tcW w:w="9464" w:type="dxa"/>
            <w:shd w:val="clear" w:color="auto" w:fill="D9D9D9"/>
            <w:vAlign w:val="center"/>
            <w:hideMark/>
          </w:tcPr>
          <w:p w14:paraId="6816C614" w14:textId="77777777"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14:paraId="1458D006" w14:textId="77777777" w:rsidTr="00F330AF">
        <w:trPr>
          <w:trHeight w:val="688"/>
        </w:trPr>
        <w:tc>
          <w:tcPr>
            <w:tcW w:w="9464" w:type="dxa"/>
            <w:shd w:val="clear" w:color="auto" w:fill="D9D9D9"/>
            <w:vAlign w:val="center"/>
            <w:hideMark/>
          </w:tcPr>
          <w:p w14:paraId="10908C08" w14:textId="77777777"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1B5EEC" w:rsidRPr="002E32C0" w14:paraId="61397179" w14:textId="77777777" w:rsidTr="00F330AF">
        <w:trPr>
          <w:trHeight w:val="995"/>
        </w:trPr>
        <w:tc>
          <w:tcPr>
            <w:tcW w:w="9464" w:type="dxa"/>
          </w:tcPr>
          <w:p w14:paraId="43393D2D" w14:textId="6ED9B0DA" w:rsidR="00FF7AE8" w:rsidRDefault="00FF7AE8" w:rsidP="001B5EEC">
            <w:pPr>
              <w:jc w:val="both"/>
            </w:pPr>
            <w:r>
              <w:t>Chránený areál (</w:t>
            </w:r>
            <w:r w:rsidRPr="00FF7AE8">
              <w:t>CHA</w:t>
            </w:r>
            <w:r>
              <w:t>)</w:t>
            </w:r>
            <w:r w:rsidRPr="00FF7AE8">
              <w:t xml:space="preserve"> Rimava je vymedzený na vodnom toku Rimava v úseku od </w:t>
            </w:r>
            <w:r w:rsidR="00E235CE">
              <w:t xml:space="preserve">riečneho kilometra </w:t>
            </w:r>
            <w:r w:rsidRPr="00FF7AE8">
              <w:t xml:space="preserve">70,1 </w:t>
            </w:r>
            <w:r w:rsidR="00E235CE">
              <w:t xml:space="preserve">po riečny kilometer </w:t>
            </w:r>
            <w:r w:rsidRPr="00FF7AE8">
              <w:t>7</w:t>
            </w:r>
            <w:r w:rsidR="00E235CE">
              <w:t>4</w:t>
            </w:r>
            <w:r w:rsidRPr="00FF7AE8">
              <w:t>.</w:t>
            </w:r>
            <w:r>
              <w:t xml:space="preserve"> </w:t>
            </w:r>
            <w:r w:rsidR="005E171D">
              <w:t>Vyhlásenie</w:t>
            </w:r>
            <w:r w:rsidR="001F7966">
              <w:t xml:space="preserve"> </w:t>
            </w:r>
            <w:r w:rsidR="005C7704">
              <w:t>CHA</w:t>
            </w:r>
            <w:r w:rsidR="00E235CE">
              <w:t xml:space="preserve"> </w:t>
            </w:r>
            <w:r w:rsidR="006E6316">
              <w:t>Rimava</w:t>
            </w:r>
            <w:r w:rsidR="001F7966">
              <w:t xml:space="preserve"> </w:t>
            </w:r>
            <w:r w:rsidR="00D62C2C">
              <w:t xml:space="preserve">vytvára predpoklad </w:t>
            </w:r>
            <w:r w:rsidR="005E171D">
              <w:t xml:space="preserve">na </w:t>
            </w:r>
            <w:r w:rsidR="001F7966">
              <w:t>dlhodobý pozitívny vplyv na prírodné hodnoty, ktoré sú predmetom ochrany</w:t>
            </w:r>
            <w:r w:rsidR="005E171D">
              <w:t xml:space="preserve"> </w:t>
            </w:r>
            <w:r w:rsidR="00E235CE">
              <w:t>tohto územia.</w:t>
            </w:r>
            <w:r w:rsidR="001F7966">
              <w:t xml:space="preserve"> Ide o</w:t>
            </w:r>
            <w:r w:rsidR="006E6316">
              <w:t> biotopy siedmich druho</w:t>
            </w:r>
            <w:r w:rsidR="00D62C2C">
              <w:t>v živočíchov európskeho významu</w:t>
            </w:r>
            <w:r w:rsidR="006E6316">
              <w:t xml:space="preserve"> </w:t>
            </w:r>
            <w:proofErr w:type="spellStart"/>
            <w:r w:rsidR="006E6316" w:rsidRPr="006E6316">
              <w:t>mihuľa</w:t>
            </w:r>
            <w:proofErr w:type="spellEnd"/>
            <w:r w:rsidR="006E6316" w:rsidRPr="006E6316">
              <w:t xml:space="preserve"> </w:t>
            </w:r>
            <w:proofErr w:type="spellStart"/>
            <w:r w:rsidR="006E6316" w:rsidRPr="006E6316">
              <w:t>potiská</w:t>
            </w:r>
            <w:proofErr w:type="spellEnd"/>
            <w:r w:rsidR="006E6316" w:rsidRPr="006E6316">
              <w:t xml:space="preserve"> (</w:t>
            </w:r>
            <w:proofErr w:type="spellStart"/>
            <w:r w:rsidR="006E6316" w:rsidRPr="006E6316">
              <w:rPr>
                <w:i/>
              </w:rPr>
              <w:t>Eudontomyzon</w:t>
            </w:r>
            <w:proofErr w:type="spellEnd"/>
            <w:r w:rsidR="006E6316" w:rsidRPr="006E6316">
              <w:rPr>
                <w:i/>
              </w:rPr>
              <w:t xml:space="preserve"> </w:t>
            </w:r>
            <w:proofErr w:type="spellStart"/>
            <w:r w:rsidR="006E6316" w:rsidRPr="006E6316">
              <w:rPr>
                <w:i/>
              </w:rPr>
              <w:t>danfordi</w:t>
            </w:r>
            <w:proofErr w:type="spellEnd"/>
            <w:r w:rsidR="006E6316" w:rsidRPr="006E6316">
              <w:t>)</w:t>
            </w:r>
            <w:r w:rsidR="006E6316">
              <w:t xml:space="preserve">, </w:t>
            </w:r>
            <w:proofErr w:type="spellStart"/>
            <w:r w:rsidR="006E6316" w:rsidRPr="006E6316">
              <w:t>kunka</w:t>
            </w:r>
            <w:proofErr w:type="spellEnd"/>
            <w:r w:rsidR="006E6316" w:rsidRPr="006E6316">
              <w:t xml:space="preserve"> </w:t>
            </w:r>
            <w:proofErr w:type="spellStart"/>
            <w:r w:rsidR="006E6316" w:rsidRPr="006E6316">
              <w:t>žltoruchá</w:t>
            </w:r>
            <w:proofErr w:type="spellEnd"/>
            <w:r w:rsidR="006E6316" w:rsidRPr="006E6316">
              <w:t xml:space="preserve"> (</w:t>
            </w:r>
            <w:proofErr w:type="spellStart"/>
            <w:r w:rsidR="006E6316" w:rsidRPr="006E6316">
              <w:rPr>
                <w:i/>
              </w:rPr>
              <w:t>Bombina</w:t>
            </w:r>
            <w:proofErr w:type="spellEnd"/>
            <w:r w:rsidR="006E6316" w:rsidRPr="006E6316">
              <w:rPr>
                <w:i/>
              </w:rPr>
              <w:t xml:space="preserve"> </w:t>
            </w:r>
            <w:proofErr w:type="spellStart"/>
            <w:r w:rsidR="006E6316" w:rsidRPr="006E6316">
              <w:rPr>
                <w:i/>
              </w:rPr>
              <w:t>variegata</w:t>
            </w:r>
            <w:proofErr w:type="spellEnd"/>
            <w:r w:rsidR="006E6316" w:rsidRPr="006E6316">
              <w:t>)</w:t>
            </w:r>
            <w:r w:rsidR="006E6316">
              <w:t xml:space="preserve">, </w:t>
            </w:r>
            <w:r w:rsidR="006E6316" w:rsidRPr="006E6316">
              <w:t>netopier brvitý (</w:t>
            </w:r>
            <w:proofErr w:type="spellStart"/>
            <w:r w:rsidR="006E6316" w:rsidRPr="006E6316">
              <w:rPr>
                <w:i/>
              </w:rPr>
              <w:t>Myotis</w:t>
            </w:r>
            <w:proofErr w:type="spellEnd"/>
            <w:r w:rsidR="006E6316" w:rsidRPr="006E6316">
              <w:rPr>
                <w:i/>
              </w:rPr>
              <w:t xml:space="preserve"> </w:t>
            </w:r>
            <w:proofErr w:type="spellStart"/>
            <w:r w:rsidR="006E6316" w:rsidRPr="006E6316">
              <w:rPr>
                <w:i/>
              </w:rPr>
              <w:t>emarginatus</w:t>
            </w:r>
            <w:proofErr w:type="spellEnd"/>
            <w:r w:rsidR="006E6316" w:rsidRPr="006E6316">
              <w:t>), netopier obyčajný (</w:t>
            </w:r>
            <w:proofErr w:type="spellStart"/>
            <w:r w:rsidR="006E6316" w:rsidRPr="006E6316">
              <w:rPr>
                <w:i/>
              </w:rPr>
              <w:t>Myotis</w:t>
            </w:r>
            <w:proofErr w:type="spellEnd"/>
            <w:r w:rsidR="006E6316" w:rsidRPr="006E6316">
              <w:rPr>
                <w:i/>
              </w:rPr>
              <w:t xml:space="preserve"> </w:t>
            </w:r>
            <w:proofErr w:type="spellStart"/>
            <w:r w:rsidR="006E6316" w:rsidRPr="006E6316">
              <w:rPr>
                <w:i/>
              </w:rPr>
              <w:t>myotis</w:t>
            </w:r>
            <w:proofErr w:type="spellEnd"/>
            <w:r w:rsidR="006E6316" w:rsidRPr="006E6316">
              <w:t xml:space="preserve">), netopier </w:t>
            </w:r>
            <w:proofErr w:type="spellStart"/>
            <w:r w:rsidR="006E6316" w:rsidRPr="006E6316">
              <w:t>ostrouchý</w:t>
            </w:r>
            <w:proofErr w:type="spellEnd"/>
            <w:r w:rsidR="00D4006F">
              <w:t>/netopier východný</w:t>
            </w:r>
            <w:r w:rsidR="006E6316" w:rsidRPr="006E6316">
              <w:t xml:space="preserve"> (</w:t>
            </w:r>
            <w:proofErr w:type="spellStart"/>
            <w:r w:rsidR="006E6316" w:rsidRPr="006E6316">
              <w:rPr>
                <w:i/>
              </w:rPr>
              <w:t>Myotis</w:t>
            </w:r>
            <w:proofErr w:type="spellEnd"/>
            <w:r w:rsidR="006E6316" w:rsidRPr="006E6316">
              <w:rPr>
                <w:i/>
              </w:rPr>
              <w:t xml:space="preserve"> </w:t>
            </w:r>
            <w:proofErr w:type="spellStart"/>
            <w:r w:rsidR="006E6316" w:rsidRPr="006E6316">
              <w:rPr>
                <w:i/>
              </w:rPr>
              <w:t>blythi</w:t>
            </w:r>
            <w:proofErr w:type="spellEnd"/>
            <w:r w:rsidR="006E6316" w:rsidRPr="006E6316">
              <w:t xml:space="preserve">), </w:t>
            </w:r>
            <w:proofErr w:type="spellStart"/>
            <w:r w:rsidR="006E6316" w:rsidRPr="006E6316">
              <w:t>podkovár</w:t>
            </w:r>
            <w:proofErr w:type="spellEnd"/>
            <w:r w:rsidR="006E6316" w:rsidRPr="006E6316">
              <w:t xml:space="preserve"> malý</w:t>
            </w:r>
            <w:r w:rsidR="00D4006F">
              <w:t>/</w:t>
            </w:r>
            <w:proofErr w:type="spellStart"/>
            <w:r w:rsidR="00D4006F">
              <w:t>podkovár</w:t>
            </w:r>
            <w:proofErr w:type="spellEnd"/>
            <w:r w:rsidR="00D4006F">
              <w:t xml:space="preserve"> krpatý</w:t>
            </w:r>
            <w:r w:rsidR="006E6316" w:rsidRPr="006E6316">
              <w:t xml:space="preserve"> (</w:t>
            </w:r>
            <w:proofErr w:type="spellStart"/>
            <w:r w:rsidR="006E6316" w:rsidRPr="006E6316">
              <w:rPr>
                <w:i/>
              </w:rPr>
              <w:t>Rhinolophus</w:t>
            </w:r>
            <w:proofErr w:type="spellEnd"/>
            <w:r w:rsidR="006E6316" w:rsidRPr="006E6316">
              <w:rPr>
                <w:i/>
              </w:rPr>
              <w:t xml:space="preserve"> </w:t>
            </w:r>
            <w:proofErr w:type="spellStart"/>
            <w:r w:rsidR="006E6316" w:rsidRPr="006E6316">
              <w:rPr>
                <w:i/>
              </w:rPr>
              <w:t>hipposideros</w:t>
            </w:r>
            <w:proofErr w:type="spellEnd"/>
            <w:r w:rsidR="006E6316" w:rsidRPr="006E6316">
              <w:t>), vydra riečna (</w:t>
            </w:r>
            <w:proofErr w:type="spellStart"/>
            <w:r w:rsidR="006E6316" w:rsidRPr="006E6316">
              <w:rPr>
                <w:i/>
              </w:rPr>
              <w:t>Lutra</w:t>
            </w:r>
            <w:proofErr w:type="spellEnd"/>
            <w:r w:rsidR="006E6316" w:rsidRPr="006E6316">
              <w:rPr>
                <w:i/>
              </w:rPr>
              <w:t xml:space="preserve"> </w:t>
            </w:r>
            <w:proofErr w:type="spellStart"/>
            <w:r w:rsidR="006E6316" w:rsidRPr="006E6316">
              <w:rPr>
                <w:i/>
              </w:rPr>
              <w:t>lutra</w:t>
            </w:r>
            <w:proofErr w:type="spellEnd"/>
            <w:r w:rsidR="006E6316" w:rsidRPr="006E6316">
              <w:t>)</w:t>
            </w:r>
            <w:r w:rsidR="006E6316">
              <w:t xml:space="preserve">. </w:t>
            </w:r>
          </w:p>
          <w:p w14:paraId="2E3123BD" w14:textId="216AE9F6" w:rsidR="006E6316" w:rsidRDefault="00FF7AE8" w:rsidP="001B5EEC">
            <w:pPr>
              <w:jc w:val="both"/>
            </w:pPr>
            <w:r w:rsidRPr="007D1ECE">
              <w:t xml:space="preserve">Rieka Rimava má v tejto časti zachovalý charakter s výskytom ďalších </w:t>
            </w:r>
            <w:r w:rsidR="008F510C" w:rsidRPr="007D1ECE">
              <w:t xml:space="preserve">cenných </w:t>
            </w:r>
            <w:r w:rsidRPr="007D1ECE">
              <w:t>druhov</w:t>
            </w:r>
            <w:r w:rsidR="008F510C" w:rsidRPr="007D1ECE">
              <w:t xml:space="preserve"> živočíchov a rastlín</w:t>
            </w:r>
            <w:r w:rsidRPr="007D1ECE">
              <w:t>.</w:t>
            </w:r>
            <w:r w:rsidRPr="00FF7AE8">
              <w:t xml:space="preserve"> </w:t>
            </w:r>
            <w:r w:rsidR="00753487">
              <w:t xml:space="preserve">Ochrana územia je zameraná na zachovanie podmienok a biotopov týchto druhov ako aj prirodzených meandrov toku s výskytom brehových porastov v katastri obce Rimavská Píla. </w:t>
            </w:r>
            <w:r w:rsidR="00B91B87" w:rsidRPr="00B91B87">
              <w:t xml:space="preserve">Riečne dno </w:t>
            </w:r>
            <w:r w:rsidR="00B91B87">
              <w:t xml:space="preserve">vodného toku Rimava </w:t>
            </w:r>
            <w:r w:rsidR="00B91B87" w:rsidRPr="00B91B87">
              <w:t>je tvorené prevažne kamenitým, miestami štrkovito-piesčitým substrátom, čo predstavuje vhodné podmienky pre neresenie a vývoj vajíčok dru</w:t>
            </w:r>
            <w:r w:rsidR="00B91B87">
              <w:t xml:space="preserve">hu </w:t>
            </w:r>
            <w:proofErr w:type="spellStart"/>
            <w:r w:rsidR="00B91B87">
              <w:t>mihuľa</w:t>
            </w:r>
            <w:proofErr w:type="spellEnd"/>
            <w:r w:rsidR="00B91B87">
              <w:t xml:space="preserve"> </w:t>
            </w:r>
            <w:proofErr w:type="spellStart"/>
            <w:r w:rsidR="00B91B87">
              <w:t>potiská</w:t>
            </w:r>
            <w:proofErr w:type="spellEnd"/>
            <w:r w:rsidR="00B91B87">
              <w:t xml:space="preserve">. </w:t>
            </w:r>
            <w:r w:rsidR="00B91B87" w:rsidRPr="00B91B87">
              <w:t>Práve preto je táto lokalita významná z hľadiska výskytu i vhodných reprodukčných podmienok tohto druhu</w:t>
            </w:r>
            <w:r w:rsidR="00E235CE">
              <w:t>.</w:t>
            </w:r>
            <w:r w:rsidR="00B91B87" w:rsidRPr="00B91B87">
              <w:t xml:space="preserve"> </w:t>
            </w:r>
          </w:p>
          <w:p w14:paraId="2E34CDEC" w14:textId="77777777" w:rsidR="006E6316" w:rsidRDefault="006E6316" w:rsidP="001B5EEC">
            <w:pPr>
              <w:jc w:val="both"/>
            </w:pPr>
          </w:p>
          <w:p w14:paraId="3ACC9C6B" w14:textId="77777777" w:rsidR="001B5EEC" w:rsidRDefault="001F7966" w:rsidP="001B5EEC">
            <w:pPr>
              <w:jc w:val="both"/>
            </w:pPr>
            <w:r>
              <w:t xml:space="preserve">Vyhlásením </w:t>
            </w:r>
            <w:r w:rsidR="00915B29">
              <w:t>CHA</w:t>
            </w:r>
            <w:r>
              <w:t xml:space="preserve"> </w:t>
            </w:r>
            <w:r w:rsidR="006E6316">
              <w:t>Rimava</w:t>
            </w:r>
            <w:r>
              <w:t xml:space="preserve"> budú pozitívne ovplyvnené aj ďalšie zložky životného prostredia napr. pôda, voda a ovzdušie.</w:t>
            </w:r>
          </w:p>
          <w:p w14:paraId="56998BDD" w14:textId="77777777" w:rsidR="001F7966" w:rsidRPr="00911663" w:rsidRDefault="001F7966" w:rsidP="001B5EEC">
            <w:pPr>
              <w:jc w:val="both"/>
            </w:pPr>
          </w:p>
          <w:p w14:paraId="5B9772B4" w14:textId="77777777" w:rsidR="001B5EEC" w:rsidRDefault="001B5EEC" w:rsidP="001B5EEC">
            <w:pPr>
              <w:jc w:val="both"/>
            </w:pPr>
            <w:r w:rsidRPr="00911663">
              <w:t>Hodnotenie vplyvov na jednotlivé zložky životného prostredia:</w:t>
            </w:r>
          </w:p>
          <w:p w14:paraId="5C183FED" w14:textId="77777777" w:rsidR="00F330AF" w:rsidRPr="00911663" w:rsidRDefault="00F330AF" w:rsidP="001B5EEC">
            <w:pPr>
              <w:jc w:val="both"/>
            </w:pPr>
          </w:p>
          <w:p w14:paraId="29594D74" w14:textId="77777777"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Organizmy - </w:t>
            </w:r>
            <w:proofErr w:type="spellStart"/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biota</w:t>
            </w:r>
            <w:proofErr w:type="spellEnd"/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237"/>
            </w:tblGrid>
            <w:tr w:rsidR="001B5EEC" w:rsidRPr="00911663" w14:paraId="4C3F5226" w14:textId="77777777" w:rsidTr="00E06E04">
              <w:tc>
                <w:tcPr>
                  <w:tcW w:w="2689" w:type="dxa"/>
                </w:tcPr>
                <w:p w14:paraId="61FD1343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237" w:type="dxa"/>
                </w:tcPr>
                <w:p w14:paraId="44D8CD0D" w14:textId="77777777" w:rsidR="001B5EEC" w:rsidRPr="00911663" w:rsidRDefault="001B5EEC" w:rsidP="001466BF">
                  <w:pPr>
                    <w:jc w:val="both"/>
                  </w:pPr>
                  <w:r w:rsidRPr="00911663">
                    <w:t>pozitívny, s</w:t>
                  </w:r>
                  <w:r w:rsidR="001466BF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0186B97B" w14:textId="77777777" w:rsidTr="00E06E04">
              <w:tc>
                <w:tcPr>
                  <w:tcW w:w="2689" w:type="dxa"/>
                </w:tcPr>
                <w:p w14:paraId="343F6142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237" w:type="dxa"/>
                </w:tcPr>
                <w:p w14:paraId="7E82F890" w14:textId="77777777" w:rsidR="001B5EEC" w:rsidRPr="00911663" w:rsidRDefault="001B5EEC" w:rsidP="001B5EEC">
                  <w:pPr>
                    <w:jc w:val="both"/>
                  </w:pPr>
                  <w:r w:rsidRPr="00911663">
                    <w:t>veľký</w:t>
                  </w:r>
                </w:p>
              </w:tc>
            </w:tr>
            <w:tr w:rsidR="001B5EEC" w:rsidRPr="00911663" w14:paraId="2FF3F8C2" w14:textId="77777777" w:rsidTr="00E06E04">
              <w:tc>
                <w:tcPr>
                  <w:tcW w:w="2689" w:type="dxa"/>
                </w:tcPr>
                <w:p w14:paraId="28865F41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237" w:type="dxa"/>
                </w:tcPr>
                <w:p w14:paraId="4601039A" w14:textId="7BF8E729" w:rsidR="001B5EEC" w:rsidRPr="00911663" w:rsidRDefault="001F7966" w:rsidP="00024E4B">
                  <w:pPr>
                    <w:jc w:val="both"/>
                  </w:pPr>
                  <w:r>
                    <w:t xml:space="preserve">CHA </w:t>
                  </w:r>
                  <w:r w:rsidR="00024E4B">
                    <w:t>Rimava</w:t>
                  </w:r>
                  <w:r w:rsidR="001B5EEC" w:rsidRPr="00911663">
                    <w:t xml:space="preserve">, </w:t>
                  </w:r>
                  <w:r w:rsidR="005C7704">
                    <w:t>vodný tok Rimava</w:t>
                  </w:r>
                </w:p>
              </w:tc>
            </w:tr>
            <w:tr w:rsidR="001B5EEC" w:rsidRPr="00911663" w14:paraId="2D2447EE" w14:textId="77777777" w:rsidTr="00E06E04">
              <w:tc>
                <w:tcPr>
                  <w:tcW w:w="2689" w:type="dxa"/>
                </w:tcPr>
                <w:p w14:paraId="3D9B097C" w14:textId="77777777" w:rsidR="001B5EEC" w:rsidRPr="00911663" w:rsidRDefault="001B5EEC" w:rsidP="00457976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environmentálnej významnosti vplyvu</w:t>
                  </w:r>
                </w:p>
              </w:tc>
              <w:tc>
                <w:tcPr>
                  <w:tcW w:w="6237" w:type="dxa"/>
                </w:tcPr>
                <w:p w14:paraId="7FC7C02C" w14:textId="77777777"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14:paraId="63E83752" w14:textId="77777777" w:rsidR="001B5EEC" w:rsidRPr="00911663" w:rsidRDefault="001B5EEC" w:rsidP="001B5EEC">
            <w:pPr>
              <w:jc w:val="both"/>
            </w:pPr>
          </w:p>
          <w:p w14:paraId="5E9F3807" w14:textId="717E81E8" w:rsidR="001B5EEC" w:rsidRDefault="002D0B1A" w:rsidP="001B5EEC">
            <w:pPr>
              <w:jc w:val="both"/>
            </w:pPr>
            <w:r w:rsidRPr="002D0B1A">
              <w:t xml:space="preserve">Vyhlásením CHA </w:t>
            </w:r>
            <w:r w:rsidR="00024E4B">
              <w:t>Rimava</w:t>
            </w:r>
            <w:r>
              <w:t xml:space="preserve"> bude </w:t>
            </w:r>
            <w:r w:rsidR="005C7704">
              <w:t xml:space="preserve">v súlade s požiadavkami Európskej komisie </w:t>
            </w:r>
            <w:r>
              <w:t>zabezpečená právna ochrana</w:t>
            </w:r>
            <w:r w:rsidRPr="002D0B1A">
              <w:t xml:space="preserve"> územia</w:t>
            </w:r>
            <w:r w:rsidR="00E235CE">
              <w:t xml:space="preserve"> a</w:t>
            </w:r>
            <w:r w:rsidRPr="002D0B1A">
              <w:t xml:space="preserve"> budú vytvorené podmienky pre </w:t>
            </w:r>
            <w:r w:rsidR="00024E4B">
              <w:t xml:space="preserve">zachovanie resp. </w:t>
            </w:r>
            <w:r w:rsidR="00A61513">
              <w:t>obnovenie</w:t>
            </w:r>
            <w:r w:rsidRPr="002D0B1A">
              <w:t xml:space="preserve"> </w:t>
            </w:r>
            <w:r w:rsidR="00BA1FA3">
              <w:t xml:space="preserve">priaznivého </w:t>
            </w:r>
            <w:r w:rsidR="008D3422">
              <w:t xml:space="preserve">stavu </w:t>
            </w:r>
            <w:r w:rsidR="00024E4B">
              <w:t>druhov živočíchov európskeho významu, ktoré tvoria predmet ochrany CHA Rimava. Opatrenia sú</w:t>
            </w:r>
            <w:r w:rsidR="007D084C">
              <w:t xml:space="preserve"> prioritne zamerané na ochranu</w:t>
            </w:r>
            <w:r w:rsidR="001F7966">
              <w:t xml:space="preserve"> biotopov druhov, ktoré sú predmetom ochrany územia</w:t>
            </w:r>
            <w:r w:rsidR="007D084C">
              <w:t xml:space="preserve">, </w:t>
            </w:r>
            <w:r w:rsidR="00024E4B">
              <w:t xml:space="preserve">ale </w:t>
            </w:r>
            <w:r w:rsidR="007D084C">
              <w:t>výsledným efektom bude aj zachovanie alebo zlepšenie stavu ďalších druhov živých organizmov</w:t>
            </w:r>
            <w:r w:rsidR="001F7966">
              <w:t xml:space="preserve"> vrátane druhov národného a európskeho významu</w:t>
            </w:r>
            <w:r w:rsidR="007D084C">
              <w:t xml:space="preserve">, ktoré </w:t>
            </w:r>
            <w:r w:rsidR="00671A1E">
              <w:t xml:space="preserve">sa v území vyskytujú. </w:t>
            </w:r>
            <w:r w:rsidR="005C7704" w:rsidRPr="005C7704">
              <w:t>Pri zlepšení životných podmienok záujmových druhov v</w:t>
            </w:r>
            <w:r w:rsidR="005C7704">
              <w:t> CHA Rimava</w:t>
            </w:r>
            <w:r w:rsidR="005C7704" w:rsidRPr="005C7704">
              <w:t xml:space="preserve"> sa zabezpečí zachovanie konceptu riečneho kontinua, čo znamená zlepšenie podmienok reprodukcie, disperzie a migrácie chránených živočíchov aj mimo chráneného územia pozdĺž rieky Rimava.</w:t>
            </w:r>
          </w:p>
          <w:p w14:paraId="1D354C52" w14:textId="77777777" w:rsidR="00024E4B" w:rsidRPr="00911663" w:rsidRDefault="00024E4B" w:rsidP="001B5EEC">
            <w:pPr>
              <w:jc w:val="both"/>
            </w:pPr>
          </w:p>
          <w:p w14:paraId="20BDAF39" w14:textId="77777777"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Voda</w:t>
            </w:r>
          </w:p>
          <w:tbl>
            <w:tblPr>
              <w:tblStyle w:val="Mriekatabuky"/>
              <w:tblW w:w="8926" w:type="dxa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14:paraId="63022556" w14:textId="77777777" w:rsidTr="003C5F7D">
              <w:tc>
                <w:tcPr>
                  <w:tcW w:w="2122" w:type="dxa"/>
                </w:tcPr>
                <w:p w14:paraId="27F7D17C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14:paraId="692C493A" w14:textId="77777777" w:rsidR="001B5EEC" w:rsidRPr="00911663" w:rsidRDefault="001B5EEC" w:rsidP="001F7966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F7966">
                    <w:t>nepriamym</w:t>
                  </w:r>
                  <w:r w:rsidRPr="00911663">
                    <w:t xml:space="preserve"> environmentálnym dopadom, trvalý</w:t>
                  </w:r>
                </w:p>
              </w:tc>
            </w:tr>
            <w:tr w:rsidR="001B5EEC" w:rsidRPr="00911663" w14:paraId="19F22D25" w14:textId="77777777" w:rsidTr="003C5F7D">
              <w:tc>
                <w:tcPr>
                  <w:tcW w:w="2122" w:type="dxa"/>
                </w:tcPr>
                <w:p w14:paraId="645F4A54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14:paraId="36B35C8C" w14:textId="77777777" w:rsidR="001B5EEC" w:rsidRPr="00911663" w:rsidRDefault="001F7966" w:rsidP="001B5EEC">
                  <w:pPr>
                    <w:jc w:val="both"/>
                  </w:pPr>
                  <w:r>
                    <w:t>malý</w:t>
                  </w:r>
                </w:p>
              </w:tc>
            </w:tr>
            <w:tr w:rsidR="001B5EEC" w:rsidRPr="00911663" w14:paraId="752F922C" w14:textId="77777777" w:rsidTr="003C5F7D">
              <w:tc>
                <w:tcPr>
                  <w:tcW w:w="2122" w:type="dxa"/>
                </w:tcPr>
                <w:p w14:paraId="7ABAA673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14:paraId="65908AF4" w14:textId="49093406" w:rsidR="001B5EEC" w:rsidRPr="00911663" w:rsidRDefault="005C7704" w:rsidP="00024E4B">
                  <w:pPr>
                    <w:jc w:val="both"/>
                  </w:pPr>
                  <w:r>
                    <w:t>CHA Rimava</w:t>
                  </w:r>
                  <w:r w:rsidRPr="00911663">
                    <w:t xml:space="preserve">, </w:t>
                  </w:r>
                  <w:r>
                    <w:t>vodný tok Rimava</w:t>
                  </w:r>
                </w:p>
              </w:tc>
            </w:tr>
            <w:tr w:rsidR="001B5EEC" w:rsidRPr="00911663" w14:paraId="4DE9A127" w14:textId="77777777" w:rsidTr="003C5F7D">
              <w:tc>
                <w:tcPr>
                  <w:tcW w:w="2122" w:type="dxa"/>
                </w:tcPr>
                <w:p w14:paraId="3D079287" w14:textId="77777777"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6804" w:type="dxa"/>
                </w:tcPr>
                <w:p w14:paraId="668D1849" w14:textId="77777777" w:rsidR="001B5EEC" w:rsidRPr="00911663" w:rsidRDefault="001F7966" w:rsidP="001B5EEC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14:paraId="16D83FF2" w14:textId="77777777" w:rsidR="001B5EEC" w:rsidRDefault="001B5EEC" w:rsidP="001B5EEC">
            <w:pPr>
              <w:jc w:val="both"/>
            </w:pPr>
          </w:p>
          <w:p w14:paraId="0119D42D" w14:textId="16C43664" w:rsidR="000C5587" w:rsidRDefault="00024E4B" w:rsidP="001B5EEC">
            <w:pPr>
              <w:jc w:val="both"/>
            </w:pPr>
            <w:r>
              <w:t xml:space="preserve">CHA Rimava je vymedzený na vodnom toku Rimava v úseku </w:t>
            </w:r>
            <w:r w:rsidR="00E235CE" w:rsidRPr="00FF7AE8">
              <w:t xml:space="preserve">od </w:t>
            </w:r>
            <w:r w:rsidR="00E235CE">
              <w:t xml:space="preserve">riečneho kilometra </w:t>
            </w:r>
            <w:r w:rsidR="00E235CE" w:rsidRPr="00FF7AE8">
              <w:t xml:space="preserve">70,1 </w:t>
            </w:r>
            <w:r w:rsidR="00E235CE">
              <w:t xml:space="preserve">po riečny kilometer </w:t>
            </w:r>
            <w:r w:rsidR="00E235CE" w:rsidRPr="00FF7AE8">
              <w:t>7</w:t>
            </w:r>
            <w:r w:rsidR="00E235CE">
              <w:t>4</w:t>
            </w:r>
            <w:r>
              <w:t xml:space="preserve">. Predmetom ochrany CHA Rimava sú druhy živočíchov európskeho významu, ktoré sú priamo naviazané na vodné prostredie. Vyhlásením CHA Rimava bude zabezpečená  právna ochrana časti vodného toku Rimava, čo </w:t>
            </w:r>
            <w:r w:rsidR="006042E9">
              <w:t xml:space="preserve">môže prispieť k dosiahnutiu dobrého stavu vodného toku Rimava. </w:t>
            </w:r>
            <w:r w:rsidR="00525116">
              <w:t xml:space="preserve">Zvýšenie povedomia o CHA Rimava môže prispieť k odstráneniu negatívnych javov v území (napr. znečisťovanie rieky Rimava komunálnym odpadom). </w:t>
            </w:r>
          </w:p>
          <w:p w14:paraId="56ED6ABC" w14:textId="77777777" w:rsidR="00024E4B" w:rsidRPr="00911663" w:rsidRDefault="00024E4B" w:rsidP="001B5EEC">
            <w:pPr>
              <w:jc w:val="both"/>
            </w:pPr>
          </w:p>
          <w:p w14:paraId="6D248477" w14:textId="77777777" w:rsidR="001B5EEC" w:rsidRPr="00C97DC8" w:rsidRDefault="001B5EEC" w:rsidP="00C97DC8">
            <w:pPr>
              <w:pStyle w:val="Odsekzoznamu"/>
              <w:numPr>
                <w:ilvl w:val="0"/>
                <w:numId w:val="7"/>
              </w:num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Horniny a pôda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14:paraId="2197EB5D" w14:textId="77777777" w:rsidTr="003C5F7D">
              <w:tc>
                <w:tcPr>
                  <w:tcW w:w="2122" w:type="dxa"/>
                </w:tcPr>
                <w:p w14:paraId="2CFAAA30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14:paraId="275FCF14" w14:textId="77777777" w:rsidR="001B5EEC" w:rsidRPr="00911663" w:rsidRDefault="001B5EEC" w:rsidP="001734DC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22E3C">
                    <w:t>ne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6496A784" w14:textId="77777777" w:rsidTr="003C5F7D">
              <w:tc>
                <w:tcPr>
                  <w:tcW w:w="2122" w:type="dxa"/>
                </w:tcPr>
                <w:p w14:paraId="5C2D11FF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14:paraId="48183ADA" w14:textId="77777777" w:rsidR="001B5EEC" w:rsidRPr="00911663" w:rsidRDefault="001B5EEC" w:rsidP="001B5EEC">
                  <w:pPr>
                    <w:jc w:val="both"/>
                  </w:pPr>
                  <w:r w:rsidRPr="00911663">
                    <w:t>malý</w:t>
                  </w:r>
                </w:p>
              </w:tc>
            </w:tr>
            <w:tr w:rsidR="001B5EEC" w:rsidRPr="00911663" w14:paraId="311D2363" w14:textId="77777777" w:rsidTr="003C5F7D">
              <w:tc>
                <w:tcPr>
                  <w:tcW w:w="2122" w:type="dxa"/>
                </w:tcPr>
                <w:p w14:paraId="02A5697E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14:paraId="1ECCC7E3" w14:textId="67D13501" w:rsidR="001B5EEC" w:rsidRPr="00911663" w:rsidRDefault="005C7704" w:rsidP="006042E9">
                  <w:pPr>
                    <w:jc w:val="both"/>
                  </w:pPr>
                  <w:r>
                    <w:t>CHA Rimava</w:t>
                  </w:r>
                  <w:r w:rsidRPr="00911663">
                    <w:t xml:space="preserve">, </w:t>
                  </w:r>
                  <w:r>
                    <w:t>vodný tok Rimava</w:t>
                  </w:r>
                </w:p>
              </w:tc>
            </w:tr>
            <w:tr w:rsidR="001B5EEC" w:rsidRPr="00911663" w14:paraId="0132368B" w14:textId="77777777" w:rsidTr="003C5F7D">
              <w:tc>
                <w:tcPr>
                  <w:tcW w:w="2122" w:type="dxa"/>
                </w:tcPr>
                <w:p w14:paraId="45E3683A" w14:textId="77777777"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lastRenderedPageBreak/>
                    <w:t>c</w:t>
                  </w:r>
                  <w:r w:rsidR="001B5EEC" w:rsidRPr="00911663">
                    <w:rPr>
                      <w:i/>
                    </w:rPr>
                    <w:t>elkové hodnotenie environmen</w:t>
                  </w:r>
                  <w:r w:rsidR="00A21FB9">
                    <w:rPr>
                      <w:i/>
                    </w:rPr>
                    <w:t>t</w:t>
                  </w:r>
                  <w:r w:rsidR="001B5EEC"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6804" w:type="dxa"/>
                </w:tcPr>
                <w:p w14:paraId="40225C0D" w14:textId="77777777" w:rsidR="001B5EEC" w:rsidRPr="00911663" w:rsidRDefault="00122E3C" w:rsidP="00CB1021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14:paraId="7E632179" w14:textId="77777777" w:rsidR="00C97DC8" w:rsidRDefault="00C97DC8" w:rsidP="001734DC">
            <w:pPr>
              <w:jc w:val="both"/>
            </w:pPr>
          </w:p>
          <w:p w14:paraId="3C081AE4" w14:textId="77777777" w:rsidR="009F17BF" w:rsidRDefault="00EC3C36" w:rsidP="000564F2">
            <w:pPr>
              <w:jc w:val="both"/>
            </w:pPr>
            <w:r>
              <w:t>Predkladaný materiál sa nezaoberá prob</w:t>
            </w:r>
            <w:r w:rsidR="001E5DE1">
              <w:t xml:space="preserve">lematikou ochrany hornín a pôdy, ale zlepšenie a udržanie priaznivého stavu predmetov ochrany </w:t>
            </w:r>
            <w:r w:rsidR="00AA0516">
              <w:t xml:space="preserve">CHA </w:t>
            </w:r>
            <w:r w:rsidR="006042E9">
              <w:t>Rimava</w:t>
            </w:r>
            <w:r w:rsidR="001E5DE1">
              <w:t xml:space="preserve"> pozitívne ovplyvní vše</w:t>
            </w:r>
            <w:r w:rsidR="00AA0516">
              <w:t>tky zložky okolitého ekosystému vrátane pôd.</w:t>
            </w:r>
            <w:r>
              <w:t xml:space="preserve"> </w:t>
            </w:r>
          </w:p>
          <w:p w14:paraId="1DFC6C7B" w14:textId="77777777" w:rsidR="001E5DE1" w:rsidRDefault="001E5DE1" w:rsidP="000564F2">
            <w:pPr>
              <w:jc w:val="both"/>
            </w:pPr>
          </w:p>
          <w:p w14:paraId="77DA6161" w14:textId="77777777" w:rsidR="009F17BF" w:rsidRPr="009F17BF" w:rsidRDefault="009F17BF" w:rsidP="009F17B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E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Ovzdušie</w:t>
            </w:r>
          </w:p>
          <w:tbl>
            <w:tblPr>
              <w:tblStyle w:val="Mriekatabuky"/>
              <w:tblpPr w:leftFromText="141" w:rightFromText="141" w:vertAnchor="text" w:horzAnchor="margin" w:tblpY="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915935" w:rsidRPr="00911663" w14:paraId="5CA072FD" w14:textId="77777777" w:rsidTr="00915935">
              <w:tc>
                <w:tcPr>
                  <w:tcW w:w="3256" w:type="dxa"/>
                </w:tcPr>
                <w:p w14:paraId="0FD6B702" w14:textId="77777777"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14:paraId="3B378970" w14:textId="77777777" w:rsidR="00915935" w:rsidRPr="00F330AF" w:rsidRDefault="00915935" w:rsidP="00915935">
                  <w:pPr>
                    <w:jc w:val="both"/>
                  </w:pPr>
                  <w:r w:rsidRPr="00F330AF">
                    <w:t>pozitívny, s nepriamym environmentálnym dopadom, trvalý</w:t>
                  </w:r>
                </w:p>
              </w:tc>
            </w:tr>
            <w:tr w:rsidR="00915935" w:rsidRPr="00911663" w14:paraId="1711A843" w14:textId="77777777" w:rsidTr="00915935">
              <w:tc>
                <w:tcPr>
                  <w:tcW w:w="3256" w:type="dxa"/>
                </w:tcPr>
                <w:p w14:paraId="126843EE" w14:textId="77777777"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14:paraId="4502CA24" w14:textId="77777777" w:rsidR="00915935" w:rsidRPr="00F330AF" w:rsidRDefault="00915935" w:rsidP="00915935">
                  <w:pPr>
                    <w:jc w:val="both"/>
                  </w:pPr>
                  <w:r w:rsidRPr="00F330AF">
                    <w:t>malý</w:t>
                  </w:r>
                </w:p>
              </w:tc>
            </w:tr>
            <w:tr w:rsidR="00915935" w:rsidRPr="00911663" w14:paraId="7824AC0F" w14:textId="77777777" w:rsidTr="00915935">
              <w:tc>
                <w:tcPr>
                  <w:tcW w:w="3256" w:type="dxa"/>
                </w:tcPr>
                <w:p w14:paraId="1B70DC5F" w14:textId="77777777"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14:paraId="53C2EDAB" w14:textId="643ECAD4" w:rsidR="00915935" w:rsidRPr="00F330AF" w:rsidRDefault="005C7704" w:rsidP="006042E9">
                  <w:pPr>
                    <w:jc w:val="both"/>
                  </w:pPr>
                  <w:r>
                    <w:t>CHA Rimava</w:t>
                  </w:r>
                  <w:r w:rsidRPr="00911663">
                    <w:t xml:space="preserve">, </w:t>
                  </w:r>
                  <w:r>
                    <w:t>vodný tok Rimava</w:t>
                  </w:r>
                </w:p>
              </w:tc>
            </w:tr>
            <w:tr w:rsidR="00915935" w:rsidRPr="00911663" w14:paraId="3B561E34" w14:textId="77777777" w:rsidTr="00915935">
              <w:tc>
                <w:tcPr>
                  <w:tcW w:w="3256" w:type="dxa"/>
                </w:tcPr>
                <w:p w14:paraId="31E9ADB7" w14:textId="77777777" w:rsidR="00915935" w:rsidRPr="00F330AF" w:rsidRDefault="00915935" w:rsidP="00915935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Pr="00F330AF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5670" w:type="dxa"/>
                </w:tcPr>
                <w:p w14:paraId="6CBA1F78" w14:textId="77777777" w:rsidR="00915935" w:rsidRPr="00F330AF" w:rsidRDefault="00915935" w:rsidP="00915935">
                  <w:pPr>
                    <w:jc w:val="both"/>
                  </w:pPr>
                  <w:r w:rsidRPr="00F330AF">
                    <w:t>málo významný, priaznivý</w:t>
                  </w:r>
                </w:p>
              </w:tc>
            </w:tr>
          </w:tbl>
          <w:p w14:paraId="71D18209" w14:textId="77777777" w:rsidR="00C97DC8" w:rsidRDefault="00C97DC8" w:rsidP="001734DC">
            <w:pPr>
              <w:jc w:val="both"/>
              <w:rPr>
                <w:u w:val="single"/>
              </w:rPr>
            </w:pPr>
          </w:p>
          <w:p w14:paraId="0D76889C" w14:textId="5E3E071E" w:rsidR="009F17BF" w:rsidRDefault="009F17BF" w:rsidP="009F17BF">
            <w:pPr>
              <w:jc w:val="both"/>
            </w:pPr>
            <w:r>
              <w:t xml:space="preserve">Cieľom predkladaného materiálu nie je ochrana </w:t>
            </w:r>
            <w:r w:rsidR="00333C84">
              <w:t>ovzdušia</w:t>
            </w:r>
            <w:r>
              <w:t xml:space="preserve">, ale zlepšenie </w:t>
            </w:r>
            <w:r w:rsidR="001E5DE1">
              <w:t xml:space="preserve">a udržanie priaznivého </w:t>
            </w:r>
            <w:r>
              <w:t xml:space="preserve">stavu predmetov ochrany </w:t>
            </w:r>
            <w:r w:rsidR="00AA0516">
              <w:t xml:space="preserve">CHA </w:t>
            </w:r>
            <w:r w:rsidR="006042E9">
              <w:t>Rimava</w:t>
            </w:r>
            <w:r>
              <w:t xml:space="preserve"> </w:t>
            </w:r>
            <w:r w:rsidR="001E5DE1">
              <w:t>pozitívne</w:t>
            </w:r>
            <w:r>
              <w:t xml:space="preserve"> ovplyvní </w:t>
            </w:r>
            <w:r w:rsidR="00AA0516">
              <w:t>aj ďalšie zložky okolitého ekosystému vrátane ovzdušia.</w:t>
            </w:r>
          </w:p>
          <w:p w14:paraId="17638D89" w14:textId="77777777" w:rsidR="001B5EEC" w:rsidRPr="00A86166" w:rsidRDefault="001B5EEC" w:rsidP="00D20709">
            <w:pPr>
              <w:jc w:val="both"/>
              <w:rPr>
                <w:sz w:val="16"/>
                <w:szCs w:val="24"/>
              </w:rPr>
            </w:pPr>
          </w:p>
        </w:tc>
      </w:tr>
      <w:tr w:rsidR="001B5EEC" w:rsidRPr="002E32C0" w14:paraId="1C970763" w14:textId="77777777" w:rsidTr="00F330AF">
        <w:trPr>
          <w:trHeight w:val="404"/>
        </w:trPr>
        <w:tc>
          <w:tcPr>
            <w:tcW w:w="9464" w:type="dxa"/>
            <w:shd w:val="clear" w:color="auto" w:fill="D9D9D9"/>
            <w:vAlign w:val="center"/>
            <w:hideMark/>
          </w:tcPr>
          <w:p w14:paraId="73C30B57" w14:textId="77777777" w:rsidR="001B5EEC" w:rsidRPr="002E32C0" w:rsidRDefault="001B5EEC" w:rsidP="00EF743B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5.2 Bude mať predkladaný materiál vplyv na chránené územia a</w:t>
            </w:r>
            <w:r w:rsidR="00EF743B">
              <w:rPr>
                <w:b/>
                <w:sz w:val="24"/>
                <w:szCs w:val="24"/>
              </w:rPr>
              <w:t xml:space="preserve"> </w:t>
            </w:r>
            <w:r w:rsidRPr="002E32C0">
              <w:rPr>
                <w:b/>
                <w:sz w:val="24"/>
                <w:szCs w:val="24"/>
              </w:rPr>
              <w:t xml:space="preserve">ak áno, aký? </w:t>
            </w:r>
          </w:p>
        </w:tc>
      </w:tr>
      <w:tr w:rsidR="001B5EEC" w:rsidRPr="002E32C0" w14:paraId="4F481B3D" w14:textId="77777777" w:rsidTr="00F330AF">
        <w:trPr>
          <w:trHeight w:val="987"/>
        </w:trPr>
        <w:tc>
          <w:tcPr>
            <w:tcW w:w="9464" w:type="dxa"/>
          </w:tcPr>
          <w:p w14:paraId="69032153" w14:textId="5B2EB80E" w:rsidR="009F17BF" w:rsidRPr="009F17BF" w:rsidRDefault="009F17BF" w:rsidP="00E06E04">
            <w:pPr>
              <w:jc w:val="both"/>
            </w:pPr>
            <w:r w:rsidRPr="002F5259">
              <w:t>Schválením nariadenia vlády vznikne nové chránené ú</w:t>
            </w:r>
            <w:r>
              <w:t xml:space="preserve">zemie – </w:t>
            </w:r>
            <w:r w:rsidR="00AA0516">
              <w:t>CHA</w:t>
            </w:r>
            <w:r>
              <w:t xml:space="preserve"> </w:t>
            </w:r>
            <w:r w:rsidR="006042E9">
              <w:t>Rimava.</w:t>
            </w:r>
            <w:r w:rsidR="00C35DD5">
              <w:t xml:space="preserve"> </w:t>
            </w:r>
          </w:p>
          <w:p w14:paraId="38226E7B" w14:textId="77777777" w:rsidR="008A7A83" w:rsidRPr="00911663" w:rsidRDefault="008A7A83" w:rsidP="001B5EEC">
            <w:pPr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1B5EEC" w:rsidRPr="00911663" w14:paraId="6BC2296B" w14:textId="77777777" w:rsidTr="006B0C15">
              <w:tc>
                <w:tcPr>
                  <w:tcW w:w="3256" w:type="dxa"/>
                </w:tcPr>
                <w:p w14:paraId="1BF52BCB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14:paraId="279DCCAF" w14:textId="77777777" w:rsidR="001B5EEC" w:rsidRPr="00911663" w:rsidRDefault="001B5EEC" w:rsidP="002C1D45">
                  <w:pPr>
                    <w:jc w:val="both"/>
                  </w:pPr>
                  <w:r w:rsidRPr="00911663">
                    <w:t>pozitívny, s</w:t>
                  </w:r>
                  <w:r w:rsidR="002C1D45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2A8DA831" w14:textId="77777777" w:rsidTr="006B0C15">
              <w:tc>
                <w:tcPr>
                  <w:tcW w:w="3256" w:type="dxa"/>
                </w:tcPr>
                <w:p w14:paraId="12BBD187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14:paraId="4A61F1FF" w14:textId="77777777" w:rsidR="001B5EEC" w:rsidRPr="00911663" w:rsidRDefault="00C35DD5" w:rsidP="001B5EEC">
                  <w:pPr>
                    <w:jc w:val="both"/>
                  </w:pPr>
                  <w:r>
                    <w:t>v</w:t>
                  </w:r>
                  <w:r w:rsidR="001B5EEC" w:rsidRPr="00911663">
                    <w:t>eľký</w:t>
                  </w:r>
                </w:p>
              </w:tc>
            </w:tr>
            <w:tr w:rsidR="001B5EEC" w:rsidRPr="00911663" w14:paraId="29276BFB" w14:textId="77777777" w:rsidTr="006B0C15">
              <w:tc>
                <w:tcPr>
                  <w:tcW w:w="3256" w:type="dxa"/>
                </w:tcPr>
                <w:p w14:paraId="177A3080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14:paraId="45A36A07" w14:textId="77777777" w:rsidR="001B5EEC" w:rsidRPr="00911663" w:rsidRDefault="00C35DD5" w:rsidP="006042E9">
                  <w:pPr>
                    <w:jc w:val="both"/>
                  </w:pPr>
                  <w:r>
                    <w:t xml:space="preserve">CHA </w:t>
                  </w:r>
                  <w:r w:rsidR="006042E9">
                    <w:t>Rimava</w:t>
                  </w:r>
                </w:p>
              </w:tc>
            </w:tr>
            <w:tr w:rsidR="001B5EEC" w:rsidRPr="00911663" w14:paraId="2C93DF40" w14:textId="77777777" w:rsidTr="006B0C15">
              <w:tc>
                <w:tcPr>
                  <w:tcW w:w="3256" w:type="dxa"/>
                </w:tcPr>
                <w:p w14:paraId="68664310" w14:textId="77777777" w:rsidR="001B5EEC" w:rsidRPr="00911663" w:rsidRDefault="001B5EEC" w:rsidP="00E06E04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</w:t>
                  </w:r>
                  <w:r w:rsidR="00E06E04">
                    <w:rPr>
                      <w:i/>
                    </w:rPr>
                    <w:t>t</w:t>
                  </w:r>
                  <w:r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70" w:type="dxa"/>
                </w:tcPr>
                <w:p w14:paraId="3627B692" w14:textId="77777777"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14:paraId="3FE8566B" w14:textId="77777777" w:rsidR="001B5EEC" w:rsidRPr="00841720" w:rsidRDefault="001B5EEC" w:rsidP="00C35DD5">
            <w:pPr>
              <w:jc w:val="both"/>
            </w:pPr>
          </w:p>
        </w:tc>
      </w:tr>
      <w:tr w:rsidR="001B5EEC" w:rsidRPr="002E32C0" w14:paraId="595267C1" w14:textId="77777777" w:rsidTr="00F330AF">
        <w:trPr>
          <w:trHeight w:val="698"/>
        </w:trPr>
        <w:tc>
          <w:tcPr>
            <w:tcW w:w="9464" w:type="dxa"/>
            <w:shd w:val="clear" w:color="auto" w:fill="D9D9D9"/>
            <w:vAlign w:val="center"/>
          </w:tcPr>
          <w:p w14:paraId="1C49E13B" w14:textId="77777777"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1B5EEC" w:rsidRPr="002E32C0" w14:paraId="7D42D358" w14:textId="77777777" w:rsidTr="00237420">
        <w:trPr>
          <w:trHeight w:val="452"/>
        </w:trPr>
        <w:tc>
          <w:tcPr>
            <w:tcW w:w="9464" w:type="dxa"/>
          </w:tcPr>
          <w:p w14:paraId="4963305A" w14:textId="07538EEE" w:rsidR="00DB2F1B" w:rsidRPr="003F2E20" w:rsidRDefault="00550B14" w:rsidP="006042E9">
            <w:pPr>
              <w:jc w:val="both"/>
            </w:pPr>
            <w:r w:rsidRPr="00550B14">
              <w:t xml:space="preserve">Áno. CHA </w:t>
            </w:r>
            <w:r w:rsidR="006042E9">
              <w:t>Rimava</w:t>
            </w:r>
            <w:r w:rsidRPr="00550B14">
              <w:t xml:space="preserve"> je zároveň územím európskeho významu a</w:t>
            </w:r>
            <w:r w:rsidR="005E171D">
              <w:t xml:space="preserve"> jeho vyhlásením sa vytvára predpoklad pre zlepšenie a následné zachovanie lokálnej biodiverzity a spolu s ďalšími územiami navrhnutými do sústavy Natura 2000 vytvára podmienky pre naplnenie jej hlavného cieľa, ktorým je zachovanie prírodného dedičstva, významného nielen pre územia Slovenska, ale pre Európsku úniu ako celok. </w:t>
            </w:r>
          </w:p>
        </w:tc>
      </w:tr>
      <w:tr w:rsidR="001B5EEC" w:rsidRPr="002E32C0" w14:paraId="72154ED1" w14:textId="77777777" w:rsidTr="00F330AF">
        <w:trPr>
          <w:trHeight w:val="713"/>
        </w:trPr>
        <w:tc>
          <w:tcPr>
            <w:tcW w:w="9464" w:type="dxa"/>
            <w:shd w:val="clear" w:color="auto" w:fill="D9D9D9"/>
            <w:vAlign w:val="center"/>
          </w:tcPr>
          <w:p w14:paraId="07B2D155" w14:textId="77777777"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1B5EEC" w:rsidRPr="002E32C0" w14:paraId="0B0FC98A" w14:textId="77777777" w:rsidTr="00F330AF">
        <w:trPr>
          <w:trHeight w:val="520"/>
        </w:trPr>
        <w:tc>
          <w:tcPr>
            <w:tcW w:w="9464" w:type="dxa"/>
            <w:shd w:val="clear" w:color="auto" w:fill="FFFFFF"/>
          </w:tcPr>
          <w:p w14:paraId="367D96D2" w14:textId="77777777" w:rsidR="00DB2F1B" w:rsidRPr="006B0C15" w:rsidRDefault="001B5EEC" w:rsidP="00D25992">
            <w:pPr>
              <w:jc w:val="both"/>
            </w:pPr>
            <w:r w:rsidRPr="00911663">
              <w:t>Opatrenia na zmiernenie negatívneho vplyvu na životné prostredie nie sú potrebné, keďže predkladaný materiál navrhuje činnosti iba s pozitívnym vplyvom na životné prostredie.</w:t>
            </w:r>
          </w:p>
        </w:tc>
      </w:tr>
    </w:tbl>
    <w:p w14:paraId="77B35F0A" w14:textId="77777777" w:rsidR="00374EDB" w:rsidRPr="002E32C0" w:rsidRDefault="00374EDB" w:rsidP="006B0C15">
      <w:pPr>
        <w:rPr>
          <w:b/>
          <w:bCs/>
          <w:sz w:val="28"/>
          <w:szCs w:val="28"/>
        </w:rPr>
      </w:pPr>
    </w:p>
    <w:sectPr w:rsidR="00374EDB" w:rsidRPr="002E32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849EF" w14:textId="77777777" w:rsidR="006847B6" w:rsidRDefault="006847B6" w:rsidP="00374EDB">
      <w:r>
        <w:separator/>
      </w:r>
    </w:p>
  </w:endnote>
  <w:endnote w:type="continuationSeparator" w:id="0">
    <w:p w14:paraId="37F384B6" w14:textId="77777777" w:rsidR="006847B6" w:rsidRDefault="006847B6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54085"/>
      <w:docPartObj>
        <w:docPartGallery w:val="Page Numbers (Bottom of Page)"/>
        <w:docPartUnique/>
      </w:docPartObj>
    </w:sdtPr>
    <w:sdtEndPr/>
    <w:sdtContent>
      <w:p w14:paraId="79B0B71D" w14:textId="5677AD83" w:rsidR="00D25992" w:rsidRDefault="00D259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CE1">
          <w:rPr>
            <w:noProof/>
          </w:rPr>
          <w:t>1</w:t>
        </w:r>
        <w:r>
          <w:fldChar w:fldCharType="end"/>
        </w:r>
      </w:p>
    </w:sdtContent>
  </w:sdt>
  <w:p w14:paraId="0B6DD8FC" w14:textId="77777777"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C58B9" w14:textId="77777777" w:rsidR="006847B6" w:rsidRDefault="006847B6" w:rsidP="00374EDB">
      <w:r>
        <w:separator/>
      </w:r>
    </w:p>
  </w:footnote>
  <w:footnote w:type="continuationSeparator" w:id="0">
    <w:p w14:paraId="3BDBB881" w14:textId="77777777" w:rsidR="006847B6" w:rsidRDefault="006847B6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00FD4" w14:textId="77777777" w:rsidR="00D25992" w:rsidRPr="000A15AE" w:rsidRDefault="00D25992" w:rsidP="00D25992">
    <w:pPr>
      <w:pStyle w:val="Hlavika"/>
      <w:jc w:val="right"/>
      <w:rPr>
        <w:sz w:val="24"/>
        <w:szCs w:val="24"/>
      </w:rPr>
    </w:pPr>
    <w:r>
      <w:tab/>
    </w:r>
    <w:r>
      <w:rPr>
        <w:sz w:val="24"/>
        <w:szCs w:val="24"/>
      </w:rPr>
      <w:t>Príloha č. 5</w:t>
    </w:r>
  </w:p>
  <w:p w14:paraId="515C1CDF" w14:textId="77777777" w:rsidR="00D25992" w:rsidRDefault="00D25992" w:rsidP="00D25992">
    <w:pPr>
      <w:pStyle w:val="Hlavika"/>
      <w:tabs>
        <w:tab w:val="clear" w:pos="4536"/>
        <w:tab w:val="clear" w:pos="9072"/>
        <w:tab w:val="left" w:pos="1605"/>
      </w:tabs>
    </w:pPr>
  </w:p>
  <w:p w14:paraId="55CC7439" w14:textId="77777777"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76444E8"/>
    <w:multiLevelType w:val="hybridMultilevel"/>
    <w:tmpl w:val="A7D0605A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508F2"/>
    <w:multiLevelType w:val="hybridMultilevel"/>
    <w:tmpl w:val="D4B6CFD4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AF46A7"/>
    <w:multiLevelType w:val="hybridMultilevel"/>
    <w:tmpl w:val="C7FCA112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06B0C"/>
    <w:rsid w:val="000130BD"/>
    <w:rsid w:val="00021A2A"/>
    <w:rsid w:val="00024E4B"/>
    <w:rsid w:val="000564F2"/>
    <w:rsid w:val="000649EE"/>
    <w:rsid w:val="00065608"/>
    <w:rsid w:val="000727C2"/>
    <w:rsid w:val="000B15AB"/>
    <w:rsid w:val="000C5587"/>
    <w:rsid w:val="000F2A8C"/>
    <w:rsid w:val="00116DE1"/>
    <w:rsid w:val="00122E3C"/>
    <w:rsid w:val="0013154B"/>
    <w:rsid w:val="001466BF"/>
    <w:rsid w:val="00170452"/>
    <w:rsid w:val="001734DC"/>
    <w:rsid w:val="001A6857"/>
    <w:rsid w:val="001B5EEC"/>
    <w:rsid w:val="001E5DE1"/>
    <w:rsid w:val="001F7966"/>
    <w:rsid w:val="0022263C"/>
    <w:rsid w:val="0022267E"/>
    <w:rsid w:val="00237420"/>
    <w:rsid w:val="00237FEC"/>
    <w:rsid w:val="00246AC0"/>
    <w:rsid w:val="0024763C"/>
    <w:rsid w:val="00272EC3"/>
    <w:rsid w:val="0028795C"/>
    <w:rsid w:val="002C1D45"/>
    <w:rsid w:val="002C26F5"/>
    <w:rsid w:val="002D0B1A"/>
    <w:rsid w:val="002D6FD9"/>
    <w:rsid w:val="002E32C0"/>
    <w:rsid w:val="00306101"/>
    <w:rsid w:val="0032226A"/>
    <w:rsid w:val="003244E9"/>
    <w:rsid w:val="00333C84"/>
    <w:rsid w:val="00337A38"/>
    <w:rsid w:val="003529C8"/>
    <w:rsid w:val="00363282"/>
    <w:rsid w:val="00374EDB"/>
    <w:rsid w:val="00390E8B"/>
    <w:rsid w:val="003B5D81"/>
    <w:rsid w:val="003C230E"/>
    <w:rsid w:val="003C3556"/>
    <w:rsid w:val="003F2E20"/>
    <w:rsid w:val="004011D0"/>
    <w:rsid w:val="00402E53"/>
    <w:rsid w:val="00403EF4"/>
    <w:rsid w:val="00406C11"/>
    <w:rsid w:val="00412CB6"/>
    <w:rsid w:val="00413E9A"/>
    <w:rsid w:val="00426EBC"/>
    <w:rsid w:val="0044200B"/>
    <w:rsid w:val="00457976"/>
    <w:rsid w:val="00491D7D"/>
    <w:rsid w:val="004A46A0"/>
    <w:rsid w:val="004D4509"/>
    <w:rsid w:val="004D7407"/>
    <w:rsid w:val="00501F88"/>
    <w:rsid w:val="00505FD9"/>
    <w:rsid w:val="00511203"/>
    <w:rsid w:val="00515556"/>
    <w:rsid w:val="00520832"/>
    <w:rsid w:val="0052120A"/>
    <w:rsid w:val="00525116"/>
    <w:rsid w:val="00546CE6"/>
    <w:rsid w:val="00550B14"/>
    <w:rsid w:val="00582A57"/>
    <w:rsid w:val="005842DA"/>
    <w:rsid w:val="005A1401"/>
    <w:rsid w:val="005C085F"/>
    <w:rsid w:val="005C7704"/>
    <w:rsid w:val="005D2D1A"/>
    <w:rsid w:val="005E171D"/>
    <w:rsid w:val="005E30D0"/>
    <w:rsid w:val="005E503B"/>
    <w:rsid w:val="0060322F"/>
    <w:rsid w:val="00603BB0"/>
    <w:rsid w:val="006042E9"/>
    <w:rsid w:val="00660868"/>
    <w:rsid w:val="00671A1E"/>
    <w:rsid w:val="00671FEC"/>
    <w:rsid w:val="006847B6"/>
    <w:rsid w:val="0068737F"/>
    <w:rsid w:val="00690EB6"/>
    <w:rsid w:val="006B0C15"/>
    <w:rsid w:val="006E6316"/>
    <w:rsid w:val="0070044C"/>
    <w:rsid w:val="00702CAB"/>
    <w:rsid w:val="007179ED"/>
    <w:rsid w:val="0075319E"/>
    <w:rsid w:val="00753487"/>
    <w:rsid w:val="007604EE"/>
    <w:rsid w:val="007812C4"/>
    <w:rsid w:val="007A3CF1"/>
    <w:rsid w:val="007D084C"/>
    <w:rsid w:val="007D1ECE"/>
    <w:rsid w:val="007E2E4D"/>
    <w:rsid w:val="007E6EBB"/>
    <w:rsid w:val="007F3674"/>
    <w:rsid w:val="008108E7"/>
    <w:rsid w:val="00822E39"/>
    <w:rsid w:val="00830034"/>
    <w:rsid w:val="00841720"/>
    <w:rsid w:val="008475D2"/>
    <w:rsid w:val="00854D4F"/>
    <w:rsid w:val="00864E2C"/>
    <w:rsid w:val="00867427"/>
    <w:rsid w:val="00881815"/>
    <w:rsid w:val="0089671F"/>
    <w:rsid w:val="008A7A83"/>
    <w:rsid w:val="008B0F16"/>
    <w:rsid w:val="008D17C9"/>
    <w:rsid w:val="008D3422"/>
    <w:rsid w:val="008F510C"/>
    <w:rsid w:val="00903D22"/>
    <w:rsid w:val="0090462E"/>
    <w:rsid w:val="00914FB7"/>
    <w:rsid w:val="00915935"/>
    <w:rsid w:val="00915B29"/>
    <w:rsid w:val="009333AF"/>
    <w:rsid w:val="0095007B"/>
    <w:rsid w:val="0099236E"/>
    <w:rsid w:val="009F03AB"/>
    <w:rsid w:val="009F17BF"/>
    <w:rsid w:val="00A02E49"/>
    <w:rsid w:val="00A03FD7"/>
    <w:rsid w:val="00A21FB9"/>
    <w:rsid w:val="00A316DA"/>
    <w:rsid w:val="00A3602C"/>
    <w:rsid w:val="00A4435F"/>
    <w:rsid w:val="00A462C6"/>
    <w:rsid w:val="00A53E7A"/>
    <w:rsid w:val="00A61513"/>
    <w:rsid w:val="00A63042"/>
    <w:rsid w:val="00A86166"/>
    <w:rsid w:val="00A96EDF"/>
    <w:rsid w:val="00AA0516"/>
    <w:rsid w:val="00AB3B88"/>
    <w:rsid w:val="00AC1350"/>
    <w:rsid w:val="00AD297E"/>
    <w:rsid w:val="00AF3AB6"/>
    <w:rsid w:val="00AF3C7A"/>
    <w:rsid w:val="00B45CE7"/>
    <w:rsid w:val="00B46AD8"/>
    <w:rsid w:val="00B4795E"/>
    <w:rsid w:val="00B47CE1"/>
    <w:rsid w:val="00B5752B"/>
    <w:rsid w:val="00B6641D"/>
    <w:rsid w:val="00B7174E"/>
    <w:rsid w:val="00B877D2"/>
    <w:rsid w:val="00B91B87"/>
    <w:rsid w:val="00BA1FA3"/>
    <w:rsid w:val="00BC1508"/>
    <w:rsid w:val="00C000BD"/>
    <w:rsid w:val="00C01B19"/>
    <w:rsid w:val="00C05EFA"/>
    <w:rsid w:val="00C10D28"/>
    <w:rsid w:val="00C35DD5"/>
    <w:rsid w:val="00C47EF1"/>
    <w:rsid w:val="00C5658D"/>
    <w:rsid w:val="00C65770"/>
    <w:rsid w:val="00C97DC8"/>
    <w:rsid w:val="00CB1021"/>
    <w:rsid w:val="00CB3623"/>
    <w:rsid w:val="00CC330C"/>
    <w:rsid w:val="00CC6BFA"/>
    <w:rsid w:val="00CD0F30"/>
    <w:rsid w:val="00D016CB"/>
    <w:rsid w:val="00D20709"/>
    <w:rsid w:val="00D22815"/>
    <w:rsid w:val="00D25992"/>
    <w:rsid w:val="00D312CF"/>
    <w:rsid w:val="00D37E8F"/>
    <w:rsid w:val="00D4006F"/>
    <w:rsid w:val="00D62C2C"/>
    <w:rsid w:val="00DA097A"/>
    <w:rsid w:val="00DB2F1B"/>
    <w:rsid w:val="00DD0028"/>
    <w:rsid w:val="00DD15AF"/>
    <w:rsid w:val="00E06E04"/>
    <w:rsid w:val="00E235CE"/>
    <w:rsid w:val="00E239E3"/>
    <w:rsid w:val="00E43C25"/>
    <w:rsid w:val="00EA0219"/>
    <w:rsid w:val="00EC3C36"/>
    <w:rsid w:val="00EF743B"/>
    <w:rsid w:val="00F330AF"/>
    <w:rsid w:val="00F65BF4"/>
    <w:rsid w:val="00F67200"/>
    <w:rsid w:val="00F85ABB"/>
    <w:rsid w:val="00FB242B"/>
    <w:rsid w:val="00FB54CD"/>
    <w:rsid w:val="00FC6AC2"/>
    <w:rsid w:val="00FE2C29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6B09"/>
  <w15:docId w15:val="{9136C80C-D3AB-48EB-AEAB-3803FD00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1B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5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658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65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C56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:fields xmlns:f="http://schemas.fabasoft.com/folio/2007/fields">
  <f:record ref="">
    <f:field ref="objname" par="" edit="true" text="05_dolozka_zp_21-10-2016"/>
    <f:field ref="objsubject" par="" edit="true" text=""/>
    <f:field ref="objcreatedby" par="" text="Zubková, Katarína"/>
    <f:field ref="objcreatedat" par="" text="22.11.2016 15:31:38"/>
    <f:field ref="objchangedby" par="" text="Administrator, System"/>
    <f:field ref="objmodifiedat" par="" text="22.11.2016 15:31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C25C-C195-4905-8297-F568F5F7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92B2A7E1-6EF5-4369-BD43-E5452EBC129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DD1AAA7-135F-498D-B7E8-07CDC423A0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7B68BA-8C3A-4A97-BD36-BA0FB8D8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Lojková Silvia</cp:lastModifiedBy>
  <cp:revision>3</cp:revision>
  <cp:lastPrinted>2020-12-14T08:41:00Z</cp:lastPrinted>
  <dcterms:created xsi:type="dcterms:W3CDTF">2021-03-31T09:19:00Z</dcterms:created>
  <dcterms:modified xsi:type="dcterms:W3CDTF">2021-03-31T09:19:00Z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prostredie_x000d_
Príroda a krajina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Katarína Zubková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Programu starostlivosti o Chránené vtáčie územie Horná Orava na roky 2017 – 2046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Slovenskej republiky č. 892/2010  </vt:lpwstr>
  </property>
  <property fmtid="{D5CDD505-2E9C-101B-9397-08002B2CF9AE}" pid="23" name="FSC#SKEDITIONSLOVLEX@103.510:plnynazovpredpis">
    <vt:lpwstr> Návrh Programu starostlivosti o Chránené vtáčie územie Horná Orava na roky 2017 – 2046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8114/2016-6.1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LP/2016/1037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10. 11. 2016</vt:lpwstr>
  </property>
  <property fmtid="{D5CDD505-2E9C-101B-9397-08002B2CF9AE}" pid="59" name="FSC#SKEDITIONSLOVLEX@103.510:AttrDateDocPropUkonceniePKK">
    <vt:lpwstr>18. 11. 2016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Stav ochrany druhov, biotopov a časti krajiny v CHVÚ Horná Orava vo všeobecnosti ovplyvňuje najmä poľnohospodárstvo, lesné hospodárstvo, vodné hospodárstvo, človekom spôsobené zmeny prírodných podmienok a aktivity (urbanizácia, cestovný ruch a infraštrukt</vt:lpwstr>
  </property>
  <property fmtid="{D5CDD505-2E9C-101B-9397-08002B2CF9AE}" pid="66" name="FSC#SKEDITIONSLOVLEX@103.510:AttrStrListDocPropAltRiesenia">
    <vt:lpwstr>Možnosti využitia opatrení s pozitívnym vplyvom na prírodu a krajinu financované zo zdrojov Európskeho spoločenstva.Na odstránenie definovaných problémov boli relevantné opatrenia s pozitívnym vplyvom na prírodu a krajinu zaradené medzi oprávnené aktivity</vt:lpwstr>
  </property>
  <property fmtid="{D5CDD505-2E9C-101B-9397-08002B2CF9AE}" pid="67" name="FSC#SKEDITIONSLOVLEX@103.510:AttrStrListDocPropStanoviskoGest">
    <vt:lpwstr>Stanovisko Komisie pre posudzovanie vybraných vplyvov (list číslo 296/2016 zo dňa 18. novembra.2016 doručený elektronicky 18. novembra 2016 v rámci predbežného pripomienkového konania):I. Úvod: Ministerstvo životného prostredia Slovenskej republiky dňa 10</vt:lpwstr>
  </property>
  <property fmtid="{D5CDD505-2E9C-101B-9397-08002B2CF9AE}" pid="68" name="FSC#SKEDITIONSLOVLEX@103.510:AttrStrListDocPropTextKomunike">
    <vt:lpwstr>Vláda Slovenskej republiky na svojom zasadnutí dňa...................... prerokovala a schválila Program starostlivosti o Chránené vtáčie územie Horná Orava na roky 2017 - 2046. Program obsahuje ciele starostlivosti a pravidlá trvalo udržateľného územia t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minister životného prostredia 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justify;"&gt;&amp;nbsp;&amp;nbsp;&amp;nbsp;&amp;nbsp;&amp;nbsp;&amp;nbsp;&amp;nbsp;&amp;nbsp;&amp;nbsp;&amp;nbsp;&amp;nbsp; Predloženie uvedeného materiálu vyplýva z&amp;nbsp;uznesenia vlády Slovenskej republiky č. 892 z&amp;nbsp;15. decembra 2010, ktorým bol schválený Plán práce vlády S</vt:lpwstr>
  </property>
  <property fmtid="{D5CDD505-2E9C-101B-9397-08002B2CF9AE}" pid="150" name="FSC#COOSYSTEM@1.1:Container">
    <vt:lpwstr>COO.2145.1000.3.1696739</vt:lpwstr>
  </property>
  <property fmtid="{D5CDD505-2E9C-101B-9397-08002B2CF9AE}" pid="151" name="FSC#FSCFOLIO@1.1001:docpropproject">
    <vt:lpwstr/>
  </property>
</Properties>
</file>