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9370C" w14:textId="77777777" w:rsidR="003501A1" w:rsidRPr="00A179AE" w:rsidRDefault="003501A1" w:rsidP="003501A1">
      <w:pPr>
        <w:jc w:val="center"/>
        <w:rPr>
          <w:b/>
          <w:bCs/>
          <w:sz w:val="28"/>
          <w:szCs w:val="28"/>
        </w:rPr>
      </w:pPr>
      <w:bookmarkStart w:id="0" w:name="_GoBack"/>
      <w:bookmarkEnd w:id="0"/>
      <w:r>
        <w:rPr>
          <w:b/>
          <w:bCs/>
          <w:sz w:val="28"/>
          <w:szCs w:val="28"/>
        </w:rPr>
        <w:t>Doložka vybraných vplyvov</w:t>
      </w:r>
    </w:p>
    <w:p w14:paraId="0D41A399" w14:textId="77777777"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14:paraId="3F39016B" w14:textId="77777777" w:rsidTr="003501A1">
        <w:tc>
          <w:tcPr>
            <w:tcW w:w="9180" w:type="dxa"/>
            <w:gridSpan w:val="10"/>
            <w:tcBorders>
              <w:bottom w:val="single" w:sz="4" w:space="0" w:color="FFFFFF" w:themeColor="background1"/>
            </w:tcBorders>
            <w:shd w:val="clear" w:color="auto" w:fill="E2E2E2"/>
          </w:tcPr>
          <w:p w14:paraId="2A2DEF10"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14:paraId="36BF5A25" w14:textId="77777777" w:rsidTr="003501A1">
        <w:tc>
          <w:tcPr>
            <w:tcW w:w="9180" w:type="dxa"/>
            <w:gridSpan w:val="10"/>
            <w:tcBorders>
              <w:bottom w:val="single" w:sz="4" w:space="0" w:color="FFFFFF" w:themeColor="background1"/>
            </w:tcBorders>
            <w:shd w:val="clear" w:color="auto" w:fill="E2E2E2"/>
          </w:tcPr>
          <w:p w14:paraId="08F84017"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14:paraId="104C3B2C" w14:textId="77777777" w:rsidTr="003501A1">
        <w:tc>
          <w:tcPr>
            <w:tcW w:w="9180" w:type="dxa"/>
            <w:gridSpan w:val="10"/>
            <w:tcBorders>
              <w:top w:val="single" w:sz="4" w:space="0" w:color="FFFFFF" w:themeColor="background1"/>
              <w:bottom w:val="single" w:sz="4" w:space="0" w:color="auto"/>
            </w:tcBorders>
          </w:tcPr>
          <w:p w14:paraId="65F20239" w14:textId="77777777" w:rsidR="003501A1" w:rsidRPr="00A179AE" w:rsidRDefault="00E14F74" w:rsidP="0046618C">
            <w:pPr>
              <w:spacing w:after="60"/>
            </w:pPr>
            <w:r>
              <w:rPr>
                <w:rFonts w:ascii="Times" w:hAnsi="Times" w:cs="Times"/>
              </w:rPr>
              <w:t xml:space="preserve">Nariadenie vlády Slovenskej republiky, ktorým sa vyhlasuje chránený areál </w:t>
            </w:r>
            <w:r w:rsidR="0046618C">
              <w:rPr>
                <w:rFonts w:ascii="Times" w:hAnsi="Times" w:cs="Times"/>
              </w:rPr>
              <w:t>Rimava</w:t>
            </w:r>
          </w:p>
        </w:tc>
      </w:tr>
      <w:tr w:rsidR="003501A1" w:rsidRPr="00A179AE" w14:paraId="67ABE707" w14:textId="77777777"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14:paraId="5786C121"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14:paraId="2A44F1F4" w14:textId="77777777"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48CAE1CB" w14:textId="77777777" w:rsidR="003501A1" w:rsidRPr="00A179AE" w:rsidRDefault="00926D39" w:rsidP="00926D39">
            <w:pPr>
              <w:spacing w:after="60"/>
            </w:pPr>
            <w:r>
              <w:rPr>
                <w:rFonts w:ascii="Times" w:hAnsi="Times" w:cs="Times"/>
              </w:rPr>
              <w:t>Ministerstvo životného prostredia Slovenskej republiky</w:t>
            </w:r>
          </w:p>
        </w:tc>
      </w:tr>
      <w:tr w:rsidR="003501A1" w:rsidRPr="00A179AE" w14:paraId="54FB013E" w14:textId="77777777"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3202E2E0"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33C67EEC" w14:textId="77777777" w:rsidR="003501A1" w:rsidRPr="00A179AE" w:rsidRDefault="00E14F74"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60FFEB84" w14:textId="77777777" w:rsidR="003501A1" w:rsidRPr="00A179AE" w:rsidRDefault="003501A1" w:rsidP="007B71A4">
            <w:r w:rsidRPr="00A179AE">
              <w:t>Materiál nelegislatívnej povahy</w:t>
            </w:r>
          </w:p>
        </w:tc>
      </w:tr>
      <w:tr w:rsidR="003501A1" w:rsidRPr="00A179AE" w14:paraId="2D36ADA5" w14:textId="77777777" w:rsidTr="004F6F1F">
        <w:tc>
          <w:tcPr>
            <w:tcW w:w="4212" w:type="dxa"/>
            <w:gridSpan w:val="2"/>
            <w:vMerge/>
            <w:tcBorders>
              <w:top w:val="nil"/>
              <w:left w:val="single" w:sz="4" w:space="0" w:color="auto"/>
              <w:bottom w:val="single" w:sz="4" w:space="0" w:color="FFFFFF" w:themeColor="background1"/>
            </w:tcBorders>
            <w:shd w:val="clear" w:color="auto" w:fill="E2E2E2"/>
          </w:tcPr>
          <w:p w14:paraId="3C6B7CA4" w14:textId="77777777"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0299869C" w14:textId="77777777" w:rsidR="003501A1" w:rsidRPr="00A179AE" w:rsidRDefault="00E14F74"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56CDB8C8" w14:textId="77777777" w:rsidR="003501A1" w:rsidRPr="00A179AE" w:rsidRDefault="003501A1" w:rsidP="007B71A4">
            <w:pPr>
              <w:ind w:left="175" w:hanging="175"/>
            </w:pPr>
            <w:r w:rsidRPr="00A179AE">
              <w:t>Materiál legislatívnej povahy</w:t>
            </w:r>
          </w:p>
        </w:tc>
      </w:tr>
      <w:tr w:rsidR="003501A1" w:rsidRPr="00A179AE" w14:paraId="0AD61D35" w14:textId="77777777" w:rsidTr="004F6F1F">
        <w:tc>
          <w:tcPr>
            <w:tcW w:w="4212" w:type="dxa"/>
            <w:gridSpan w:val="2"/>
            <w:vMerge/>
            <w:tcBorders>
              <w:top w:val="nil"/>
              <w:left w:val="single" w:sz="4" w:space="0" w:color="auto"/>
              <w:bottom w:val="single" w:sz="4" w:space="0" w:color="auto"/>
            </w:tcBorders>
            <w:shd w:val="clear" w:color="auto" w:fill="E2E2E2"/>
          </w:tcPr>
          <w:p w14:paraId="25B06D62" w14:textId="77777777"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7C61054A" w14:textId="77777777"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3114ED08" w14:textId="77777777" w:rsidR="003501A1" w:rsidRPr="00A179AE" w:rsidRDefault="003501A1" w:rsidP="007B71A4">
            <w:r w:rsidRPr="00A179AE">
              <w:t>Transpozícia práva EÚ</w:t>
            </w:r>
          </w:p>
        </w:tc>
      </w:tr>
      <w:tr w:rsidR="003501A1" w:rsidRPr="00A179AE" w14:paraId="3AFC0B4E" w14:textId="77777777"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532B30CD" w14:textId="77777777" w:rsidR="003501A1" w:rsidRPr="00C1030C" w:rsidRDefault="003501A1" w:rsidP="007B71A4">
            <w:pPr>
              <w:rPr>
                <w:i/>
              </w:rPr>
            </w:pPr>
            <w:r w:rsidRPr="00C1030C">
              <w:rPr>
                <w:i/>
              </w:rPr>
              <w:t>V prípade transpozície uveďte zoznam transponovaných predpisov:</w:t>
            </w:r>
          </w:p>
        </w:tc>
      </w:tr>
      <w:tr w:rsidR="003501A1" w:rsidRPr="00A179AE" w14:paraId="129D5F93" w14:textId="77777777"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724A7936" w14:textId="77777777" w:rsidR="003501A1" w:rsidRPr="00A179AE" w:rsidRDefault="003501A1" w:rsidP="00926D39">
            <w:pPr>
              <w:pStyle w:val="Odsekzoznamu"/>
              <w:spacing w:after="120"/>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2E191091" w14:textId="58D3938A" w:rsidR="003501A1" w:rsidRPr="00DC3B60" w:rsidRDefault="00264D6E" w:rsidP="00E14F74">
            <w:pPr>
              <w:rPr>
                <w:i/>
              </w:rPr>
            </w:pPr>
            <w:r>
              <w:rPr>
                <w:i/>
              </w:rPr>
              <w:t>29.01-16.02.</w:t>
            </w:r>
            <w:r w:rsidR="00DD0D9A" w:rsidRPr="00DC3B60">
              <w:rPr>
                <w:i/>
              </w:rPr>
              <w:t>20</w:t>
            </w:r>
            <w:r w:rsidR="0068316C">
              <w:rPr>
                <w:i/>
              </w:rPr>
              <w:t>2</w:t>
            </w:r>
            <w:r w:rsidR="009B57CA">
              <w:rPr>
                <w:i/>
              </w:rPr>
              <w:t>1</w:t>
            </w:r>
          </w:p>
        </w:tc>
      </w:tr>
      <w:tr w:rsidR="003501A1" w:rsidRPr="00A179AE" w14:paraId="58E6A4CB" w14:textId="77777777"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3A683629" w14:textId="77777777" w:rsidR="003501A1" w:rsidRPr="00651F45" w:rsidRDefault="003501A1" w:rsidP="00651F45">
            <w:pPr>
              <w:pStyle w:val="Odsekzoznamu"/>
              <w:spacing w:after="120"/>
              <w:ind w:left="142"/>
              <w:jc w:val="both"/>
              <w:rPr>
                <w:rFonts w:ascii="Times New Roman" w:eastAsia="Times New Roman" w:hAnsi="Times New Roman" w:cs="Times New Roman"/>
                <w:i/>
                <w:sz w:val="20"/>
                <w:szCs w:val="20"/>
                <w:lang w:eastAsia="sk-SK"/>
              </w:rPr>
            </w:pPr>
            <w:r w:rsidRPr="00651F45">
              <w:rPr>
                <w:rFonts w:ascii="Times New Roman" w:eastAsia="Times New Roman" w:hAnsi="Times New Roman" w:cs="Times New Roman"/>
                <w:i/>
                <w:sz w:val="20"/>
                <w:szCs w:val="20"/>
                <w:lang w:eastAsia="sk-SK"/>
              </w:rPr>
              <w:t>Predpokladaný termín predloženia na MPK</w:t>
            </w:r>
            <w:r w:rsidR="00F62771" w:rsidRPr="00651F45">
              <w:rPr>
                <w:rFonts w:ascii="Times New Roman" w:eastAsia="Times New Roman" w:hAnsi="Times New Roman" w:cs="Times New Roman"/>
                <w:i/>
                <w:sz w:val="20"/>
                <w:szCs w:val="20"/>
                <w:lang w:eastAsia="sk-SK"/>
              </w:rPr>
              <w:t>*</w:t>
            </w:r>
          </w:p>
        </w:tc>
        <w:tc>
          <w:tcPr>
            <w:tcW w:w="3546" w:type="dxa"/>
            <w:gridSpan w:val="5"/>
            <w:tcBorders>
              <w:top w:val="single" w:sz="4" w:space="0" w:color="auto"/>
              <w:left w:val="single" w:sz="4" w:space="0" w:color="auto"/>
              <w:bottom w:val="single" w:sz="4" w:space="0" w:color="auto"/>
              <w:right w:val="single" w:sz="4" w:space="0" w:color="auto"/>
            </w:tcBorders>
          </w:tcPr>
          <w:p w14:paraId="4AF29FBB" w14:textId="3A6A91B8" w:rsidR="003501A1" w:rsidRPr="00DC3B60" w:rsidRDefault="00665CFA" w:rsidP="00F815CD">
            <w:pPr>
              <w:jc w:val="both"/>
              <w:rPr>
                <w:i/>
              </w:rPr>
            </w:pPr>
            <w:r>
              <w:rPr>
                <w:i/>
              </w:rPr>
              <w:t>26.02 – 18.03.</w:t>
            </w:r>
            <w:r w:rsidR="00DD0D9A" w:rsidRPr="00DC3B60">
              <w:rPr>
                <w:i/>
              </w:rPr>
              <w:t>20</w:t>
            </w:r>
            <w:r w:rsidR="0068316C">
              <w:rPr>
                <w:i/>
              </w:rPr>
              <w:t>2</w:t>
            </w:r>
            <w:r w:rsidR="00F815CD">
              <w:rPr>
                <w:i/>
              </w:rPr>
              <w:t>1</w:t>
            </w:r>
          </w:p>
        </w:tc>
      </w:tr>
      <w:tr w:rsidR="003501A1" w:rsidRPr="00A179AE" w14:paraId="0C178EF2" w14:textId="77777777" w:rsidTr="007F0F79">
        <w:trPr>
          <w:trHeight w:val="545"/>
        </w:trPr>
        <w:tc>
          <w:tcPr>
            <w:tcW w:w="5634" w:type="dxa"/>
            <w:gridSpan w:val="5"/>
            <w:tcBorders>
              <w:top w:val="single" w:sz="4" w:space="0" w:color="auto"/>
              <w:left w:val="single" w:sz="4" w:space="0" w:color="auto"/>
              <w:bottom w:val="single" w:sz="4" w:space="0" w:color="auto"/>
              <w:right w:val="single" w:sz="4" w:space="0" w:color="auto"/>
            </w:tcBorders>
            <w:shd w:val="clear" w:color="auto" w:fill="E2E2E2"/>
          </w:tcPr>
          <w:p w14:paraId="234CF41D" w14:textId="77777777" w:rsidR="003501A1" w:rsidRPr="00A179AE" w:rsidRDefault="003501A1" w:rsidP="00926D39">
            <w:pPr>
              <w:pStyle w:val="Odsekzoznamu"/>
              <w:spacing w:after="0"/>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14:paraId="5A3DB362" w14:textId="33325943" w:rsidR="003501A1" w:rsidRPr="00DC3B60" w:rsidRDefault="00FB7148">
            <w:pPr>
              <w:rPr>
                <w:i/>
              </w:rPr>
            </w:pPr>
            <w:r>
              <w:rPr>
                <w:i/>
              </w:rPr>
              <w:t xml:space="preserve">apríl </w:t>
            </w:r>
            <w:r w:rsidRPr="00DC3B60">
              <w:rPr>
                <w:i/>
              </w:rPr>
              <w:t xml:space="preserve"> </w:t>
            </w:r>
            <w:r w:rsidR="00DD0D9A" w:rsidRPr="00DC3B60">
              <w:rPr>
                <w:i/>
              </w:rPr>
              <w:t>20</w:t>
            </w:r>
            <w:r w:rsidR="0068316C">
              <w:rPr>
                <w:i/>
              </w:rPr>
              <w:t>2</w:t>
            </w:r>
            <w:r w:rsidR="00F815CD">
              <w:rPr>
                <w:i/>
              </w:rPr>
              <w:t>1</w:t>
            </w:r>
          </w:p>
        </w:tc>
      </w:tr>
      <w:tr w:rsidR="003501A1" w:rsidRPr="00A179AE" w14:paraId="15C71CC9" w14:textId="77777777" w:rsidTr="007F0F79">
        <w:tc>
          <w:tcPr>
            <w:tcW w:w="9180"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ED3934E" w14:textId="77777777" w:rsidR="003501A1" w:rsidRPr="00A179AE" w:rsidRDefault="003501A1" w:rsidP="007B71A4"/>
        </w:tc>
      </w:tr>
      <w:tr w:rsidR="003501A1" w:rsidRPr="00A179AE" w14:paraId="54C0BE71"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12A811D4"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14:paraId="7BDE4064" w14:textId="77777777" w:rsidTr="00926D39">
        <w:trPr>
          <w:trHeight w:val="500"/>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156D962" w14:textId="6E3A909D" w:rsidR="003501A1" w:rsidRPr="00A179AE" w:rsidRDefault="00E14F74">
            <w:pPr>
              <w:jc w:val="both"/>
              <w:rPr>
                <w:b/>
              </w:rPr>
            </w:pPr>
            <w:r w:rsidRPr="00E14F74">
              <w:rPr>
                <w:rFonts w:ascii="Times" w:hAnsi="Times" w:cs="Times"/>
              </w:rPr>
              <w:t xml:space="preserve">Nedostatočné plnenie záväzkov Slovenskej republiky vyplývajúcich z čl. 4 ods. 4 smernice Rady 92/43/EHS z 21. mája 1992 o ochrane prirodzených biotopov a voľne žijúcich živočíchov a rastlín </w:t>
            </w:r>
            <w:r w:rsidR="00C9674F" w:rsidRPr="00C9674F">
              <w:rPr>
                <w:rFonts w:ascii="Times" w:hAnsi="Times" w:cs="Times"/>
              </w:rPr>
              <w:t>(Ú. v. ES L 206, 22.7.1992; Mimoriadne vydanie Ú. v. EÚ, kap. 15/zv. 2) v platnom znení (ďalej len „smernica 92/43/EHS v platnom znení“)</w:t>
            </w:r>
            <w:r w:rsidR="00C9674F">
              <w:rPr>
                <w:rFonts w:ascii="Times" w:hAnsi="Times" w:cs="Times"/>
              </w:rPr>
              <w:t xml:space="preserve"> </w:t>
            </w:r>
            <w:r w:rsidRPr="00E14F74">
              <w:rPr>
                <w:rFonts w:ascii="Times" w:hAnsi="Times" w:cs="Times"/>
              </w:rPr>
              <w:t xml:space="preserve">pokiaľ ide </w:t>
            </w:r>
            <w:r>
              <w:rPr>
                <w:rFonts w:ascii="Times" w:hAnsi="Times" w:cs="Times"/>
              </w:rPr>
              <w:t xml:space="preserve">o </w:t>
            </w:r>
            <w:r w:rsidRPr="00E14F74">
              <w:rPr>
                <w:rFonts w:ascii="Times" w:hAnsi="Times" w:cs="Times"/>
              </w:rPr>
              <w:t xml:space="preserve">vyhlasovanie lokalít zapísaných v zozname lokalít európskeho významu. </w:t>
            </w:r>
            <w:r w:rsidR="0068316C">
              <w:rPr>
                <w:rFonts w:ascii="Times" w:hAnsi="Times" w:cs="Times"/>
              </w:rPr>
              <w:t>Dôvodom vyhlásenia nav</w:t>
            </w:r>
            <w:r w:rsidR="00A227D2">
              <w:rPr>
                <w:rFonts w:ascii="Times" w:hAnsi="Times" w:cs="Times"/>
              </w:rPr>
              <w:t xml:space="preserve">rhovaného chráneného areálu </w:t>
            </w:r>
            <w:r w:rsidR="00C9674F">
              <w:rPr>
                <w:rFonts w:ascii="Times" w:hAnsi="Times" w:cs="Times"/>
              </w:rPr>
              <w:t xml:space="preserve">(CHA) </w:t>
            </w:r>
            <w:r w:rsidR="0046618C">
              <w:rPr>
                <w:rFonts w:ascii="Times" w:hAnsi="Times" w:cs="Times"/>
              </w:rPr>
              <w:t>Rimava</w:t>
            </w:r>
            <w:r w:rsidR="00A227D2">
              <w:rPr>
                <w:rFonts w:ascii="Times" w:hAnsi="Times" w:cs="Times"/>
              </w:rPr>
              <w:t xml:space="preserve"> </w:t>
            </w:r>
            <w:r w:rsidR="0068316C">
              <w:rPr>
                <w:rFonts w:ascii="Times" w:hAnsi="Times" w:cs="Times"/>
              </w:rPr>
              <w:t xml:space="preserve">je aj </w:t>
            </w:r>
            <w:r w:rsidR="00C9674F" w:rsidRPr="00C36ABE">
              <w:rPr>
                <w:rFonts w:ascii="Times" w:hAnsi="Times" w:cs="Times"/>
              </w:rPr>
              <w:t>formálne oznámenie Európskej komisie v rámci konania o porušení zmlúv č. 2019/2141</w:t>
            </w:r>
            <w:r w:rsidR="00C9674F">
              <w:rPr>
                <w:rFonts w:ascii="Times" w:hAnsi="Times" w:cs="Times"/>
              </w:rPr>
              <w:t>, ktoré sa týka nedostatočného vyhlasovania lokalít európskeho významu a</w:t>
            </w:r>
            <w:r w:rsidR="00F815CD">
              <w:rPr>
                <w:rFonts w:ascii="Times" w:hAnsi="Times" w:cs="Times"/>
              </w:rPr>
              <w:t> </w:t>
            </w:r>
            <w:r w:rsidR="00C9674F">
              <w:rPr>
                <w:rFonts w:ascii="Times" w:hAnsi="Times" w:cs="Times"/>
              </w:rPr>
              <w:t>s</w:t>
            </w:r>
            <w:r w:rsidR="00F815CD">
              <w:rPr>
                <w:rFonts w:ascii="Times" w:hAnsi="Times" w:cs="Times"/>
              </w:rPr>
              <w:t>tanovenia cieľov ochrany a opatrení na ich dosiahnutie (</w:t>
            </w:r>
            <w:r w:rsidR="00502B3D">
              <w:rPr>
                <w:rFonts w:ascii="Times" w:hAnsi="Times" w:cs="Times"/>
              </w:rPr>
              <w:t xml:space="preserve">napr. v rámci </w:t>
            </w:r>
            <w:r w:rsidR="00C9674F">
              <w:rPr>
                <w:rFonts w:ascii="Times" w:hAnsi="Times" w:cs="Times"/>
              </w:rPr>
              <w:t>programov starostlivosti</w:t>
            </w:r>
            <w:r w:rsidR="00F815CD">
              <w:rPr>
                <w:rFonts w:ascii="Times" w:hAnsi="Times" w:cs="Times"/>
              </w:rPr>
              <w:t>)</w:t>
            </w:r>
            <w:r w:rsidR="00C9674F">
              <w:rPr>
                <w:rFonts w:ascii="Times" w:hAnsi="Times" w:cs="Times"/>
              </w:rPr>
              <w:t>.</w:t>
            </w:r>
          </w:p>
        </w:tc>
      </w:tr>
      <w:tr w:rsidR="003501A1" w:rsidRPr="00A179AE" w14:paraId="32294E0E"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18593A96"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14:paraId="3A2FA20A" w14:textId="77777777"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75A44673" w14:textId="77777777" w:rsidR="003501A1" w:rsidRPr="00A179AE" w:rsidRDefault="00E14F74" w:rsidP="0046618C">
            <w:pPr>
              <w:jc w:val="both"/>
            </w:pPr>
            <w:r>
              <w:rPr>
                <w:rFonts w:ascii="Times" w:hAnsi="Times" w:cs="Times"/>
              </w:rPr>
              <w:t xml:space="preserve">Zabezpečenie priaznivého stavu biotopov </w:t>
            </w:r>
            <w:r w:rsidR="0046618C">
              <w:rPr>
                <w:rFonts w:ascii="Times" w:hAnsi="Times" w:cs="Times"/>
              </w:rPr>
              <w:t xml:space="preserve">druhov </w:t>
            </w:r>
            <w:r>
              <w:rPr>
                <w:rFonts w:ascii="Times" w:hAnsi="Times" w:cs="Times"/>
              </w:rPr>
              <w:t xml:space="preserve">európskeho významu, ktoré sú predmetom ochrany navrhovaného </w:t>
            </w:r>
            <w:r w:rsidR="00A227D2">
              <w:rPr>
                <w:rFonts w:ascii="Times" w:hAnsi="Times" w:cs="Times"/>
              </w:rPr>
              <w:t>CHA</w:t>
            </w:r>
            <w:r w:rsidR="00E17E5F">
              <w:rPr>
                <w:rFonts w:ascii="Times" w:hAnsi="Times" w:cs="Times"/>
              </w:rPr>
              <w:t xml:space="preserve"> </w:t>
            </w:r>
            <w:r w:rsidR="0046618C">
              <w:rPr>
                <w:rFonts w:ascii="Times" w:hAnsi="Times" w:cs="Times"/>
              </w:rPr>
              <w:t>Rimava</w:t>
            </w:r>
            <w:r w:rsidR="0068316C">
              <w:rPr>
                <w:rFonts w:ascii="Times" w:hAnsi="Times" w:cs="Times"/>
              </w:rPr>
              <w:t xml:space="preserve"> </w:t>
            </w:r>
            <w:r w:rsidR="00926D39">
              <w:rPr>
                <w:rFonts w:ascii="Times" w:hAnsi="Times" w:cs="Times"/>
              </w:rPr>
              <w:t>a</w:t>
            </w:r>
            <w:r>
              <w:rPr>
                <w:rFonts w:ascii="Times" w:hAnsi="Times" w:cs="Times"/>
              </w:rPr>
              <w:t xml:space="preserve">  </w:t>
            </w:r>
            <w:r w:rsidR="00926D39">
              <w:rPr>
                <w:rFonts w:ascii="Times" w:hAnsi="Times" w:cs="Times"/>
              </w:rPr>
              <w:t>zároveň zabezpeč</w:t>
            </w:r>
            <w:r>
              <w:rPr>
                <w:rFonts w:ascii="Times" w:hAnsi="Times" w:cs="Times"/>
              </w:rPr>
              <w:t>enie</w:t>
            </w:r>
            <w:r w:rsidR="00926D39">
              <w:rPr>
                <w:rFonts w:ascii="Times" w:hAnsi="Times" w:cs="Times"/>
              </w:rPr>
              <w:t xml:space="preserve"> </w:t>
            </w:r>
            <w:r>
              <w:rPr>
                <w:rFonts w:ascii="Times" w:hAnsi="Times" w:cs="Times"/>
              </w:rPr>
              <w:t xml:space="preserve">plnenia </w:t>
            </w:r>
            <w:r w:rsidR="00926D39">
              <w:rPr>
                <w:rFonts w:ascii="Times" w:hAnsi="Times" w:cs="Times"/>
              </w:rPr>
              <w:t>medzinárodn</w:t>
            </w:r>
            <w:r>
              <w:rPr>
                <w:rFonts w:ascii="Times" w:hAnsi="Times" w:cs="Times"/>
              </w:rPr>
              <w:t>ých</w:t>
            </w:r>
            <w:r w:rsidR="00926D39">
              <w:rPr>
                <w:rFonts w:ascii="Times" w:hAnsi="Times" w:cs="Times"/>
              </w:rPr>
              <w:t xml:space="preserve"> záväzk</w:t>
            </w:r>
            <w:r>
              <w:rPr>
                <w:rFonts w:ascii="Times" w:hAnsi="Times" w:cs="Times"/>
              </w:rPr>
              <w:t>ov</w:t>
            </w:r>
            <w:r w:rsidR="00926D39">
              <w:rPr>
                <w:rFonts w:ascii="Times" w:hAnsi="Times" w:cs="Times"/>
              </w:rPr>
              <w:t xml:space="preserve"> ochrany európskej sústavy chránených území Natura 2000. </w:t>
            </w:r>
          </w:p>
        </w:tc>
      </w:tr>
      <w:tr w:rsidR="003501A1" w:rsidRPr="00A179AE" w14:paraId="45DF5969"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506821A3"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14:paraId="583534B4"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2475D9E7" w14:textId="17D1F5D6" w:rsidR="003501A1" w:rsidRPr="00A179AE" w:rsidRDefault="00926D39" w:rsidP="00C9674F">
            <w:pPr>
              <w:jc w:val="both"/>
              <w:rPr>
                <w:i/>
              </w:rPr>
            </w:pPr>
            <w:r>
              <w:rPr>
                <w:rFonts w:ascii="Times" w:hAnsi="Times" w:cs="Times"/>
              </w:rPr>
              <w:t>Vlastníci</w:t>
            </w:r>
            <w:r w:rsidR="00C9674F">
              <w:rPr>
                <w:rFonts w:ascii="Times" w:hAnsi="Times" w:cs="Times"/>
              </w:rPr>
              <w:t xml:space="preserve"> a </w:t>
            </w:r>
            <w:r>
              <w:rPr>
                <w:rFonts w:ascii="Times" w:hAnsi="Times" w:cs="Times"/>
              </w:rPr>
              <w:t>správcovia</w:t>
            </w:r>
            <w:r w:rsidR="00C9674F">
              <w:rPr>
                <w:rFonts w:ascii="Times" w:hAnsi="Times" w:cs="Times"/>
              </w:rPr>
              <w:t xml:space="preserve"> </w:t>
            </w:r>
            <w:r>
              <w:rPr>
                <w:rFonts w:ascii="Times" w:hAnsi="Times" w:cs="Times"/>
              </w:rPr>
              <w:t>dotknutých pozemkov, obce, záujmové združenia, dotknuté orgány štátnej správy, vrát</w:t>
            </w:r>
            <w:r w:rsidR="00C9674F">
              <w:rPr>
                <w:rFonts w:ascii="Times" w:hAnsi="Times" w:cs="Times"/>
              </w:rPr>
              <w:t>a</w:t>
            </w:r>
            <w:r>
              <w:rPr>
                <w:rFonts w:ascii="Times" w:hAnsi="Times" w:cs="Times"/>
              </w:rPr>
              <w:t>ne dotknutých organizácií v ich zriaďovacej pôsobnosti, verejnosť.</w:t>
            </w:r>
          </w:p>
        </w:tc>
      </w:tr>
      <w:tr w:rsidR="003501A1" w:rsidRPr="00A179AE" w14:paraId="39CC444B"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0C33C9AA"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14:paraId="50B497CA" w14:textId="77777777" w:rsidTr="00E14F74">
        <w:trPr>
          <w:trHeight w:val="453"/>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6C64BA4C" w14:textId="77777777" w:rsidR="001335AD" w:rsidRPr="00C57B8E" w:rsidRDefault="001335AD" w:rsidP="001335AD">
            <w:pPr>
              <w:rPr>
                <w:i/>
              </w:rPr>
            </w:pPr>
            <w:r w:rsidRPr="00B1366E">
              <w:t xml:space="preserve">Alternatívne riešenie sa týka celkovo vyhlásenia/nevyhlásenia </w:t>
            </w:r>
            <w:r w:rsidR="00A227D2">
              <w:t>CHA</w:t>
            </w:r>
            <w:r w:rsidRPr="00B1366E">
              <w:t xml:space="preserve"> </w:t>
            </w:r>
            <w:r w:rsidR="0046618C">
              <w:t>Rimava</w:t>
            </w:r>
            <w:r w:rsidRPr="00B1366E">
              <w:t>.</w:t>
            </w:r>
          </w:p>
          <w:p w14:paraId="6F4BF9A1" w14:textId="57CAD1FE" w:rsidR="003501A1" w:rsidRPr="00E14F74" w:rsidRDefault="0068316C">
            <w:pPr>
              <w:jc w:val="both"/>
              <w:rPr>
                <w:i/>
              </w:rPr>
            </w:pPr>
            <w:r>
              <w:rPr>
                <w:iCs/>
              </w:rPr>
              <w:t xml:space="preserve">Dôvodom vyhlásenia CHA </w:t>
            </w:r>
            <w:r w:rsidR="0046618C">
              <w:rPr>
                <w:iCs/>
              </w:rPr>
              <w:t>Rimava</w:t>
            </w:r>
            <w:r>
              <w:rPr>
                <w:iCs/>
              </w:rPr>
              <w:t xml:space="preserve"> je splnenie požiadavky vyplývajúcej z</w:t>
            </w:r>
            <w:r w:rsidR="00C9674F">
              <w:rPr>
                <w:iCs/>
              </w:rPr>
              <w:t> </w:t>
            </w:r>
            <w:r>
              <w:rPr>
                <w:iCs/>
              </w:rPr>
              <w:t>čl</w:t>
            </w:r>
            <w:r w:rsidR="00C9674F">
              <w:rPr>
                <w:iCs/>
              </w:rPr>
              <w:t>.</w:t>
            </w:r>
            <w:r>
              <w:rPr>
                <w:iCs/>
              </w:rPr>
              <w:t xml:space="preserve"> 4 ods. 4 </w:t>
            </w:r>
            <w:r w:rsidR="00D7309C" w:rsidRPr="00C9674F">
              <w:rPr>
                <w:rFonts w:ascii="Times" w:hAnsi="Times" w:cs="Times"/>
              </w:rPr>
              <w:t>smernic</w:t>
            </w:r>
            <w:r w:rsidR="00D7309C">
              <w:rPr>
                <w:rFonts w:ascii="Times" w:hAnsi="Times" w:cs="Times"/>
              </w:rPr>
              <w:t>e</w:t>
            </w:r>
            <w:r w:rsidR="00D7309C" w:rsidRPr="00C9674F">
              <w:rPr>
                <w:rFonts w:ascii="Times" w:hAnsi="Times" w:cs="Times"/>
              </w:rPr>
              <w:t xml:space="preserve"> 92/43/EHS v platnom znení</w:t>
            </w:r>
            <w:r>
              <w:rPr>
                <w:iCs/>
              </w:rPr>
              <w:t xml:space="preserve">, podľa ktorého členské štáty určia lokality uvedené v národnom zozname lokalít európskeho významu ako osobitné chránené územia a stanovia priority </w:t>
            </w:r>
            <w:r w:rsidR="00F815CD">
              <w:rPr>
                <w:iCs/>
              </w:rPr>
              <w:t xml:space="preserve">a ciele </w:t>
            </w:r>
            <w:r>
              <w:rPr>
                <w:iCs/>
              </w:rPr>
              <w:t xml:space="preserve">ochrany a potrebné opatrenia, najneskôr do šiestich rokov. </w:t>
            </w:r>
            <w:r w:rsidRPr="00B1366E">
              <w:t xml:space="preserve">V prípade nevyhlásenia </w:t>
            </w:r>
            <w:r>
              <w:t xml:space="preserve">CHA </w:t>
            </w:r>
            <w:r w:rsidR="0046618C">
              <w:t>Rimava</w:t>
            </w:r>
            <w:r w:rsidRPr="00B1366E">
              <w:t xml:space="preserve"> nebude splnená požiadavka na vyhlásenie a na stanovenie cieľov ochrany a opatrení na ich dosiahnutie.</w:t>
            </w:r>
          </w:p>
        </w:tc>
      </w:tr>
      <w:tr w:rsidR="003501A1" w:rsidRPr="00A179AE" w14:paraId="39E736A8"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3B2FF56D"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14:paraId="56B5BDC3" w14:textId="77777777"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76289F9F" w14:textId="77777777" w:rsidR="003501A1" w:rsidRPr="0068316C" w:rsidRDefault="003501A1" w:rsidP="007B71A4">
            <w:pPr>
              <w:rPr>
                <w:iCs/>
              </w:rPr>
            </w:pPr>
            <w:r w:rsidRPr="0068316C">
              <w:rPr>
                <w:iCs/>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0F8099BD" w14:textId="77777777" w:rsidR="003501A1" w:rsidRPr="00A179AE" w:rsidRDefault="002C6450" w:rsidP="007B71A4">
            <w:pPr>
              <w:jc w:val="center"/>
            </w:pPr>
            <w:sdt>
              <w:sdtPr>
                <w:id w:val="-1407611648"/>
                <w14:checkbox>
                  <w14:checked w14:val="0"/>
                  <w14:checkedState w14:val="2612" w14:font="MS Gothic"/>
                  <w14:uncheckedState w14:val="2610" w14:font="MS Gothic"/>
                </w14:checkbox>
              </w:sdtPr>
              <w:sdtEndPr/>
              <w:sdtContent>
                <w:r w:rsidR="00E14F74">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5396AE9E" w14:textId="77777777" w:rsidR="003501A1" w:rsidRPr="00A179AE" w:rsidRDefault="002C6450" w:rsidP="007B71A4">
            <w:pPr>
              <w:jc w:val="center"/>
            </w:pPr>
            <w:sdt>
              <w:sdtPr>
                <w:id w:val="-1625842802"/>
                <w14:checkbox>
                  <w14:checked w14:val="1"/>
                  <w14:checkedState w14:val="2612" w14:font="MS Gothic"/>
                  <w14:uncheckedState w14:val="2610" w14:font="MS Gothic"/>
                </w14:checkbox>
              </w:sdtPr>
              <w:sdtEndPr/>
              <w:sdtContent>
                <w:r w:rsidR="00E14F74">
                  <w:rPr>
                    <w:rFonts w:ascii="MS Gothic" w:eastAsia="MS Gothic" w:hAnsi="MS Gothic" w:hint="eastAsia"/>
                  </w:rPr>
                  <w:t>☒</w:t>
                </w:r>
              </w:sdtContent>
            </w:sdt>
            <w:r w:rsidR="003501A1" w:rsidRPr="00A179AE">
              <w:t xml:space="preserve">  Nie</w:t>
            </w:r>
          </w:p>
        </w:tc>
      </w:tr>
      <w:tr w:rsidR="003501A1" w:rsidRPr="00A179AE" w14:paraId="7CAC1000" w14:textId="77777777" w:rsidTr="0068316C">
        <w:tc>
          <w:tcPr>
            <w:tcW w:w="9180" w:type="dxa"/>
            <w:gridSpan w:val="10"/>
            <w:tcBorders>
              <w:top w:val="single" w:sz="4" w:space="0" w:color="auto"/>
              <w:left w:val="single" w:sz="4" w:space="0" w:color="auto"/>
              <w:bottom w:val="single" w:sz="4" w:space="0" w:color="auto"/>
              <w:right w:val="single" w:sz="4" w:space="0" w:color="auto"/>
            </w:tcBorders>
            <w:shd w:val="clear" w:color="auto" w:fill="E2E2E2"/>
          </w:tcPr>
          <w:p w14:paraId="153DBDEE"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14:paraId="365D3C28" w14:textId="77777777" w:rsidTr="0068316C">
        <w:trPr>
          <w:trHeight w:hRule="exact" w:val="316"/>
        </w:trPr>
        <w:tc>
          <w:tcPr>
            <w:tcW w:w="9180" w:type="dxa"/>
            <w:gridSpan w:val="10"/>
            <w:tcBorders>
              <w:top w:val="single" w:sz="4" w:space="0" w:color="auto"/>
              <w:left w:val="single" w:sz="4" w:space="0" w:color="auto"/>
              <w:bottom w:val="single" w:sz="4" w:space="0" w:color="auto"/>
              <w:right w:val="single" w:sz="4" w:space="0" w:color="auto"/>
            </w:tcBorders>
            <w:shd w:val="clear" w:color="auto" w:fill="E2E2E2"/>
          </w:tcPr>
          <w:p w14:paraId="6FEEC735" w14:textId="77777777"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7F0F79" w:rsidRPr="00A179AE" w14:paraId="5BA0A510" w14:textId="77777777" w:rsidTr="0068316C">
        <w:trPr>
          <w:trHeight w:val="1134"/>
        </w:trPr>
        <w:tc>
          <w:tcPr>
            <w:tcW w:w="9180" w:type="dxa"/>
            <w:gridSpan w:val="10"/>
            <w:tcBorders>
              <w:top w:val="single" w:sz="4" w:space="0" w:color="auto"/>
              <w:left w:val="nil"/>
              <w:right w:val="nil"/>
            </w:tcBorders>
            <w:shd w:val="clear" w:color="auto" w:fill="FFFFFF" w:themeFill="background1"/>
          </w:tcPr>
          <w:p w14:paraId="31D9A6C5" w14:textId="77777777" w:rsidR="007F0F79" w:rsidRDefault="007F0F79" w:rsidP="00BC7674"/>
          <w:p w14:paraId="05DF9E0D" w14:textId="77777777" w:rsidR="007F0F79" w:rsidRDefault="007F0F79" w:rsidP="004C60B8">
            <w:pPr>
              <w:ind w:left="142" w:hanging="142"/>
            </w:pPr>
            <w:r>
              <w:t xml:space="preserve">* vyplniť iba v prípade, </w:t>
            </w:r>
            <w:r w:rsidRPr="004C60B8">
              <w:t>ak materiál nie je zahrnutý do Plánu práce vlády Slovenskej republiky alebo Plán</w:t>
            </w:r>
            <w:r>
              <w:t>u</w:t>
            </w:r>
            <w:r w:rsidRPr="004C60B8">
              <w:t xml:space="preserve"> </w:t>
            </w:r>
            <w:r>
              <w:t xml:space="preserve">       </w:t>
            </w:r>
            <w:r w:rsidRPr="004C60B8">
              <w:t>legislatívnych úloh vlády Slovenskej republiky.</w:t>
            </w:r>
            <w:r>
              <w:t xml:space="preserve"> </w:t>
            </w:r>
          </w:p>
          <w:p w14:paraId="6EBEFAF6" w14:textId="77777777" w:rsidR="007F0F79" w:rsidRDefault="007F0F79" w:rsidP="00F22831">
            <w:r>
              <w:t>** nepovinné</w:t>
            </w:r>
          </w:p>
          <w:p w14:paraId="2FAEAFF2" w14:textId="77777777" w:rsidR="007F0F79" w:rsidRPr="00A179AE" w:rsidRDefault="007F0F79" w:rsidP="00F22831"/>
        </w:tc>
      </w:tr>
      <w:tr w:rsidR="003501A1" w:rsidRPr="00A179AE" w14:paraId="5B944A77" w14:textId="77777777" w:rsidTr="00E14F74">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3CE941F6"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14:paraId="7FA0CB89" w14:textId="77777777" w:rsidTr="004F6F1F">
        <w:tc>
          <w:tcPr>
            <w:tcW w:w="3812" w:type="dxa"/>
            <w:tcBorders>
              <w:top w:val="single" w:sz="4" w:space="0" w:color="auto"/>
              <w:left w:val="single" w:sz="4" w:space="0" w:color="auto"/>
              <w:bottom w:val="nil"/>
              <w:right w:val="single" w:sz="4" w:space="0" w:color="auto"/>
            </w:tcBorders>
            <w:shd w:val="clear" w:color="auto" w:fill="E2E2E2"/>
          </w:tcPr>
          <w:p w14:paraId="62F997BC" w14:textId="77777777" w:rsidR="003501A1" w:rsidRPr="00A179AE" w:rsidRDefault="003501A1" w:rsidP="007B71A4">
            <w:pPr>
              <w:rPr>
                <w:b/>
              </w:rPr>
            </w:pPr>
            <w:r w:rsidRPr="00A179AE">
              <w:rPr>
                <w:b/>
              </w:rPr>
              <w:t>Vplyvy na rozpočet verejnej správy</w:t>
            </w:r>
          </w:p>
        </w:tc>
        <w:sdt>
          <w:sdtPr>
            <w:rPr>
              <w:bCs/>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C3F05B4" w14:textId="77777777" w:rsidR="003501A1" w:rsidRPr="0068316C" w:rsidRDefault="00F32FCB" w:rsidP="007B71A4">
                <w:pPr>
                  <w:jc w:val="center"/>
                  <w:rPr>
                    <w:bCs/>
                  </w:rPr>
                </w:pPr>
                <w:r>
                  <w:rPr>
                    <w:rFonts w:ascii="MS Gothic" w:eastAsia="MS Gothic" w:hAnsi="MS Gothic" w:hint="eastAsia"/>
                    <w:bCs/>
                  </w:rPr>
                  <w:t>☐</w:t>
                </w:r>
              </w:p>
            </w:tc>
          </w:sdtContent>
        </w:sdt>
        <w:tc>
          <w:tcPr>
            <w:tcW w:w="1281" w:type="dxa"/>
            <w:gridSpan w:val="2"/>
            <w:tcBorders>
              <w:top w:val="single" w:sz="4" w:space="0" w:color="auto"/>
              <w:left w:val="nil"/>
              <w:bottom w:val="single" w:sz="4" w:space="0" w:color="auto"/>
              <w:right w:val="nil"/>
            </w:tcBorders>
          </w:tcPr>
          <w:p w14:paraId="38CA8E47" w14:textId="77777777" w:rsidR="003501A1" w:rsidRPr="0068316C" w:rsidRDefault="003501A1" w:rsidP="007B71A4">
            <w:pPr>
              <w:rPr>
                <w:bCs/>
              </w:rPr>
            </w:pPr>
            <w:r w:rsidRPr="0068316C">
              <w:rPr>
                <w:bCs/>
              </w:rPr>
              <w:t>Pozitívne</w:t>
            </w:r>
          </w:p>
        </w:tc>
        <w:sdt>
          <w:sdtPr>
            <w:rPr>
              <w:bCs/>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DC102FF" w14:textId="77777777" w:rsidR="003501A1" w:rsidRPr="0068316C" w:rsidRDefault="004B1300" w:rsidP="007B71A4">
                <w:pPr>
                  <w:jc w:val="center"/>
                  <w:rPr>
                    <w:bCs/>
                  </w:rPr>
                </w:pPr>
                <w:r>
                  <w:rPr>
                    <w:rFonts w:ascii="MS Gothic" w:eastAsia="MS Gothic" w:hAnsi="MS Gothic" w:hint="eastAsia"/>
                    <w:bCs/>
                  </w:rPr>
                  <w:t>☐</w:t>
                </w:r>
              </w:p>
            </w:tc>
          </w:sdtContent>
        </w:sdt>
        <w:tc>
          <w:tcPr>
            <w:tcW w:w="1133" w:type="dxa"/>
            <w:tcBorders>
              <w:top w:val="single" w:sz="4" w:space="0" w:color="auto"/>
              <w:left w:val="nil"/>
              <w:bottom w:val="single" w:sz="4" w:space="0" w:color="auto"/>
              <w:right w:val="nil"/>
            </w:tcBorders>
          </w:tcPr>
          <w:p w14:paraId="009CDC3D" w14:textId="77777777" w:rsidR="003501A1" w:rsidRPr="0068316C" w:rsidRDefault="003501A1" w:rsidP="007B71A4">
            <w:pPr>
              <w:rPr>
                <w:bCs/>
              </w:rPr>
            </w:pPr>
            <w:r w:rsidRPr="0068316C">
              <w:rPr>
                <w:bCs/>
              </w:rPr>
              <w:t>Žiadne</w:t>
            </w:r>
          </w:p>
        </w:tc>
        <w:sdt>
          <w:sdtPr>
            <w:rPr>
              <w:bCs/>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CB9BD58" w14:textId="77777777" w:rsidR="003501A1" w:rsidRPr="0068316C" w:rsidRDefault="00926D39" w:rsidP="007B71A4">
                <w:pPr>
                  <w:ind w:left="-107" w:right="-108"/>
                  <w:jc w:val="center"/>
                  <w:rPr>
                    <w:bCs/>
                  </w:rPr>
                </w:pPr>
                <w:r w:rsidRPr="0068316C">
                  <w:rPr>
                    <w:rFonts w:ascii="MS Gothic" w:eastAsia="MS Gothic" w:hAnsi="MS Gothic" w:hint="eastAsia"/>
                    <w:bCs/>
                  </w:rPr>
                  <w:t>☒</w:t>
                </w:r>
              </w:p>
            </w:tc>
          </w:sdtContent>
        </w:sdt>
        <w:tc>
          <w:tcPr>
            <w:tcW w:w="1297" w:type="dxa"/>
            <w:tcBorders>
              <w:top w:val="single" w:sz="4" w:space="0" w:color="auto"/>
              <w:left w:val="nil"/>
              <w:bottom w:val="single" w:sz="4" w:space="0" w:color="auto"/>
              <w:right w:val="single" w:sz="4" w:space="0" w:color="auto"/>
            </w:tcBorders>
          </w:tcPr>
          <w:p w14:paraId="1CA1A0C1" w14:textId="77777777" w:rsidR="003501A1" w:rsidRPr="0068316C" w:rsidRDefault="003501A1" w:rsidP="007B71A4">
            <w:pPr>
              <w:ind w:left="34"/>
              <w:rPr>
                <w:bCs/>
              </w:rPr>
            </w:pPr>
            <w:r w:rsidRPr="0068316C">
              <w:rPr>
                <w:bCs/>
              </w:rPr>
              <w:t>Negatívne</w:t>
            </w:r>
          </w:p>
        </w:tc>
      </w:tr>
      <w:tr w:rsidR="003501A1" w:rsidRPr="00A179AE" w14:paraId="23B81718" w14:textId="77777777" w:rsidTr="004F6F1F">
        <w:tc>
          <w:tcPr>
            <w:tcW w:w="3812" w:type="dxa"/>
            <w:tcBorders>
              <w:top w:val="nil"/>
              <w:left w:val="single" w:sz="4" w:space="0" w:color="auto"/>
              <w:bottom w:val="single" w:sz="4" w:space="0" w:color="000000" w:themeColor="text1"/>
              <w:right w:val="single" w:sz="4" w:space="0" w:color="auto"/>
            </w:tcBorders>
            <w:shd w:val="clear" w:color="auto" w:fill="E2E2E2"/>
          </w:tcPr>
          <w:p w14:paraId="56AD50E6" w14:textId="77777777" w:rsidR="003501A1" w:rsidRPr="00A179AE" w:rsidRDefault="003501A1" w:rsidP="007B71A4">
            <w:r w:rsidRPr="00A179AE">
              <w:t xml:space="preserve">    z toho rozpočtovo zabezpečené vplyvy</w:t>
            </w:r>
          </w:p>
        </w:tc>
        <w:sdt>
          <w:sdtPr>
            <w:id w:val="-20737291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2056F08" w14:textId="77777777" w:rsidR="003501A1" w:rsidRPr="0068316C" w:rsidRDefault="004B1300" w:rsidP="007B71A4">
                <w:pPr>
                  <w:jc w:val="center"/>
                </w:pPr>
                <w:r>
                  <w:rPr>
                    <w:rFonts w:ascii="MS Gothic" w:eastAsia="MS Gothic" w:hAnsi="MS Gothic" w:cs="Segoe UI Symbol" w:hint="eastAsia"/>
                  </w:rPr>
                  <w:t>☒</w:t>
                </w:r>
              </w:p>
            </w:tc>
          </w:sdtContent>
        </w:sdt>
        <w:tc>
          <w:tcPr>
            <w:tcW w:w="1281" w:type="dxa"/>
            <w:gridSpan w:val="2"/>
            <w:tcBorders>
              <w:top w:val="single" w:sz="4" w:space="0" w:color="auto"/>
              <w:left w:val="nil"/>
              <w:bottom w:val="single" w:sz="4" w:space="0" w:color="auto"/>
              <w:right w:val="nil"/>
            </w:tcBorders>
          </w:tcPr>
          <w:p w14:paraId="358159D4" w14:textId="77777777" w:rsidR="003501A1" w:rsidRPr="0068316C" w:rsidRDefault="003501A1" w:rsidP="007B71A4">
            <w:r w:rsidRPr="0068316C">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E5FDE47" w14:textId="77777777" w:rsidR="003501A1" w:rsidRPr="0068316C" w:rsidRDefault="003501A1" w:rsidP="007B71A4">
                <w:pPr>
                  <w:jc w:val="center"/>
                </w:pPr>
                <w:r w:rsidRPr="0068316C">
                  <w:rPr>
                    <w:rFonts w:ascii="Segoe UI Symbol" w:eastAsia="MS Mincho" w:hAnsi="Segoe UI Symbol" w:cs="Segoe UI Symbol"/>
                  </w:rPr>
                  <w:t>☐</w:t>
                </w:r>
              </w:p>
            </w:tc>
          </w:sdtContent>
        </w:sdt>
        <w:tc>
          <w:tcPr>
            <w:tcW w:w="1133" w:type="dxa"/>
            <w:tcBorders>
              <w:top w:val="single" w:sz="4" w:space="0" w:color="auto"/>
              <w:left w:val="nil"/>
              <w:bottom w:val="single" w:sz="4" w:space="0" w:color="auto"/>
              <w:right w:val="nil"/>
            </w:tcBorders>
          </w:tcPr>
          <w:p w14:paraId="7EDF0F79" w14:textId="77777777" w:rsidR="003501A1" w:rsidRPr="0068316C" w:rsidRDefault="003501A1" w:rsidP="007B71A4">
            <w:r w:rsidRPr="0068316C">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E619250" w14:textId="77777777" w:rsidR="003501A1" w:rsidRPr="0068316C" w:rsidRDefault="003501A1" w:rsidP="007B71A4">
                <w:pPr>
                  <w:ind w:left="-107" w:right="-108"/>
                  <w:jc w:val="center"/>
                </w:pPr>
                <w:r w:rsidRPr="0068316C">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1036DC8F" w14:textId="77777777" w:rsidR="003501A1" w:rsidRPr="0068316C" w:rsidRDefault="003501A1" w:rsidP="007B71A4">
            <w:pPr>
              <w:ind w:left="34"/>
            </w:pPr>
            <w:r w:rsidRPr="0068316C">
              <w:t>Čiastočne</w:t>
            </w:r>
          </w:p>
        </w:tc>
      </w:tr>
      <w:tr w:rsidR="003501A1" w:rsidRPr="00A179AE" w14:paraId="5B74D16A" w14:textId="77777777" w:rsidTr="004F6F1F">
        <w:tc>
          <w:tcPr>
            <w:tcW w:w="3812" w:type="dxa"/>
            <w:tcBorders>
              <w:top w:val="single" w:sz="4" w:space="0" w:color="000000" w:themeColor="text1"/>
              <w:left w:val="single" w:sz="4" w:space="0" w:color="auto"/>
              <w:bottom w:val="nil"/>
              <w:right w:val="single" w:sz="4" w:space="0" w:color="auto"/>
            </w:tcBorders>
            <w:shd w:val="clear" w:color="auto" w:fill="E2E2E2"/>
          </w:tcPr>
          <w:p w14:paraId="685AAF96" w14:textId="77777777" w:rsidR="003501A1" w:rsidRPr="00A179AE" w:rsidRDefault="003501A1" w:rsidP="004C794A">
            <w:pPr>
              <w:rPr>
                <w:b/>
              </w:rPr>
            </w:pPr>
            <w:r w:rsidRPr="00A179AE">
              <w:rPr>
                <w:b/>
              </w:rPr>
              <w:t>Vplyvy na podnikateľské prostredie</w:t>
            </w:r>
          </w:p>
        </w:tc>
        <w:sdt>
          <w:sdt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A0EEC59" w14:textId="77777777" w:rsidR="003501A1" w:rsidRPr="0068316C" w:rsidRDefault="00077809" w:rsidP="007B71A4">
                <w:pPr>
                  <w:jc w:val="center"/>
                </w:pPr>
                <w:r w:rsidRPr="0068316C">
                  <w:rPr>
                    <w:rFonts w:ascii="Segoe UI Symbol" w:eastAsia="MS Gothic" w:hAnsi="Segoe UI Symbol" w:cs="Segoe UI Symbol"/>
                  </w:rPr>
                  <w:t>☐</w:t>
                </w:r>
              </w:p>
            </w:tc>
          </w:sdtContent>
        </w:sdt>
        <w:tc>
          <w:tcPr>
            <w:tcW w:w="1281" w:type="dxa"/>
            <w:gridSpan w:val="2"/>
            <w:tcBorders>
              <w:top w:val="single" w:sz="4" w:space="0" w:color="auto"/>
              <w:left w:val="nil"/>
              <w:bottom w:val="single" w:sz="4" w:space="0" w:color="auto"/>
              <w:right w:val="nil"/>
            </w:tcBorders>
          </w:tcPr>
          <w:p w14:paraId="298E10E3" w14:textId="77777777" w:rsidR="003501A1" w:rsidRPr="0068316C" w:rsidRDefault="003501A1" w:rsidP="007B71A4">
            <w:pPr>
              <w:ind w:right="-108"/>
            </w:pPr>
            <w:r w:rsidRPr="0068316C">
              <w:t>Pozitívne</w:t>
            </w:r>
          </w:p>
        </w:tc>
        <w:sdt>
          <w:sdt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A2AA65C" w14:textId="77777777" w:rsidR="003501A1" w:rsidRPr="0068316C" w:rsidRDefault="00077809" w:rsidP="007B71A4">
                <w:pPr>
                  <w:jc w:val="center"/>
                </w:pPr>
                <w:r w:rsidRPr="0068316C">
                  <w:rPr>
                    <w:rFonts w:ascii="Segoe UI Symbol" w:eastAsia="MS Gothic" w:hAnsi="Segoe UI Symbol" w:cs="Segoe UI Symbol"/>
                  </w:rPr>
                  <w:t>☒</w:t>
                </w:r>
              </w:p>
            </w:tc>
          </w:sdtContent>
        </w:sdt>
        <w:tc>
          <w:tcPr>
            <w:tcW w:w="1133" w:type="dxa"/>
            <w:tcBorders>
              <w:top w:val="single" w:sz="4" w:space="0" w:color="auto"/>
              <w:left w:val="nil"/>
              <w:bottom w:val="single" w:sz="4" w:space="0" w:color="auto"/>
              <w:right w:val="nil"/>
            </w:tcBorders>
          </w:tcPr>
          <w:p w14:paraId="613D05B7" w14:textId="77777777" w:rsidR="003501A1" w:rsidRPr="0068316C" w:rsidRDefault="003501A1" w:rsidP="007B71A4">
            <w:r w:rsidRPr="0068316C">
              <w:t>Žiadne</w:t>
            </w:r>
          </w:p>
        </w:tc>
        <w:sdt>
          <w:sdt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D1125B4" w14:textId="77777777" w:rsidR="003501A1" w:rsidRPr="0068316C" w:rsidRDefault="003501A1" w:rsidP="007B71A4">
                <w:pPr>
                  <w:jc w:val="center"/>
                </w:pPr>
                <w:r w:rsidRPr="0068316C">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15E05DA2" w14:textId="77777777" w:rsidR="003501A1" w:rsidRPr="0068316C" w:rsidRDefault="003501A1" w:rsidP="007B71A4">
            <w:pPr>
              <w:ind w:left="54"/>
            </w:pPr>
            <w:r w:rsidRPr="0068316C">
              <w:t>Negatívne</w:t>
            </w:r>
          </w:p>
        </w:tc>
      </w:tr>
      <w:tr w:rsidR="003501A1" w:rsidRPr="00A179AE" w14:paraId="6FB53E3E" w14:textId="77777777"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2B92A6E0" w14:textId="77777777" w:rsidR="003501A1" w:rsidRPr="00A179AE" w:rsidRDefault="003501A1" w:rsidP="007B71A4">
            <w:r w:rsidRPr="00A179AE">
              <w:lastRenderedPageBreak/>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14:paraId="3418B146" w14:textId="77777777" w:rsidR="003501A1" w:rsidRPr="0068316C" w:rsidRDefault="00077809" w:rsidP="007B71A4">
                <w:pPr>
                  <w:jc w:val="center"/>
                </w:pPr>
                <w:r w:rsidRPr="0068316C">
                  <w:rPr>
                    <w:rFonts w:ascii="Segoe UI Symbol" w:eastAsia="MS Gothic" w:hAnsi="Segoe UI Symbol" w:cs="Segoe UI Symbol"/>
                  </w:rPr>
                  <w:t>☐</w:t>
                </w:r>
              </w:p>
            </w:tc>
          </w:sdtContent>
        </w:sdt>
        <w:tc>
          <w:tcPr>
            <w:tcW w:w="1281" w:type="dxa"/>
            <w:gridSpan w:val="2"/>
            <w:tcBorders>
              <w:top w:val="single" w:sz="4" w:space="0" w:color="auto"/>
              <w:left w:val="nil"/>
              <w:bottom w:val="single" w:sz="4" w:space="0" w:color="auto"/>
              <w:right w:val="nil"/>
            </w:tcBorders>
          </w:tcPr>
          <w:p w14:paraId="3255925D" w14:textId="77777777" w:rsidR="003501A1" w:rsidRPr="0068316C" w:rsidRDefault="003501A1" w:rsidP="007B71A4">
            <w:pPr>
              <w:ind w:right="-108"/>
            </w:pPr>
            <w:r w:rsidRPr="0068316C">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17DCBBA6" w14:textId="5A2404F7" w:rsidR="003501A1" w:rsidRPr="0068316C" w:rsidRDefault="00B20C0D" w:rsidP="007B71A4">
                <w:pPr>
                  <w:jc w:val="center"/>
                </w:pPr>
                <w:r>
                  <w:rPr>
                    <w:rFonts w:ascii="MS Gothic" w:eastAsia="MS Gothic" w:hAnsi="MS Gothic" w:cs="Segoe UI Symbol" w:hint="eastAsia"/>
                  </w:rPr>
                  <w:t>☐</w:t>
                </w:r>
              </w:p>
            </w:tc>
          </w:sdtContent>
        </w:sdt>
        <w:tc>
          <w:tcPr>
            <w:tcW w:w="1133" w:type="dxa"/>
            <w:tcBorders>
              <w:top w:val="single" w:sz="4" w:space="0" w:color="auto"/>
              <w:left w:val="nil"/>
              <w:bottom w:val="single" w:sz="4" w:space="0" w:color="auto"/>
              <w:right w:val="nil"/>
            </w:tcBorders>
          </w:tcPr>
          <w:p w14:paraId="0A179C2F" w14:textId="77777777" w:rsidR="003501A1" w:rsidRPr="0068316C" w:rsidRDefault="003501A1" w:rsidP="007B71A4">
            <w:r w:rsidRPr="0068316C">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6CF787D" w14:textId="77777777" w:rsidR="003501A1" w:rsidRPr="0068316C" w:rsidRDefault="003501A1" w:rsidP="007B71A4">
                <w:pPr>
                  <w:jc w:val="center"/>
                </w:pPr>
                <w:r w:rsidRPr="0068316C">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204E1CD8" w14:textId="77777777" w:rsidR="003501A1" w:rsidRPr="0068316C" w:rsidRDefault="003501A1" w:rsidP="007B71A4">
            <w:pPr>
              <w:ind w:left="54"/>
            </w:pPr>
            <w:r w:rsidRPr="0068316C">
              <w:t>Negatívne</w:t>
            </w:r>
          </w:p>
        </w:tc>
      </w:tr>
      <w:tr w:rsidR="003501A1" w:rsidRPr="00A179AE" w14:paraId="4A0A011F" w14:textId="77777777"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1721BE12" w14:textId="77777777" w:rsidR="003501A1" w:rsidRPr="00A179AE" w:rsidRDefault="003501A1" w:rsidP="004C794A">
            <w:pPr>
              <w:rPr>
                <w:b/>
              </w:rPr>
            </w:pPr>
            <w:r w:rsidRPr="00A179AE">
              <w:rPr>
                <w:b/>
              </w:rPr>
              <w:t>Sociálne vplyvy</w:t>
            </w:r>
          </w:p>
        </w:tc>
        <w:sdt>
          <w:sdt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4858199" w14:textId="77777777" w:rsidR="003501A1" w:rsidRPr="0068316C" w:rsidRDefault="007F0F79" w:rsidP="007B71A4">
                <w:pPr>
                  <w:jc w:val="center"/>
                </w:pPr>
                <w:r w:rsidRPr="0068316C">
                  <w:rPr>
                    <w:rFonts w:ascii="Segoe UI Symbol" w:eastAsia="MS Gothic" w:hAnsi="Segoe UI Symbol" w:cs="Segoe UI Symbol"/>
                  </w:rPr>
                  <w:t>☐</w:t>
                </w:r>
              </w:p>
            </w:tc>
          </w:sdtContent>
        </w:sdt>
        <w:tc>
          <w:tcPr>
            <w:tcW w:w="1281" w:type="dxa"/>
            <w:gridSpan w:val="2"/>
            <w:tcBorders>
              <w:top w:val="single" w:sz="4" w:space="0" w:color="auto"/>
              <w:left w:val="nil"/>
              <w:bottom w:val="single" w:sz="4" w:space="0" w:color="auto"/>
              <w:right w:val="nil"/>
            </w:tcBorders>
          </w:tcPr>
          <w:p w14:paraId="10C981E2" w14:textId="77777777" w:rsidR="003501A1" w:rsidRPr="0068316C" w:rsidRDefault="003501A1" w:rsidP="007B71A4">
            <w:pPr>
              <w:ind w:right="-108"/>
            </w:pPr>
            <w:r w:rsidRPr="0068316C">
              <w:t>Pozitívne</w:t>
            </w:r>
          </w:p>
        </w:tc>
        <w:sdt>
          <w:sdt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1D887087" w14:textId="77777777" w:rsidR="003501A1" w:rsidRPr="0068316C" w:rsidRDefault="007F0F79" w:rsidP="007B71A4">
                <w:pPr>
                  <w:jc w:val="center"/>
                </w:pPr>
                <w:r w:rsidRPr="0068316C">
                  <w:rPr>
                    <w:rFonts w:ascii="Segoe UI Symbol" w:eastAsia="MS Gothic" w:hAnsi="Segoe UI Symbol" w:cs="Segoe UI Symbol"/>
                  </w:rPr>
                  <w:t>☒</w:t>
                </w:r>
              </w:p>
            </w:tc>
          </w:sdtContent>
        </w:sdt>
        <w:tc>
          <w:tcPr>
            <w:tcW w:w="1133" w:type="dxa"/>
            <w:tcBorders>
              <w:top w:val="single" w:sz="4" w:space="0" w:color="auto"/>
              <w:left w:val="nil"/>
              <w:bottom w:val="single" w:sz="4" w:space="0" w:color="auto"/>
              <w:right w:val="nil"/>
            </w:tcBorders>
          </w:tcPr>
          <w:p w14:paraId="1651B214" w14:textId="77777777" w:rsidR="003501A1" w:rsidRPr="0068316C" w:rsidRDefault="003501A1" w:rsidP="007B71A4">
            <w:r w:rsidRPr="0068316C">
              <w:t>Žiadne</w:t>
            </w:r>
          </w:p>
        </w:tc>
        <w:sdt>
          <w:sdt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729643C" w14:textId="77777777" w:rsidR="003501A1" w:rsidRPr="0068316C" w:rsidRDefault="003501A1" w:rsidP="007B71A4">
                <w:pPr>
                  <w:jc w:val="center"/>
                </w:pPr>
                <w:r w:rsidRPr="0068316C">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69F729C3" w14:textId="77777777" w:rsidR="003501A1" w:rsidRPr="0068316C" w:rsidRDefault="003501A1" w:rsidP="007B71A4">
            <w:pPr>
              <w:ind w:left="54"/>
            </w:pPr>
            <w:r w:rsidRPr="0068316C">
              <w:t>Negatívne</w:t>
            </w:r>
          </w:p>
        </w:tc>
      </w:tr>
      <w:tr w:rsidR="003501A1" w:rsidRPr="00A179AE" w14:paraId="4FC6C0BB" w14:textId="77777777"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14:paraId="7CD9CF96" w14:textId="77777777" w:rsidR="003501A1" w:rsidRPr="00A179AE" w:rsidRDefault="003501A1" w:rsidP="004C794A">
            <w:pPr>
              <w:rPr>
                <w:b/>
              </w:rPr>
            </w:pPr>
            <w:r w:rsidRPr="00A179AE">
              <w:rPr>
                <w:b/>
              </w:rPr>
              <w:t>Vplyvy na životné prostredie</w:t>
            </w:r>
          </w:p>
        </w:tc>
        <w:sdt>
          <w:sdtPr>
            <w:id w:val="30475515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AFD98B7" w14:textId="77777777" w:rsidR="003501A1" w:rsidRPr="0068316C" w:rsidRDefault="00926D39" w:rsidP="007B71A4">
                <w:pPr>
                  <w:jc w:val="center"/>
                </w:pPr>
                <w:r w:rsidRPr="0068316C">
                  <w:rPr>
                    <w:rFonts w:ascii="Segoe UI Symbol" w:eastAsia="MS Gothic" w:hAnsi="Segoe UI Symbol" w:cs="Segoe UI Symbol"/>
                  </w:rPr>
                  <w:t>☒</w:t>
                </w:r>
              </w:p>
            </w:tc>
          </w:sdtContent>
        </w:sdt>
        <w:tc>
          <w:tcPr>
            <w:tcW w:w="1281" w:type="dxa"/>
            <w:gridSpan w:val="2"/>
            <w:tcBorders>
              <w:top w:val="single" w:sz="4" w:space="0" w:color="auto"/>
              <w:left w:val="nil"/>
              <w:bottom w:val="single" w:sz="4" w:space="0" w:color="auto"/>
              <w:right w:val="nil"/>
            </w:tcBorders>
          </w:tcPr>
          <w:p w14:paraId="7DD87B9E" w14:textId="77777777" w:rsidR="003501A1" w:rsidRPr="0068316C" w:rsidRDefault="003501A1" w:rsidP="007B71A4">
            <w:pPr>
              <w:ind w:right="-108"/>
            </w:pPr>
            <w:r w:rsidRPr="0068316C">
              <w:t>Pozitívne</w:t>
            </w:r>
          </w:p>
        </w:tc>
        <w:sdt>
          <w:sdtPr>
            <w:id w:val="23513619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750B661D" w14:textId="77777777" w:rsidR="003501A1" w:rsidRPr="0068316C" w:rsidRDefault="003501A1" w:rsidP="007B71A4">
                <w:pPr>
                  <w:jc w:val="center"/>
                </w:pPr>
                <w:r w:rsidRPr="0068316C">
                  <w:rPr>
                    <w:rFonts w:ascii="Segoe UI Symbol" w:eastAsia="MS Mincho" w:hAnsi="Segoe UI Symbol" w:cs="Segoe UI Symbol"/>
                  </w:rPr>
                  <w:t>☐</w:t>
                </w:r>
              </w:p>
            </w:tc>
          </w:sdtContent>
        </w:sdt>
        <w:tc>
          <w:tcPr>
            <w:tcW w:w="1133" w:type="dxa"/>
            <w:tcBorders>
              <w:top w:val="single" w:sz="4" w:space="0" w:color="auto"/>
              <w:left w:val="nil"/>
              <w:bottom w:val="single" w:sz="4" w:space="0" w:color="auto"/>
              <w:right w:val="nil"/>
            </w:tcBorders>
          </w:tcPr>
          <w:p w14:paraId="51596158" w14:textId="77777777" w:rsidR="003501A1" w:rsidRPr="0068316C" w:rsidRDefault="003501A1" w:rsidP="007B71A4">
            <w:r w:rsidRPr="0068316C">
              <w:t>Žiadne</w:t>
            </w:r>
          </w:p>
        </w:tc>
        <w:sdt>
          <w:sdt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CF83BB7" w14:textId="77777777" w:rsidR="003501A1" w:rsidRPr="0068316C" w:rsidRDefault="003501A1" w:rsidP="007B71A4">
                <w:pPr>
                  <w:jc w:val="center"/>
                </w:pPr>
                <w:r w:rsidRPr="0068316C">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0A17D804" w14:textId="77777777" w:rsidR="003501A1" w:rsidRPr="0068316C" w:rsidRDefault="003501A1" w:rsidP="007B71A4">
            <w:pPr>
              <w:ind w:left="54"/>
            </w:pPr>
            <w:r w:rsidRPr="0068316C">
              <w:t>Negatívne</w:t>
            </w:r>
          </w:p>
        </w:tc>
      </w:tr>
      <w:tr w:rsidR="003501A1" w:rsidRPr="00A179AE" w14:paraId="47ED79A1" w14:textId="77777777"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14:paraId="16DCB761" w14:textId="77777777" w:rsidR="003501A1" w:rsidRPr="00A179AE" w:rsidRDefault="003501A1" w:rsidP="004C794A">
            <w:pPr>
              <w:rPr>
                <w:b/>
              </w:rPr>
            </w:pPr>
            <w:r w:rsidRPr="00A179AE">
              <w:rPr>
                <w:b/>
              </w:rPr>
              <w:t>Vplyvy na informatizáciu</w:t>
            </w:r>
          </w:p>
        </w:tc>
        <w:sdt>
          <w:sdt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C73B7DE" w14:textId="77777777" w:rsidR="003501A1" w:rsidRPr="0068316C" w:rsidRDefault="003501A1" w:rsidP="007B71A4">
                <w:pPr>
                  <w:jc w:val="center"/>
                </w:pPr>
                <w:r w:rsidRPr="0068316C">
                  <w:rPr>
                    <w:rFonts w:ascii="Segoe UI Symbol" w:eastAsia="MS Mincho" w:hAnsi="Segoe UI Symbol" w:cs="Segoe UI Symbol"/>
                  </w:rPr>
                  <w:t>☐</w:t>
                </w:r>
              </w:p>
            </w:tc>
          </w:sdtContent>
        </w:sdt>
        <w:tc>
          <w:tcPr>
            <w:tcW w:w="1281" w:type="dxa"/>
            <w:gridSpan w:val="2"/>
            <w:tcBorders>
              <w:top w:val="single" w:sz="4" w:space="0" w:color="auto"/>
              <w:left w:val="nil"/>
              <w:bottom w:val="single" w:sz="4" w:space="0" w:color="auto"/>
              <w:right w:val="nil"/>
            </w:tcBorders>
          </w:tcPr>
          <w:p w14:paraId="6E6178E4" w14:textId="77777777" w:rsidR="003501A1" w:rsidRPr="0068316C" w:rsidRDefault="003501A1" w:rsidP="007B71A4">
            <w:pPr>
              <w:ind w:right="-108"/>
            </w:pPr>
            <w:r w:rsidRPr="0068316C">
              <w:t>Pozitívne</w:t>
            </w:r>
          </w:p>
        </w:tc>
        <w:sdt>
          <w:sdt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2C67BA57" w14:textId="77777777" w:rsidR="003501A1" w:rsidRPr="0068316C" w:rsidRDefault="00926D39" w:rsidP="007B71A4">
                <w:pPr>
                  <w:jc w:val="center"/>
                </w:pPr>
                <w:r w:rsidRPr="0068316C">
                  <w:rPr>
                    <w:rFonts w:ascii="Segoe UI Symbol" w:eastAsia="MS Gothic" w:hAnsi="Segoe UI Symbol" w:cs="Segoe UI Symbol"/>
                  </w:rPr>
                  <w:t>☒</w:t>
                </w:r>
              </w:p>
            </w:tc>
          </w:sdtContent>
        </w:sdt>
        <w:tc>
          <w:tcPr>
            <w:tcW w:w="1133" w:type="dxa"/>
            <w:tcBorders>
              <w:top w:val="single" w:sz="4" w:space="0" w:color="auto"/>
              <w:left w:val="nil"/>
              <w:bottom w:val="single" w:sz="4" w:space="0" w:color="auto"/>
              <w:right w:val="nil"/>
            </w:tcBorders>
          </w:tcPr>
          <w:p w14:paraId="22646AA8" w14:textId="77777777" w:rsidR="003501A1" w:rsidRPr="0068316C" w:rsidRDefault="003501A1" w:rsidP="007B71A4">
            <w:r w:rsidRPr="0068316C">
              <w:t>Žiadne</w:t>
            </w:r>
          </w:p>
        </w:tc>
        <w:sdt>
          <w:sdt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15C7AB7" w14:textId="77777777" w:rsidR="003501A1" w:rsidRPr="0068316C" w:rsidRDefault="003501A1" w:rsidP="007B71A4">
                <w:pPr>
                  <w:jc w:val="center"/>
                </w:pPr>
                <w:r w:rsidRPr="0068316C">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53DC5D20" w14:textId="77777777" w:rsidR="003501A1" w:rsidRPr="0068316C" w:rsidRDefault="003501A1" w:rsidP="007B71A4">
            <w:pPr>
              <w:ind w:left="54"/>
            </w:pPr>
            <w:r w:rsidRPr="0068316C">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14:paraId="22C70149" w14:textId="77777777" w:rsidTr="00B83402">
        <w:tc>
          <w:tcPr>
            <w:tcW w:w="3812" w:type="dxa"/>
            <w:tcBorders>
              <w:top w:val="single" w:sz="4" w:space="0" w:color="auto"/>
              <w:left w:val="single" w:sz="4" w:space="0" w:color="auto"/>
              <w:bottom w:val="nil"/>
              <w:right w:val="single" w:sz="4" w:space="0" w:color="auto"/>
            </w:tcBorders>
            <w:shd w:val="clear" w:color="auto" w:fill="E2E2E2"/>
          </w:tcPr>
          <w:p w14:paraId="7C5FF518" w14:textId="77777777"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14:paraId="084A913C" w14:textId="77777777"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14:paraId="2FB2537C" w14:textId="77777777" w:rsidR="0045465B" w:rsidRPr="0068316C" w:rsidRDefault="0045465B" w:rsidP="00B83402">
            <w:pPr>
              <w:ind w:right="-108"/>
              <w:rPr>
                <w:bCs/>
              </w:rPr>
            </w:pPr>
          </w:p>
        </w:tc>
        <w:tc>
          <w:tcPr>
            <w:tcW w:w="569" w:type="dxa"/>
            <w:tcBorders>
              <w:top w:val="single" w:sz="4" w:space="0" w:color="auto"/>
              <w:left w:val="nil"/>
              <w:bottom w:val="nil"/>
              <w:right w:val="nil"/>
            </w:tcBorders>
            <w:shd w:val="clear" w:color="auto" w:fill="auto"/>
          </w:tcPr>
          <w:p w14:paraId="673987B9" w14:textId="77777777" w:rsidR="0045465B" w:rsidRPr="0068316C" w:rsidRDefault="0045465B" w:rsidP="00B83402">
            <w:pPr>
              <w:jc w:val="center"/>
              <w:rPr>
                <w:rFonts w:eastAsia="MS Mincho"/>
                <w:bCs/>
              </w:rPr>
            </w:pPr>
          </w:p>
        </w:tc>
        <w:tc>
          <w:tcPr>
            <w:tcW w:w="1133" w:type="dxa"/>
            <w:tcBorders>
              <w:top w:val="single" w:sz="4" w:space="0" w:color="auto"/>
              <w:left w:val="nil"/>
              <w:bottom w:val="nil"/>
              <w:right w:val="nil"/>
            </w:tcBorders>
            <w:shd w:val="clear" w:color="auto" w:fill="auto"/>
          </w:tcPr>
          <w:p w14:paraId="2518AF95" w14:textId="77777777" w:rsidR="0045465B" w:rsidRPr="0068316C" w:rsidRDefault="0045465B" w:rsidP="00B83402">
            <w:pPr>
              <w:rPr>
                <w:bCs/>
              </w:rPr>
            </w:pPr>
          </w:p>
        </w:tc>
        <w:tc>
          <w:tcPr>
            <w:tcW w:w="547" w:type="dxa"/>
            <w:tcBorders>
              <w:top w:val="single" w:sz="4" w:space="0" w:color="auto"/>
              <w:left w:val="nil"/>
              <w:bottom w:val="nil"/>
              <w:right w:val="nil"/>
            </w:tcBorders>
            <w:shd w:val="clear" w:color="auto" w:fill="auto"/>
          </w:tcPr>
          <w:p w14:paraId="3F14A5C5" w14:textId="77777777" w:rsidR="0045465B" w:rsidRPr="0068316C" w:rsidRDefault="0045465B" w:rsidP="00B83402">
            <w:pPr>
              <w:jc w:val="center"/>
              <w:rPr>
                <w:rFonts w:eastAsia="MS Mincho"/>
                <w:bCs/>
              </w:rPr>
            </w:pPr>
          </w:p>
        </w:tc>
        <w:tc>
          <w:tcPr>
            <w:tcW w:w="1297" w:type="dxa"/>
            <w:tcBorders>
              <w:top w:val="single" w:sz="4" w:space="0" w:color="auto"/>
              <w:left w:val="nil"/>
              <w:bottom w:val="nil"/>
              <w:right w:val="single" w:sz="4" w:space="0" w:color="auto"/>
            </w:tcBorders>
            <w:shd w:val="clear" w:color="auto" w:fill="auto"/>
          </w:tcPr>
          <w:p w14:paraId="16284AB7" w14:textId="77777777" w:rsidR="0045465B" w:rsidRPr="0068316C" w:rsidRDefault="0045465B" w:rsidP="00B83402">
            <w:pPr>
              <w:ind w:left="54"/>
              <w:rPr>
                <w:bCs/>
              </w:rPr>
            </w:pPr>
          </w:p>
        </w:tc>
      </w:tr>
      <w:tr w:rsidR="0045465B" w:rsidRPr="009634B3" w14:paraId="3EAFCAE6" w14:textId="77777777" w:rsidTr="00B83402">
        <w:tc>
          <w:tcPr>
            <w:tcW w:w="3812" w:type="dxa"/>
            <w:tcBorders>
              <w:top w:val="nil"/>
              <w:left w:val="single" w:sz="4" w:space="0" w:color="auto"/>
              <w:bottom w:val="nil"/>
              <w:right w:val="single" w:sz="4" w:space="0" w:color="auto"/>
            </w:tcBorders>
            <w:shd w:val="clear" w:color="auto" w:fill="E2E2E2"/>
          </w:tcPr>
          <w:p w14:paraId="478906D7" w14:textId="77777777" w:rsidR="0045465B" w:rsidRPr="009634B3" w:rsidRDefault="0045465B"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rFonts w:ascii="MS Mincho" w:eastAsia="MS Mincho" w:hAnsi="MS Mincho" w:cs="MS Mincho" w:hint="eastAsia"/>
              <w:bCs/>
              <w:lang w:eastAsia="en-US"/>
            </w:rPr>
            <w:id w:val="532237804"/>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6ED83E38" w14:textId="77777777" w:rsidR="0045465B" w:rsidRPr="0068316C" w:rsidRDefault="00631E3A" w:rsidP="00B83402">
                <w:pPr>
                  <w:jc w:val="center"/>
                  <w:rPr>
                    <w:rFonts w:ascii="MS Mincho" w:eastAsia="MS Mincho" w:hAnsi="MS Mincho" w:cs="MS Mincho"/>
                    <w:bCs/>
                    <w:lang w:eastAsia="en-US"/>
                  </w:rPr>
                </w:pPr>
                <w:r w:rsidRPr="0068316C">
                  <w:rPr>
                    <w:rFonts w:ascii="MS Gothic" w:eastAsia="MS Gothic" w:hAnsi="MS Gothic" w:cs="MS Mincho" w:hint="eastAsia"/>
                    <w:bCs/>
                    <w:lang w:eastAsia="en-US"/>
                  </w:rPr>
                  <w:t>☐</w:t>
                </w:r>
              </w:p>
            </w:tc>
          </w:sdtContent>
        </w:sdt>
        <w:tc>
          <w:tcPr>
            <w:tcW w:w="1281" w:type="dxa"/>
            <w:tcBorders>
              <w:top w:val="nil"/>
              <w:left w:val="nil"/>
              <w:bottom w:val="nil"/>
              <w:right w:val="nil"/>
            </w:tcBorders>
            <w:shd w:val="clear" w:color="auto" w:fill="auto"/>
          </w:tcPr>
          <w:p w14:paraId="78D7DB8F" w14:textId="77777777" w:rsidR="0045465B" w:rsidRPr="0068316C" w:rsidRDefault="0045465B" w:rsidP="00B83402">
            <w:pPr>
              <w:ind w:right="-108"/>
              <w:rPr>
                <w:rFonts w:eastAsia="Calibri"/>
                <w:bCs/>
                <w:lang w:eastAsia="en-US"/>
              </w:rPr>
            </w:pPr>
            <w:r w:rsidRPr="0068316C">
              <w:rPr>
                <w:rFonts w:eastAsia="Calibri"/>
                <w:bCs/>
                <w:lang w:eastAsia="en-US"/>
              </w:rPr>
              <w:t>Pozitívne</w:t>
            </w:r>
          </w:p>
        </w:tc>
        <w:sdt>
          <w:sdtPr>
            <w:rPr>
              <w:rFonts w:ascii="MS Mincho" w:eastAsia="MS Mincho" w:hAnsi="MS Mincho" w:cs="MS Mincho" w:hint="eastAsia"/>
              <w:bCs/>
              <w:lang w:eastAsia="en-US"/>
            </w:rPr>
            <w:id w:val="-35981683"/>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14:paraId="0C0EE87A" w14:textId="77777777" w:rsidR="0045465B" w:rsidRPr="0068316C" w:rsidRDefault="007F0F79" w:rsidP="00B83402">
                <w:pPr>
                  <w:jc w:val="center"/>
                  <w:rPr>
                    <w:rFonts w:ascii="MS Mincho" w:eastAsia="MS Mincho" w:hAnsi="MS Mincho" w:cs="MS Mincho"/>
                    <w:bCs/>
                    <w:lang w:eastAsia="en-US"/>
                  </w:rPr>
                </w:pPr>
                <w:r w:rsidRPr="0068316C">
                  <w:rPr>
                    <w:rFonts w:ascii="MS Gothic" w:eastAsia="MS Gothic" w:hAnsi="MS Gothic" w:cs="MS Mincho" w:hint="eastAsia"/>
                    <w:bCs/>
                    <w:lang w:eastAsia="en-US"/>
                  </w:rPr>
                  <w:t>☒</w:t>
                </w:r>
              </w:p>
            </w:tc>
          </w:sdtContent>
        </w:sdt>
        <w:tc>
          <w:tcPr>
            <w:tcW w:w="1133" w:type="dxa"/>
            <w:tcBorders>
              <w:top w:val="nil"/>
              <w:left w:val="nil"/>
              <w:bottom w:val="nil"/>
              <w:right w:val="nil"/>
            </w:tcBorders>
            <w:shd w:val="clear" w:color="auto" w:fill="auto"/>
          </w:tcPr>
          <w:p w14:paraId="32F9369C" w14:textId="77777777" w:rsidR="0045465B" w:rsidRPr="0068316C" w:rsidRDefault="0045465B" w:rsidP="00B83402">
            <w:pPr>
              <w:rPr>
                <w:rFonts w:eastAsia="Calibri"/>
                <w:bCs/>
                <w:lang w:eastAsia="en-US"/>
              </w:rPr>
            </w:pPr>
            <w:r w:rsidRPr="0068316C">
              <w:rPr>
                <w:rFonts w:eastAsia="Calibri"/>
                <w:bCs/>
                <w:lang w:eastAsia="en-US"/>
              </w:rPr>
              <w:t>Žiadne</w:t>
            </w:r>
          </w:p>
        </w:tc>
        <w:tc>
          <w:tcPr>
            <w:tcW w:w="547" w:type="dxa"/>
            <w:tcBorders>
              <w:top w:val="nil"/>
              <w:left w:val="nil"/>
              <w:bottom w:val="nil"/>
              <w:right w:val="nil"/>
            </w:tcBorders>
            <w:shd w:val="clear" w:color="auto" w:fill="auto"/>
          </w:tcPr>
          <w:p w14:paraId="1DB0D18C" w14:textId="77777777" w:rsidR="0045465B" w:rsidRPr="0068316C" w:rsidRDefault="0045465B" w:rsidP="00B83402">
            <w:pPr>
              <w:jc w:val="center"/>
              <w:rPr>
                <w:rFonts w:ascii="MS Mincho" w:eastAsia="MS Mincho" w:hAnsi="MS Mincho" w:cs="MS Mincho"/>
                <w:bCs/>
                <w:lang w:eastAsia="en-US"/>
              </w:rPr>
            </w:pPr>
            <w:r w:rsidRPr="0068316C">
              <w:rPr>
                <w:rFonts w:ascii="MS Mincho" w:eastAsia="MS Mincho" w:hAnsi="MS Mincho" w:cs="MS Mincho" w:hint="eastAsia"/>
                <w:bCs/>
                <w:lang w:eastAsia="en-US"/>
              </w:rPr>
              <w:t>☐</w:t>
            </w:r>
          </w:p>
        </w:tc>
        <w:tc>
          <w:tcPr>
            <w:tcW w:w="1297" w:type="dxa"/>
            <w:tcBorders>
              <w:top w:val="nil"/>
              <w:left w:val="nil"/>
              <w:bottom w:val="nil"/>
              <w:right w:val="single" w:sz="4" w:space="0" w:color="auto"/>
            </w:tcBorders>
            <w:shd w:val="clear" w:color="auto" w:fill="auto"/>
          </w:tcPr>
          <w:p w14:paraId="2363974B" w14:textId="77777777" w:rsidR="0045465B" w:rsidRPr="0068316C" w:rsidRDefault="0045465B" w:rsidP="00562B10">
            <w:pPr>
              <w:ind w:left="54"/>
              <w:rPr>
                <w:rFonts w:eastAsia="Calibri"/>
                <w:bCs/>
                <w:lang w:eastAsia="en-US"/>
              </w:rPr>
            </w:pPr>
            <w:r w:rsidRPr="0068316C">
              <w:rPr>
                <w:rFonts w:eastAsia="Calibri"/>
                <w:bCs/>
                <w:lang w:eastAsia="en-US"/>
              </w:rPr>
              <w:t>Negatívne</w:t>
            </w:r>
          </w:p>
        </w:tc>
      </w:tr>
      <w:tr w:rsidR="0045465B" w:rsidRPr="009634B3" w14:paraId="5BE40BB3" w14:textId="77777777" w:rsidTr="00631E3A">
        <w:tc>
          <w:tcPr>
            <w:tcW w:w="3812" w:type="dxa"/>
            <w:tcBorders>
              <w:top w:val="nil"/>
              <w:left w:val="single" w:sz="4" w:space="0" w:color="auto"/>
              <w:bottom w:val="single" w:sz="4" w:space="0" w:color="auto"/>
              <w:right w:val="single" w:sz="4" w:space="0" w:color="auto"/>
            </w:tcBorders>
            <w:shd w:val="clear" w:color="auto" w:fill="E2E2E2"/>
          </w:tcPr>
          <w:p w14:paraId="7907AB4C" w14:textId="77777777" w:rsidR="0045465B" w:rsidRPr="009634B3" w:rsidRDefault="0045465B"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tc>
          <w:tcPr>
            <w:tcW w:w="541" w:type="dxa"/>
            <w:tcBorders>
              <w:top w:val="nil"/>
              <w:left w:val="single" w:sz="4" w:space="0" w:color="auto"/>
              <w:bottom w:val="single" w:sz="4" w:space="0" w:color="auto"/>
              <w:right w:val="nil"/>
            </w:tcBorders>
            <w:shd w:val="clear" w:color="auto" w:fill="auto"/>
          </w:tcPr>
          <w:sdt>
            <w:sdtPr>
              <w:rPr>
                <w:rFonts w:ascii="MS Mincho" w:eastAsia="MS Mincho" w:hAnsi="MS Mincho" w:cs="MS Mincho" w:hint="eastAsia"/>
                <w:bCs/>
                <w:lang w:eastAsia="en-US"/>
              </w:rPr>
              <w:id w:val="528143281"/>
              <w14:checkbox>
                <w14:checked w14:val="0"/>
                <w14:checkedState w14:val="2612" w14:font="MS Gothic"/>
                <w14:uncheckedState w14:val="2610" w14:font="MS Gothic"/>
              </w14:checkbox>
            </w:sdtPr>
            <w:sdtEndPr/>
            <w:sdtContent>
              <w:p w14:paraId="36438955" w14:textId="77777777" w:rsidR="0045465B" w:rsidRPr="0068316C" w:rsidRDefault="00631E3A" w:rsidP="00B83402">
                <w:pPr>
                  <w:jc w:val="center"/>
                  <w:rPr>
                    <w:rFonts w:eastAsia="MS Mincho"/>
                    <w:bCs/>
                    <w:lang w:eastAsia="en-US"/>
                  </w:rPr>
                </w:pPr>
                <w:r w:rsidRPr="0068316C">
                  <w:rPr>
                    <w:rFonts w:ascii="MS Gothic" w:eastAsia="MS Gothic" w:hAnsi="MS Gothic" w:cs="MS Mincho" w:hint="eastAsia"/>
                    <w:bCs/>
                    <w:lang w:eastAsia="en-US"/>
                  </w:rPr>
                  <w:t>☐</w:t>
                </w:r>
              </w:p>
            </w:sdtContent>
          </w:sdt>
        </w:tc>
        <w:tc>
          <w:tcPr>
            <w:tcW w:w="1281" w:type="dxa"/>
            <w:tcBorders>
              <w:top w:val="nil"/>
              <w:left w:val="nil"/>
              <w:bottom w:val="single" w:sz="4" w:space="0" w:color="auto"/>
              <w:right w:val="nil"/>
            </w:tcBorders>
            <w:shd w:val="clear" w:color="auto" w:fill="auto"/>
          </w:tcPr>
          <w:p w14:paraId="57F84C22" w14:textId="77777777" w:rsidR="0045465B" w:rsidRPr="0068316C" w:rsidRDefault="0045465B" w:rsidP="00B83402">
            <w:pPr>
              <w:ind w:right="-108"/>
              <w:rPr>
                <w:rFonts w:eastAsia="Calibri"/>
                <w:bCs/>
                <w:lang w:eastAsia="en-US"/>
              </w:rPr>
            </w:pPr>
            <w:r w:rsidRPr="0068316C">
              <w:rPr>
                <w:rFonts w:eastAsia="Calibri"/>
                <w:bCs/>
                <w:lang w:eastAsia="en-US"/>
              </w:rPr>
              <w:t>Pozitívne</w:t>
            </w:r>
          </w:p>
        </w:tc>
        <w:sdt>
          <w:sdtPr>
            <w:rPr>
              <w:rFonts w:ascii="MS Mincho" w:eastAsia="MS Mincho" w:hAnsi="MS Mincho" w:cs="MS Mincho" w:hint="eastAsia"/>
              <w:bCs/>
              <w:lang w:eastAsia="en-US"/>
            </w:rPr>
            <w:id w:val="-2663448"/>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14:paraId="6B8D8E6A" w14:textId="77777777" w:rsidR="0045465B" w:rsidRPr="0068316C" w:rsidRDefault="007F0F79" w:rsidP="00B83402">
                <w:pPr>
                  <w:jc w:val="center"/>
                  <w:rPr>
                    <w:rFonts w:eastAsia="MS Mincho"/>
                    <w:bCs/>
                    <w:lang w:eastAsia="en-US"/>
                  </w:rPr>
                </w:pPr>
                <w:r w:rsidRPr="0068316C">
                  <w:rPr>
                    <w:rFonts w:ascii="MS Gothic" w:eastAsia="MS Gothic" w:hAnsi="MS Gothic" w:cs="MS Mincho" w:hint="eastAsia"/>
                    <w:bCs/>
                    <w:lang w:eastAsia="en-US"/>
                  </w:rPr>
                  <w:t>☒</w:t>
                </w:r>
              </w:p>
            </w:tc>
          </w:sdtContent>
        </w:sdt>
        <w:tc>
          <w:tcPr>
            <w:tcW w:w="1133" w:type="dxa"/>
            <w:tcBorders>
              <w:top w:val="nil"/>
              <w:left w:val="nil"/>
              <w:bottom w:val="single" w:sz="4" w:space="0" w:color="auto"/>
              <w:right w:val="nil"/>
            </w:tcBorders>
            <w:shd w:val="clear" w:color="auto" w:fill="auto"/>
          </w:tcPr>
          <w:p w14:paraId="309D5F16" w14:textId="77777777" w:rsidR="0045465B" w:rsidRPr="0068316C" w:rsidRDefault="0045465B" w:rsidP="00B83402">
            <w:pPr>
              <w:rPr>
                <w:rFonts w:eastAsia="Calibri"/>
                <w:bCs/>
                <w:lang w:eastAsia="en-US"/>
              </w:rPr>
            </w:pPr>
            <w:r w:rsidRPr="0068316C">
              <w:rPr>
                <w:rFonts w:eastAsia="Calibri"/>
                <w:bCs/>
                <w:lang w:eastAsia="en-US"/>
              </w:rPr>
              <w:t>Žiadne</w:t>
            </w:r>
          </w:p>
        </w:tc>
        <w:tc>
          <w:tcPr>
            <w:tcW w:w="547" w:type="dxa"/>
            <w:tcBorders>
              <w:top w:val="nil"/>
              <w:left w:val="nil"/>
              <w:bottom w:val="single" w:sz="4" w:space="0" w:color="auto"/>
              <w:right w:val="nil"/>
            </w:tcBorders>
            <w:shd w:val="clear" w:color="auto" w:fill="auto"/>
          </w:tcPr>
          <w:p w14:paraId="20559C18" w14:textId="77777777" w:rsidR="0045465B" w:rsidRPr="0068316C" w:rsidRDefault="0045465B" w:rsidP="00B83402">
            <w:pPr>
              <w:jc w:val="center"/>
              <w:rPr>
                <w:rFonts w:eastAsia="MS Mincho"/>
                <w:bCs/>
                <w:lang w:eastAsia="en-US"/>
              </w:rPr>
            </w:pPr>
            <w:r w:rsidRPr="0068316C">
              <w:rPr>
                <w:rFonts w:ascii="MS Mincho" w:eastAsia="MS Mincho" w:hAnsi="MS Mincho" w:cs="MS Mincho" w:hint="eastAsia"/>
                <w:bCs/>
                <w:lang w:eastAsia="en-US"/>
              </w:rPr>
              <w:t>☐</w:t>
            </w:r>
          </w:p>
        </w:tc>
        <w:tc>
          <w:tcPr>
            <w:tcW w:w="1297" w:type="dxa"/>
            <w:tcBorders>
              <w:top w:val="nil"/>
              <w:left w:val="nil"/>
              <w:bottom w:val="single" w:sz="4" w:space="0" w:color="auto"/>
              <w:right w:val="single" w:sz="4" w:space="0" w:color="auto"/>
            </w:tcBorders>
            <w:shd w:val="clear" w:color="auto" w:fill="auto"/>
          </w:tcPr>
          <w:p w14:paraId="0F521B0A" w14:textId="77777777" w:rsidR="0045465B" w:rsidRPr="0068316C" w:rsidRDefault="0045465B" w:rsidP="00562B10">
            <w:pPr>
              <w:ind w:left="54"/>
              <w:rPr>
                <w:rFonts w:eastAsia="Calibri"/>
                <w:bCs/>
                <w:lang w:eastAsia="en-US"/>
              </w:rPr>
            </w:pPr>
            <w:r w:rsidRPr="0068316C">
              <w:rPr>
                <w:rFonts w:eastAsia="Calibri"/>
                <w:bCs/>
                <w:lang w:eastAsia="en-US"/>
              </w:rPr>
              <w:t>Negatívne</w:t>
            </w:r>
          </w:p>
        </w:tc>
      </w:tr>
      <w:tr w:rsidR="00631E3A" w:rsidRPr="009634B3" w14:paraId="6BB2EE5B" w14:textId="77777777" w:rsidTr="00631E3A">
        <w:tc>
          <w:tcPr>
            <w:tcW w:w="3812" w:type="dxa"/>
            <w:tcBorders>
              <w:top w:val="single" w:sz="4" w:space="0" w:color="auto"/>
              <w:left w:val="single" w:sz="4" w:space="0" w:color="auto"/>
              <w:bottom w:val="single" w:sz="4" w:space="0" w:color="auto"/>
              <w:right w:val="single" w:sz="4" w:space="0" w:color="auto"/>
            </w:tcBorders>
            <w:shd w:val="clear" w:color="auto" w:fill="E2E2E2"/>
          </w:tcPr>
          <w:p w14:paraId="56A1AD4A" w14:textId="77777777" w:rsidR="00631E3A" w:rsidRDefault="00631E3A" w:rsidP="00631E3A">
            <w:pPr>
              <w:ind w:left="168" w:hanging="168"/>
              <w:rPr>
                <w:rFonts w:eastAsia="Calibri"/>
                <w:b/>
                <w:lang w:eastAsia="en-US"/>
              </w:rPr>
            </w:pPr>
            <w:r>
              <w:rPr>
                <w:rFonts w:ascii="Times" w:hAnsi="Times" w:cs="Times"/>
                <w:b/>
                <w:bCs/>
              </w:rPr>
              <w:t>Vplyvy na manželstvo, rodičovstvo a rodinu</w:t>
            </w:r>
          </w:p>
        </w:tc>
        <w:tc>
          <w:tcPr>
            <w:tcW w:w="541" w:type="dxa"/>
            <w:tcBorders>
              <w:top w:val="single" w:sz="4" w:space="0" w:color="auto"/>
              <w:left w:val="single" w:sz="4" w:space="0" w:color="auto"/>
              <w:bottom w:val="single" w:sz="4" w:space="0" w:color="auto"/>
              <w:right w:val="nil"/>
            </w:tcBorders>
            <w:shd w:val="clear" w:color="auto" w:fill="auto"/>
          </w:tcPr>
          <w:sdt>
            <w:sdtPr>
              <w:rPr>
                <w:rFonts w:ascii="MS Mincho" w:eastAsia="MS Mincho" w:hAnsi="MS Mincho" w:cs="MS Mincho" w:hint="eastAsia"/>
                <w:bCs/>
                <w:lang w:eastAsia="en-US"/>
              </w:rPr>
              <w:id w:val="1283691870"/>
              <w14:checkbox>
                <w14:checked w14:val="0"/>
                <w14:checkedState w14:val="2612" w14:font="MS Gothic"/>
                <w14:uncheckedState w14:val="2610" w14:font="MS Gothic"/>
              </w14:checkbox>
            </w:sdtPr>
            <w:sdtEndPr/>
            <w:sdtContent>
              <w:p w14:paraId="1381D2DE" w14:textId="77777777" w:rsidR="00631E3A" w:rsidRPr="0068316C" w:rsidRDefault="00631E3A" w:rsidP="00631E3A">
                <w:pPr>
                  <w:jc w:val="center"/>
                  <w:rPr>
                    <w:rFonts w:eastAsia="MS Mincho"/>
                    <w:bCs/>
                    <w:lang w:eastAsia="en-US"/>
                  </w:rPr>
                </w:pPr>
                <w:r w:rsidRPr="0068316C">
                  <w:rPr>
                    <w:rFonts w:ascii="MS Gothic" w:eastAsia="MS Gothic" w:hAnsi="MS Gothic" w:cs="MS Mincho" w:hint="eastAsia"/>
                    <w:bCs/>
                    <w:lang w:eastAsia="en-US"/>
                  </w:rPr>
                  <w:t>☐</w:t>
                </w:r>
              </w:p>
            </w:sdtContent>
          </w:sdt>
        </w:tc>
        <w:tc>
          <w:tcPr>
            <w:tcW w:w="1281" w:type="dxa"/>
            <w:tcBorders>
              <w:top w:val="single" w:sz="4" w:space="0" w:color="auto"/>
              <w:left w:val="nil"/>
              <w:bottom w:val="single" w:sz="4" w:space="0" w:color="auto"/>
              <w:right w:val="nil"/>
            </w:tcBorders>
            <w:shd w:val="clear" w:color="auto" w:fill="auto"/>
          </w:tcPr>
          <w:p w14:paraId="76834019" w14:textId="77777777" w:rsidR="00631E3A" w:rsidRPr="0068316C" w:rsidRDefault="00631E3A" w:rsidP="00631E3A">
            <w:pPr>
              <w:ind w:right="-108"/>
              <w:rPr>
                <w:rFonts w:eastAsia="Calibri"/>
                <w:bCs/>
                <w:lang w:eastAsia="en-US"/>
              </w:rPr>
            </w:pPr>
            <w:r w:rsidRPr="0068316C">
              <w:rPr>
                <w:rFonts w:eastAsia="Calibri"/>
                <w:bCs/>
                <w:lang w:eastAsia="en-US"/>
              </w:rPr>
              <w:t>Pozitívne</w:t>
            </w:r>
          </w:p>
        </w:tc>
        <w:tc>
          <w:tcPr>
            <w:tcW w:w="569" w:type="dxa"/>
            <w:tcBorders>
              <w:top w:val="single" w:sz="4" w:space="0" w:color="auto"/>
              <w:left w:val="nil"/>
              <w:bottom w:val="single" w:sz="4" w:space="0" w:color="auto"/>
              <w:right w:val="nil"/>
            </w:tcBorders>
            <w:shd w:val="clear" w:color="auto" w:fill="auto"/>
          </w:tcPr>
          <w:sdt>
            <w:sdtPr>
              <w:rPr>
                <w:rFonts w:ascii="MS Mincho" w:eastAsia="MS Mincho" w:hAnsi="MS Mincho" w:cs="MS Mincho" w:hint="eastAsia"/>
                <w:bCs/>
                <w:lang w:eastAsia="en-US"/>
              </w:rPr>
              <w:id w:val="-728455072"/>
              <w14:checkbox>
                <w14:checked w14:val="1"/>
                <w14:checkedState w14:val="2612" w14:font="MS Gothic"/>
                <w14:uncheckedState w14:val="2610" w14:font="MS Gothic"/>
              </w14:checkbox>
            </w:sdtPr>
            <w:sdtEndPr/>
            <w:sdtContent>
              <w:p w14:paraId="243EFACA" w14:textId="77777777" w:rsidR="00631E3A" w:rsidRPr="0068316C" w:rsidRDefault="00631E3A" w:rsidP="00631E3A">
                <w:pPr>
                  <w:jc w:val="center"/>
                  <w:rPr>
                    <w:rFonts w:eastAsia="MS Mincho"/>
                    <w:bCs/>
                    <w:lang w:eastAsia="en-US"/>
                  </w:rPr>
                </w:pPr>
                <w:r w:rsidRPr="0068316C">
                  <w:rPr>
                    <w:rFonts w:ascii="MS Gothic" w:eastAsia="MS Gothic" w:hAnsi="MS Gothic" w:cs="MS Mincho" w:hint="eastAsia"/>
                    <w:bCs/>
                    <w:lang w:eastAsia="en-US"/>
                  </w:rPr>
                  <w:t>☒</w:t>
                </w:r>
              </w:p>
            </w:sdtContent>
          </w:sdt>
        </w:tc>
        <w:tc>
          <w:tcPr>
            <w:tcW w:w="1133" w:type="dxa"/>
            <w:tcBorders>
              <w:top w:val="single" w:sz="4" w:space="0" w:color="auto"/>
              <w:left w:val="nil"/>
              <w:bottom w:val="single" w:sz="4" w:space="0" w:color="auto"/>
              <w:right w:val="nil"/>
            </w:tcBorders>
            <w:shd w:val="clear" w:color="auto" w:fill="auto"/>
          </w:tcPr>
          <w:p w14:paraId="1F27ED07" w14:textId="77777777" w:rsidR="00631E3A" w:rsidRPr="0068316C" w:rsidRDefault="00631E3A" w:rsidP="00631E3A">
            <w:pPr>
              <w:rPr>
                <w:rFonts w:eastAsia="Calibri"/>
                <w:bCs/>
                <w:lang w:eastAsia="en-US"/>
              </w:rPr>
            </w:pPr>
            <w:r w:rsidRPr="0068316C">
              <w:rPr>
                <w:rFonts w:eastAsia="Calibri"/>
                <w:bCs/>
                <w:lang w:eastAsia="en-US"/>
              </w:rPr>
              <w:t>Žiadne</w:t>
            </w:r>
          </w:p>
        </w:tc>
        <w:tc>
          <w:tcPr>
            <w:tcW w:w="547" w:type="dxa"/>
            <w:tcBorders>
              <w:top w:val="single" w:sz="4" w:space="0" w:color="auto"/>
              <w:left w:val="nil"/>
              <w:bottom w:val="single" w:sz="4" w:space="0" w:color="auto"/>
              <w:right w:val="nil"/>
            </w:tcBorders>
            <w:shd w:val="clear" w:color="auto" w:fill="auto"/>
          </w:tcPr>
          <w:sdt>
            <w:sdtPr>
              <w:rPr>
                <w:rFonts w:ascii="MS Mincho" w:eastAsia="MS Mincho" w:hAnsi="MS Mincho" w:cs="MS Mincho" w:hint="eastAsia"/>
                <w:bCs/>
                <w:lang w:eastAsia="en-US"/>
              </w:rPr>
              <w:id w:val="1012269764"/>
              <w14:checkbox>
                <w14:checked w14:val="0"/>
                <w14:checkedState w14:val="2612" w14:font="MS Gothic"/>
                <w14:uncheckedState w14:val="2610" w14:font="MS Gothic"/>
              </w14:checkbox>
            </w:sdtPr>
            <w:sdtEndPr/>
            <w:sdtContent>
              <w:p w14:paraId="59BCF09F" w14:textId="77777777" w:rsidR="00631E3A" w:rsidRPr="0068316C" w:rsidRDefault="00631E3A" w:rsidP="00631E3A">
                <w:pPr>
                  <w:jc w:val="center"/>
                  <w:rPr>
                    <w:rFonts w:eastAsia="MS Mincho"/>
                    <w:bCs/>
                    <w:lang w:eastAsia="en-US"/>
                  </w:rPr>
                </w:pPr>
                <w:r w:rsidRPr="0068316C">
                  <w:rPr>
                    <w:rFonts w:ascii="MS Gothic" w:eastAsia="MS Gothic" w:hAnsi="MS Gothic" w:cs="MS Mincho" w:hint="eastAsia"/>
                    <w:bCs/>
                    <w:lang w:eastAsia="en-US"/>
                  </w:rPr>
                  <w:t>☐</w:t>
                </w:r>
              </w:p>
            </w:sdtContent>
          </w:sdt>
        </w:tc>
        <w:tc>
          <w:tcPr>
            <w:tcW w:w="1297" w:type="dxa"/>
            <w:tcBorders>
              <w:top w:val="single" w:sz="4" w:space="0" w:color="auto"/>
              <w:left w:val="nil"/>
              <w:bottom w:val="single" w:sz="4" w:space="0" w:color="auto"/>
              <w:right w:val="single" w:sz="4" w:space="0" w:color="auto"/>
            </w:tcBorders>
            <w:shd w:val="clear" w:color="auto" w:fill="auto"/>
          </w:tcPr>
          <w:p w14:paraId="4067DDC0" w14:textId="77777777" w:rsidR="00631E3A" w:rsidRPr="0068316C" w:rsidRDefault="00631E3A" w:rsidP="00631E3A">
            <w:pPr>
              <w:ind w:left="54"/>
              <w:rPr>
                <w:rFonts w:eastAsia="Calibri"/>
                <w:bCs/>
                <w:lang w:eastAsia="en-US"/>
              </w:rPr>
            </w:pPr>
            <w:r w:rsidRPr="0068316C">
              <w:rPr>
                <w:rFonts w:eastAsia="Calibri"/>
                <w:bCs/>
                <w:lang w:eastAsia="en-US"/>
              </w:rPr>
              <w:t>Negatívne</w:t>
            </w:r>
          </w:p>
        </w:tc>
      </w:tr>
    </w:tbl>
    <w:tbl>
      <w:tblPr>
        <w:tblStyle w:val="Mriekatabuky"/>
        <w:tblW w:w="9176" w:type="dxa"/>
        <w:tblLayout w:type="fixed"/>
        <w:tblLook w:val="04A0" w:firstRow="1" w:lastRow="0" w:firstColumn="1" w:lastColumn="0" w:noHBand="0" w:noVBand="1"/>
      </w:tblPr>
      <w:tblGrid>
        <w:gridCol w:w="9176"/>
      </w:tblGrid>
      <w:tr w:rsidR="004F6F1F" w:rsidRPr="00A179AE" w14:paraId="21DB8017" w14:textId="77777777" w:rsidTr="008D45F9">
        <w:tc>
          <w:tcPr>
            <w:tcW w:w="9176" w:type="dxa"/>
            <w:tcBorders>
              <w:top w:val="single" w:sz="4" w:space="0" w:color="auto"/>
              <w:left w:val="single" w:sz="4" w:space="0" w:color="auto"/>
              <w:bottom w:val="single" w:sz="4" w:space="0" w:color="auto"/>
              <w:right w:val="single" w:sz="4" w:space="0" w:color="auto"/>
            </w:tcBorders>
            <w:shd w:val="clear" w:color="auto" w:fill="E2E2E2"/>
          </w:tcPr>
          <w:p w14:paraId="4A6F1092" w14:textId="77777777"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14:paraId="54135DE7" w14:textId="77777777" w:rsidTr="008D45F9">
        <w:trPr>
          <w:trHeight w:val="704"/>
        </w:trPr>
        <w:tc>
          <w:tcPr>
            <w:tcW w:w="9176" w:type="dxa"/>
            <w:tcBorders>
              <w:top w:val="single" w:sz="4" w:space="0" w:color="auto"/>
              <w:left w:val="single" w:sz="4" w:space="0" w:color="auto"/>
              <w:bottom w:val="single" w:sz="4" w:space="0" w:color="auto"/>
              <w:right w:val="single" w:sz="4" w:space="0" w:color="auto"/>
            </w:tcBorders>
            <w:shd w:val="clear" w:color="auto" w:fill="auto"/>
          </w:tcPr>
          <w:p w14:paraId="7CCDBE08" w14:textId="7858C174" w:rsidR="00BC7674" w:rsidRPr="004D23CE" w:rsidRDefault="007F0F79" w:rsidP="00336FFD">
            <w:pPr>
              <w:spacing w:after="120"/>
              <w:jc w:val="both"/>
            </w:pPr>
            <w:r w:rsidRPr="004D23CE">
              <w:t xml:space="preserve">Predkladaným návrhom nariadenia vlády </w:t>
            </w:r>
            <w:r w:rsidR="00D7309C">
              <w:t>Slovenskej republiky, ktorým sa vyhlasuje chránený areál Rimava</w:t>
            </w:r>
            <w:r w:rsidR="00DE1EAD">
              <w:t xml:space="preserve"> (ďalej len „návrh nariadenia vlády“)</w:t>
            </w:r>
            <w:r w:rsidR="00DF6B72">
              <w:t>,</w:t>
            </w:r>
            <w:r w:rsidR="00D7309C">
              <w:t xml:space="preserve"> </w:t>
            </w:r>
            <w:r w:rsidRPr="004D23CE">
              <w:t>sa za chránené územie vyhlási lokalita európskeho významu</w:t>
            </w:r>
            <w:r w:rsidR="00D7309C">
              <w:t xml:space="preserve"> SKUEV0003 Rimava</w:t>
            </w:r>
            <w:r w:rsidRPr="004D23CE">
              <w:t xml:space="preserve">, ktorá je súčasťou európskej sústavy chránených území Natura 2000. </w:t>
            </w:r>
            <w:r w:rsidR="00D7309C">
              <w:t>SKUEV0003 Rimava bolo zaradené do v</w:t>
            </w:r>
            <w:r w:rsidR="003B7DE7" w:rsidRPr="004D23CE">
              <w:t>ýnos</w:t>
            </w:r>
            <w:r w:rsidR="00D7309C">
              <w:t>u</w:t>
            </w:r>
            <w:r w:rsidR="003B7DE7" w:rsidRPr="004D23CE">
              <w:t xml:space="preserve"> Ministerstva životného prostredia Slovenskej republiky</w:t>
            </w:r>
            <w:r w:rsidRPr="004D23CE">
              <w:t xml:space="preserve"> č. 3/2004-5.1 zo 14. júla 2004, ktorým sa vydáva národný zoznam území európskeho významu</w:t>
            </w:r>
            <w:r w:rsidR="00B614E6">
              <w:t>.</w:t>
            </w:r>
            <w:r w:rsidRPr="004D23CE">
              <w:t xml:space="preserve"> </w:t>
            </w:r>
          </w:p>
          <w:p w14:paraId="7C002446" w14:textId="77777777" w:rsidR="008462BF" w:rsidRDefault="00D60E42" w:rsidP="00336FFD">
            <w:pPr>
              <w:spacing w:after="120"/>
              <w:jc w:val="both"/>
            </w:pPr>
            <w:r w:rsidRPr="004D23CE">
              <w:t xml:space="preserve">Zámer vyhlásiť CHA </w:t>
            </w:r>
            <w:r w:rsidR="0046618C" w:rsidRPr="004D23CE">
              <w:t>Rimava</w:t>
            </w:r>
            <w:r w:rsidRPr="004D23CE">
              <w:t xml:space="preserve"> bol v zmysle § 50 zákona č. 543/2002 Z. z. o ochrane prírody a krajiny v znení neskorších predpisov (ďalej len „zákon“) oznámený Okresným úradom </w:t>
            </w:r>
            <w:r w:rsidR="0046618C" w:rsidRPr="004D23CE">
              <w:t>Banská Bystrica</w:t>
            </w:r>
            <w:r w:rsidRPr="004D23CE">
              <w:t xml:space="preserve">. Zámer bol spracovaný podľa projektu ochrany, ktorý je odborným podkladom na vyhlásenie chráneného územia (§ 54 ods. 13 zákona) a obsahuje ciele ochrany vymedzené pre chránené územie, návrh vhodného manažmentu na dosiahnutie cieľov, ako aj obmedzenia vyplývajúce zo stanoveného stupňa ochrany podľa zákona. </w:t>
            </w:r>
            <w:r w:rsidR="0046618C" w:rsidRPr="004D23CE">
              <w:t>Pripomienky k zámeru vznesené z</w:t>
            </w:r>
            <w:r w:rsidRPr="004D23CE">
              <w:t xml:space="preserve">o strany dotknutých subjektov </w:t>
            </w:r>
            <w:r w:rsidR="0046618C" w:rsidRPr="004D23CE">
              <w:t>boli prerokované a zapracované do materiálu</w:t>
            </w:r>
            <w:r w:rsidRPr="004D23CE">
              <w:t>.</w:t>
            </w:r>
          </w:p>
          <w:p w14:paraId="40905476" w14:textId="32D7039E" w:rsidR="00DC20F3" w:rsidRDefault="00BA2D4D" w:rsidP="00336FFD">
            <w:pPr>
              <w:spacing w:after="120"/>
              <w:jc w:val="both"/>
            </w:pPr>
            <w:r w:rsidRPr="00BA2D4D">
              <w:t>CHA Rimava je vymedzený na vodnom toku Rimava v úseku od 70,1 riečneho kilometra (rkm) po 74 rkm</w:t>
            </w:r>
            <w:r>
              <w:t xml:space="preserve"> </w:t>
            </w:r>
            <w:r w:rsidR="009B57CA">
              <w:t xml:space="preserve">a </w:t>
            </w:r>
            <w:r>
              <w:t xml:space="preserve">zahŕňa vodný tok a porasty vzrastlej brehovej a sprievodnej vegetácie lemujúce koryto vodného toku. </w:t>
            </w:r>
            <w:r w:rsidR="00DC20F3">
              <w:t xml:space="preserve">V CHA Rimava sú </w:t>
            </w:r>
            <w:r w:rsidR="00E87332">
              <w:t xml:space="preserve">identifikovaní </w:t>
            </w:r>
            <w:r w:rsidR="00DC20F3">
              <w:t>dvaja správcovia pozemkov</w:t>
            </w:r>
            <w:r w:rsidR="001D7CA4">
              <w:t xml:space="preserve"> -</w:t>
            </w:r>
            <w:r w:rsidR="00DC20F3">
              <w:t xml:space="preserve"> štátny podnik Slovenský vodohospodársky podnik</w:t>
            </w:r>
            <w:r w:rsidR="00B915C8">
              <w:t xml:space="preserve"> (ďalej len </w:t>
            </w:r>
            <w:r w:rsidR="00F94743">
              <w:t>SVP</w:t>
            </w:r>
            <w:r w:rsidR="00DC20F3">
              <w:t>,</w:t>
            </w:r>
            <w:r w:rsidR="00F94743">
              <w:t xml:space="preserve"> š. p.“),</w:t>
            </w:r>
            <w:r w:rsidR="00DC20F3">
              <w:t xml:space="preserve"> ktorý spravuje vodný tok Rimav</w:t>
            </w:r>
            <w:r w:rsidR="001D7CA4">
              <w:t>a, a</w:t>
            </w:r>
            <w:r w:rsidR="00DC20F3">
              <w:t xml:space="preserve"> Slovenská správa ciest, ktorá spravuje úsek cesty križujúci CHA Rimava</w:t>
            </w:r>
            <w:r w:rsidR="001D7CA4">
              <w:t xml:space="preserve"> na dvoch miestach</w:t>
            </w:r>
            <w:r w:rsidR="00DC20F3">
              <w:t xml:space="preserve"> (premostenie vodného toku mostnými objektmi). </w:t>
            </w:r>
            <w:r w:rsidR="00F31DEC">
              <w:t xml:space="preserve">Činnosti vyplývajúce pre </w:t>
            </w:r>
            <w:r w:rsidR="00E87332">
              <w:t xml:space="preserve">týchto </w:t>
            </w:r>
            <w:r w:rsidR="00F31DEC">
              <w:t>správcov z príslušnej legislatívy</w:t>
            </w:r>
            <w:r w:rsidR="004365F9">
              <w:t xml:space="preserve"> </w:t>
            </w:r>
            <w:r w:rsidR="004365F9" w:rsidRPr="004365F9">
              <w:t>[zákon č. 364/2004 Z. z. o vodách a o zmene zákona č. 372/1990 Zb. o priestupkoch v znení neskorších predpisov (vodný zákon) v znení neskorších predpisov; zákon č. 135/1961 Zb. o pozemných komunikáciách (cestný zákon) v znení neskorších predpisov]</w:t>
            </w:r>
            <w:r w:rsidR="007F60B3">
              <w:t xml:space="preserve"> môže</w:t>
            </w:r>
            <w:r w:rsidR="00DC20F3">
              <w:t xml:space="preserve"> </w:t>
            </w:r>
            <w:r w:rsidR="001D7CA4">
              <w:t xml:space="preserve">orgán ochrany prírody </w:t>
            </w:r>
            <w:r w:rsidR="004365F9">
              <w:t>obmedziť</w:t>
            </w:r>
            <w:r w:rsidR="007F60B3">
              <w:t xml:space="preserve"> </w:t>
            </w:r>
            <w:r w:rsidR="001D7CA4">
              <w:t xml:space="preserve">výlučne za účelom </w:t>
            </w:r>
            <w:r w:rsidR="00445F72">
              <w:t xml:space="preserve">zabezpečenia </w:t>
            </w:r>
            <w:r w:rsidR="00EA6660">
              <w:t xml:space="preserve">priaznivého </w:t>
            </w:r>
            <w:r w:rsidR="001D7CA4">
              <w:t>stavu predmetov ochrany CHA Rimava.</w:t>
            </w:r>
            <w:r w:rsidR="009B57CA">
              <w:t xml:space="preserve"> Predpokladané je možné obmedzenie rozsahu alebo lokalizácie činností. </w:t>
            </w:r>
            <w:r w:rsidR="001D7CA4">
              <w:t>Nie sú predpokladané dodatočné náklady na hospodárenie štátnych podnikov.</w:t>
            </w:r>
          </w:p>
          <w:p w14:paraId="7B4DEA35" w14:textId="42423447" w:rsidR="00722AA6" w:rsidRDefault="00A97F7F" w:rsidP="00336FFD">
            <w:pPr>
              <w:spacing w:after="120"/>
              <w:jc w:val="both"/>
            </w:pPr>
            <w:r>
              <w:t xml:space="preserve">CHA Rimava </w:t>
            </w:r>
            <w:r w:rsidR="00B915C8">
              <w:t xml:space="preserve">ohrozuje </w:t>
            </w:r>
            <w:r>
              <w:t xml:space="preserve">prítomnosť </w:t>
            </w:r>
            <w:r w:rsidR="00F94743">
              <w:t>piatich</w:t>
            </w:r>
            <w:r>
              <w:t xml:space="preserve"> bariér (líniové a priečne prekážky), ktoré narúšajú pozdĺžnu spojitosť rieky, pričom negatívne ovplyvňujú migráciu vodných živočíchov</w:t>
            </w:r>
            <w:r w:rsidR="00C92B54">
              <w:t>, čím spôsobujú obmedzenie prirodzeného toku genetického materiálu pri záujmových druhoch živočíchov (ryby, mihule).</w:t>
            </w:r>
            <w:r w:rsidR="00605F6C">
              <w:t xml:space="preserve"> </w:t>
            </w:r>
            <w:r w:rsidR="00F94743" w:rsidRPr="0088513F">
              <w:t xml:space="preserve">Z piatich migračných bariér sú dve vedené </w:t>
            </w:r>
            <w:r w:rsidR="00722AA6" w:rsidRPr="0088513F">
              <w:t xml:space="preserve">v majetku </w:t>
            </w:r>
            <w:r w:rsidR="00F94743" w:rsidRPr="0088513F">
              <w:t>SVP, š, p. a</w:t>
            </w:r>
            <w:r w:rsidR="00722AA6" w:rsidRPr="0088513F">
              <w:t xml:space="preserve"> zatiaľ nie sú súčasťou  </w:t>
            </w:r>
            <w:r w:rsidR="00605F6C" w:rsidRPr="0088513F">
              <w:t xml:space="preserve">prílohy 8.4a Návrh opatrení pre elimináciu významného narušenia pozdĺžnej spojitosti riek a biotopov </w:t>
            </w:r>
            <w:r w:rsidR="00EE6F00" w:rsidRPr="0088513F">
              <w:t>Vodného plánu Slovenska</w:t>
            </w:r>
            <w:r w:rsidR="00465E8D" w:rsidRPr="0088513F">
              <w:t>, nakoľko im bola pri prioritizácii identifikovaných bariér na tokoch stanovená nižšia priorita. Ich odstránenie sa nepredpokladá do konca roku 2024</w:t>
            </w:r>
            <w:r w:rsidR="00722AA6" w:rsidRPr="0088513F">
              <w:t xml:space="preserve">. </w:t>
            </w:r>
            <w:r w:rsidR="00F94743" w:rsidRPr="0088513F">
              <w:t>Pri ďalších troch bariérach nie je vlastník známy. V budúcnosti je nevyhnutná spolupráca so správcom vodného toku v otázke postupného riešenia migračných bariér (postup prác, stanovenie harmonogramu riešenia).</w:t>
            </w:r>
          </w:p>
          <w:p w14:paraId="50E58A61" w14:textId="0BEC25E5" w:rsidR="002A689A" w:rsidRDefault="001D7FBA" w:rsidP="00336FFD">
            <w:pPr>
              <w:spacing w:after="120"/>
              <w:jc w:val="both"/>
              <w:rPr>
                <w:rFonts w:ascii="Times" w:hAnsi="Times" w:cs="Times"/>
              </w:rPr>
            </w:pPr>
            <w:r>
              <w:t xml:space="preserve">Taktiež je potrebné odstraňovať </w:t>
            </w:r>
            <w:r w:rsidR="00722AA6">
              <w:t>nepôvodné invázne druhy rastlín v brehových porastoch v CHA Rimava.</w:t>
            </w:r>
            <w:r w:rsidR="00672FC5">
              <w:t xml:space="preserve"> </w:t>
            </w:r>
            <w:r>
              <w:t xml:space="preserve"> </w:t>
            </w:r>
            <w:r w:rsidR="00672FC5">
              <w:t>Podľa</w:t>
            </w:r>
            <w:r>
              <w:t xml:space="preserve"> </w:t>
            </w:r>
            <w:r w:rsidR="00672FC5">
              <w:t xml:space="preserve">zákona č. 150/2019 Z. z. o prevencii a manažmente introdukcie a šírenia inváznych  nepôvodných druhov a o zmene a doplnení niektorých zákonov je vlastník, správca alebo užívateľ pozemku </w:t>
            </w:r>
            <w:r w:rsidR="00672FC5" w:rsidRPr="00D55DBB">
              <w:rPr>
                <w:rFonts w:ascii="Times" w:hAnsi="Times" w:cs="Times"/>
              </w:rPr>
              <w:t>povinný odstraňovať zo svojho pozemku invázne nepôvodné druhy uvedené v národnom zozname alebo v zozname Európskej únie a starať sa o pozemok tak, aby sa zamedzilo ich šíreniu.</w:t>
            </w:r>
            <w:r w:rsidR="00672FC5">
              <w:rPr>
                <w:rFonts w:ascii="Times" w:hAnsi="Times" w:cs="Times"/>
              </w:rPr>
              <w:t xml:space="preserve"> </w:t>
            </w:r>
          </w:p>
          <w:p w14:paraId="76517C1D" w14:textId="7FD207FC" w:rsidR="002A689A" w:rsidRPr="002A689A" w:rsidRDefault="00672FC5" w:rsidP="00336FFD">
            <w:pPr>
              <w:spacing w:after="120"/>
              <w:jc w:val="both"/>
              <w:rPr>
                <w:rFonts w:ascii="Times" w:hAnsi="Times" w:cs="Times"/>
              </w:rPr>
            </w:pPr>
            <w:r>
              <w:rPr>
                <w:rFonts w:ascii="Times" w:hAnsi="Times" w:cs="Times"/>
              </w:rPr>
              <w:t>Vodný tok Rimava vrátane CHA Rimava je znečisťovaný komunálnym odpadom. Ide o nezákonné umiestňovanie komunálneho odpadu, ktoré je v rozpore so zákonom č. 79/2015 Z. z. o odpadoch a o zmene a doplnení niektorých zákonov</w:t>
            </w:r>
            <w:r w:rsidR="00513A00">
              <w:rPr>
                <w:rFonts w:ascii="Times" w:hAnsi="Times" w:cs="Times"/>
              </w:rPr>
              <w:t xml:space="preserve"> </w:t>
            </w:r>
            <w:r w:rsidR="00B20C0D">
              <w:rPr>
                <w:rFonts w:ascii="Times" w:hAnsi="Times" w:cs="Times"/>
              </w:rPr>
              <w:t>v znení neskorších predpisov</w:t>
            </w:r>
            <w:r w:rsidR="00513A00">
              <w:rPr>
                <w:rFonts w:ascii="Times" w:hAnsi="Times" w:cs="Times"/>
              </w:rPr>
              <w:t>. Pokiaľ orgán štátnej správy odpadového hospodárstva nezistí počas konania osobu zodpovednú za nezákonné umiestnenie odpadu, je povinná toto zneškodnenie komunálneho odpadu na vlastné náklady zabezpečiť obec, na území ktorej bol tento odpad umiestnený</w:t>
            </w:r>
            <w:r w:rsidR="009B57CA">
              <w:rPr>
                <w:rFonts w:ascii="Times" w:hAnsi="Times" w:cs="Times"/>
              </w:rPr>
              <w:t xml:space="preserve"> v zmysle </w:t>
            </w:r>
            <w:r w:rsidR="005D77F0">
              <w:rPr>
                <w:rFonts w:ascii="Times" w:hAnsi="Times" w:cs="Times"/>
              </w:rPr>
              <w:t xml:space="preserve">§15 ods. 14 písm. a) zákona </w:t>
            </w:r>
            <w:r w:rsidR="00B20C0D">
              <w:rPr>
                <w:rFonts w:ascii="Times" w:hAnsi="Times" w:cs="Times"/>
              </w:rPr>
              <w:t xml:space="preserve">č. 79/2015 Z. z. </w:t>
            </w:r>
            <w:r w:rsidR="005D77F0">
              <w:rPr>
                <w:rFonts w:ascii="Times" w:hAnsi="Times" w:cs="Times"/>
              </w:rPr>
              <w:t>o</w:t>
            </w:r>
            <w:r w:rsidR="00B20C0D">
              <w:rPr>
                <w:rFonts w:ascii="Times" w:hAnsi="Times" w:cs="Times"/>
              </w:rPr>
              <w:t> </w:t>
            </w:r>
            <w:r w:rsidR="005D77F0">
              <w:rPr>
                <w:rFonts w:ascii="Times" w:hAnsi="Times" w:cs="Times"/>
              </w:rPr>
              <w:t>odpadoch</w:t>
            </w:r>
            <w:r w:rsidR="00B20C0D">
              <w:rPr>
                <w:rFonts w:ascii="Times" w:hAnsi="Times" w:cs="Times"/>
              </w:rPr>
              <w:t xml:space="preserve"> a o zmene a doplnení niektorých zákonov v znení neskorších predpisov.</w:t>
            </w:r>
          </w:p>
          <w:p w14:paraId="2A4A6A8A" w14:textId="56656996" w:rsidR="00C62F9E" w:rsidRPr="00B54BD6" w:rsidRDefault="00C928A0" w:rsidP="00336FFD">
            <w:pPr>
              <w:spacing w:after="120"/>
              <w:jc w:val="both"/>
              <w:rPr>
                <w:rFonts w:ascii="Times" w:hAnsi="Times" w:cs="Times"/>
              </w:rPr>
            </w:pPr>
            <w:r w:rsidRPr="00B54BD6">
              <w:rPr>
                <w:rFonts w:ascii="Times" w:hAnsi="Times" w:cs="Times"/>
              </w:rPr>
              <w:lastRenderedPageBreak/>
              <w:t xml:space="preserve">Štátna ochrana prírody Slovenskej republiky (ŠOP SR) a jej organizačná zložka Správa </w:t>
            </w:r>
            <w:r w:rsidR="00B54BD6" w:rsidRPr="00B54BD6">
              <w:rPr>
                <w:rFonts w:ascii="Times" w:hAnsi="Times" w:cs="Times"/>
              </w:rPr>
              <w:t>Národného parku</w:t>
            </w:r>
            <w:r w:rsidR="002A689A">
              <w:rPr>
                <w:rFonts w:ascii="Times" w:hAnsi="Times" w:cs="Times"/>
              </w:rPr>
              <w:t xml:space="preserve"> </w:t>
            </w:r>
            <w:r w:rsidR="00B54BD6" w:rsidRPr="00B54BD6">
              <w:rPr>
                <w:rFonts w:ascii="Times" w:hAnsi="Times" w:cs="Times"/>
              </w:rPr>
              <w:t>Muránska planina</w:t>
            </w:r>
            <w:r w:rsidRPr="00B54BD6">
              <w:rPr>
                <w:rFonts w:ascii="Times" w:hAnsi="Times" w:cs="Times"/>
              </w:rPr>
              <w:t xml:space="preserve"> bude zodpovedná za vykonanie ďalších potrebných opatrení v oblasti monitorin</w:t>
            </w:r>
            <w:r w:rsidR="00C62F9E" w:rsidRPr="00B54BD6">
              <w:rPr>
                <w:rFonts w:ascii="Times" w:hAnsi="Times" w:cs="Times"/>
              </w:rPr>
              <w:t>gu a komunikácie s</w:t>
            </w:r>
            <w:r w:rsidR="008D45F9">
              <w:rPr>
                <w:rFonts w:ascii="Times" w:hAnsi="Times" w:cs="Times"/>
              </w:rPr>
              <w:t> </w:t>
            </w:r>
            <w:r w:rsidR="00C62F9E" w:rsidRPr="00B54BD6">
              <w:rPr>
                <w:rFonts w:ascii="Times" w:hAnsi="Times" w:cs="Times"/>
              </w:rPr>
              <w:t>verejnosťou</w:t>
            </w:r>
            <w:r w:rsidR="008D45F9">
              <w:rPr>
                <w:rFonts w:ascii="Times" w:hAnsi="Times" w:cs="Times"/>
              </w:rPr>
              <w:t>,</w:t>
            </w:r>
            <w:r w:rsidR="00C62F9E" w:rsidRPr="00B54BD6">
              <w:rPr>
                <w:rFonts w:ascii="Times" w:hAnsi="Times" w:cs="Times"/>
              </w:rPr>
              <w:t xml:space="preserve"> </w:t>
            </w:r>
            <w:r w:rsidRPr="00B54BD6">
              <w:rPr>
                <w:rFonts w:ascii="Times" w:hAnsi="Times" w:cs="Times"/>
              </w:rPr>
              <w:t>ktoré budú zamestnanci ŠOP SR vyko</w:t>
            </w:r>
            <w:r w:rsidR="00C62F9E" w:rsidRPr="00B54BD6">
              <w:rPr>
                <w:rFonts w:ascii="Times" w:hAnsi="Times" w:cs="Times"/>
              </w:rPr>
              <w:t xml:space="preserve">návať v rámci pracovnej náplne. </w:t>
            </w:r>
          </w:p>
          <w:p w14:paraId="2B69E382" w14:textId="15671F3F" w:rsidR="00C62F9E" w:rsidRPr="00817AAF" w:rsidRDefault="00C62F9E">
            <w:pPr>
              <w:spacing w:after="120"/>
              <w:jc w:val="both"/>
              <w:rPr>
                <w:rFonts w:ascii="Times" w:hAnsi="Times" w:cs="Times"/>
              </w:rPr>
            </w:pPr>
            <w:r w:rsidRPr="00817AAF">
              <w:rPr>
                <w:rFonts w:ascii="Times" w:hAnsi="Times" w:cs="Times"/>
              </w:rPr>
              <w:t xml:space="preserve">CHA </w:t>
            </w:r>
            <w:r w:rsidR="00817AAF" w:rsidRPr="00817AAF">
              <w:rPr>
                <w:rFonts w:ascii="Times" w:hAnsi="Times" w:cs="Times"/>
              </w:rPr>
              <w:t>Rimava</w:t>
            </w:r>
            <w:r w:rsidRPr="00817AAF">
              <w:rPr>
                <w:rFonts w:ascii="Times" w:hAnsi="Times" w:cs="Times"/>
              </w:rPr>
              <w:t xml:space="preserve"> bude po jeho vyhlásení zapísaný v katastri nehnuteľností (§ 51 ods. 5 zákona), v </w:t>
            </w:r>
            <w:r w:rsidR="00D7309C">
              <w:rPr>
                <w:rFonts w:ascii="Times" w:hAnsi="Times" w:cs="Times"/>
              </w:rPr>
              <w:t>Š</w:t>
            </w:r>
            <w:r w:rsidRPr="00817AAF">
              <w:rPr>
                <w:rFonts w:ascii="Times" w:hAnsi="Times" w:cs="Times"/>
              </w:rPr>
              <w:t xml:space="preserve">tátnom zozname osobitne chránených častí prírody a krajiny (§ 51 ods. 4) a pre potreby praxe budú na Okresnom úrade </w:t>
            </w:r>
            <w:r w:rsidR="00817AAF" w:rsidRPr="00817AAF">
              <w:rPr>
                <w:rFonts w:ascii="Times" w:hAnsi="Times" w:cs="Times"/>
              </w:rPr>
              <w:t>Rimavská Sobota</w:t>
            </w:r>
            <w:r w:rsidRPr="00817AAF">
              <w:rPr>
                <w:rFonts w:ascii="Times" w:hAnsi="Times" w:cs="Times"/>
              </w:rPr>
              <w:t xml:space="preserve"> uložené grafické podklady, v ktorých je zakreslená hranica CHA </w:t>
            </w:r>
            <w:r w:rsidR="00817AAF" w:rsidRPr="00817AAF">
              <w:rPr>
                <w:rFonts w:ascii="Times" w:hAnsi="Times" w:cs="Times"/>
              </w:rPr>
              <w:t>Rimava</w:t>
            </w:r>
            <w:r w:rsidRPr="00817AAF">
              <w:rPr>
                <w:rFonts w:ascii="Times" w:hAnsi="Times" w:cs="Times"/>
              </w:rPr>
              <w:t xml:space="preserve">. </w:t>
            </w:r>
          </w:p>
          <w:p w14:paraId="6209BB24" w14:textId="19D4BEAE" w:rsidR="00375884" w:rsidRPr="004D23CE" w:rsidRDefault="00ED2371" w:rsidP="008D45F9">
            <w:pPr>
              <w:spacing w:after="120"/>
              <w:jc w:val="both"/>
              <w:rPr>
                <w:rFonts w:ascii="Times" w:hAnsi="Times" w:cs="Times"/>
                <w:highlight w:val="yellow"/>
              </w:rPr>
            </w:pPr>
            <w:r>
              <w:rPr>
                <w:rFonts w:ascii="Times" w:hAnsi="Times" w:cs="Times"/>
              </w:rPr>
              <w:t>Vyhláse</w:t>
            </w:r>
            <w:r w:rsidR="009B57CA">
              <w:rPr>
                <w:rFonts w:ascii="Times" w:hAnsi="Times" w:cs="Times"/>
              </w:rPr>
              <w:t>ním</w:t>
            </w:r>
            <w:r>
              <w:rPr>
                <w:rFonts w:ascii="Times" w:hAnsi="Times" w:cs="Times"/>
              </w:rPr>
              <w:t xml:space="preserve"> CHA Rimava </w:t>
            </w:r>
            <w:r w:rsidR="009B57CA">
              <w:rPr>
                <w:rFonts w:ascii="Times" w:hAnsi="Times" w:cs="Times"/>
              </w:rPr>
              <w:t>sa</w:t>
            </w:r>
            <w:r w:rsidR="00AE16FA">
              <w:rPr>
                <w:rFonts w:ascii="Times" w:hAnsi="Times" w:cs="Times"/>
              </w:rPr>
              <w:t xml:space="preserve"> </w:t>
            </w:r>
            <w:r w:rsidR="009B57CA">
              <w:t>n</w:t>
            </w:r>
            <w:r w:rsidR="00A04632" w:rsidRPr="00817AAF">
              <w:t>epredpokladá</w:t>
            </w:r>
            <w:r w:rsidR="00817AAF">
              <w:t xml:space="preserve"> sa výrazné zvýšenie pracovných príležitostí, </w:t>
            </w:r>
            <w:r w:rsidR="008E4564" w:rsidRPr="00817AAF">
              <w:rPr>
                <w:rFonts w:ascii="Times" w:hAnsi="Times" w:cs="Times"/>
              </w:rPr>
              <w:t>zánik pracovných miest, vplyv na fungovanie trhu práce, špecifické negatívne dôsledky na isté skupiny profesií, skupín zamestnancov či živnostníkov ani ovplyvnenie špecifických vekových skupín zamestnancov.</w:t>
            </w:r>
            <w:r w:rsidR="00AE16FA">
              <w:rPr>
                <w:rFonts w:ascii="Times" w:hAnsi="Times" w:cs="Times"/>
              </w:rPr>
              <w:t xml:space="preserve"> Všetky pozemky v CHA Rimava sú oslobodené od dane v </w:t>
            </w:r>
            <w:r w:rsidR="00AE16FA" w:rsidRPr="00AE16FA">
              <w:rPr>
                <w:rFonts w:ascii="Times" w:hAnsi="Times" w:cs="Times"/>
              </w:rPr>
              <w:t xml:space="preserve">zmysle </w:t>
            </w:r>
            <w:r w:rsidR="00C9172E" w:rsidRPr="00AE16FA">
              <w:rPr>
                <w:rFonts w:ascii="Times" w:hAnsi="Times" w:cs="Times"/>
              </w:rPr>
              <w:t xml:space="preserve">zákona </w:t>
            </w:r>
            <w:r w:rsidR="008E4564" w:rsidRPr="00AE16FA">
              <w:rPr>
                <w:rFonts w:ascii="Times" w:hAnsi="Times" w:cs="Times"/>
              </w:rPr>
              <w:t>č. 582/2004 Z. z. o miestnych daniach a miestnom poplatku za komunálne odpady a drobné stavebné odpady v znení neskorších predpisov.</w:t>
            </w:r>
            <w:r w:rsidR="008E4564" w:rsidRPr="004D23CE">
              <w:rPr>
                <w:rFonts w:ascii="Times" w:hAnsi="Times" w:cs="Times"/>
                <w:highlight w:val="yellow"/>
              </w:rPr>
              <w:t xml:space="preserve"> </w:t>
            </w:r>
          </w:p>
          <w:p w14:paraId="2A5D3051" w14:textId="36936C2F" w:rsidR="008E4564" w:rsidRPr="004D23CE" w:rsidRDefault="008E4564" w:rsidP="00D25464">
            <w:pPr>
              <w:spacing w:after="120"/>
              <w:jc w:val="both"/>
              <w:rPr>
                <w:rFonts w:ascii="Times" w:hAnsi="Times" w:cs="Times"/>
                <w:highlight w:val="yellow"/>
              </w:rPr>
            </w:pPr>
            <w:r w:rsidRPr="00817AAF">
              <w:rPr>
                <w:rFonts w:ascii="Times" w:hAnsi="Times" w:cs="Times"/>
              </w:rPr>
              <w:t xml:space="preserve">Na základe uvedených skutočností Ministerstvo životného prostredia Slovenskej republiky </w:t>
            </w:r>
            <w:r w:rsidR="00AD2034" w:rsidRPr="00817AAF">
              <w:rPr>
                <w:rFonts w:ascii="Times" w:hAnsi="Times" w:cs="Times"/>
              </w:rPr>
              <w:t xml:space="preserve">(MŽP SR) </w:t>
            </w:r>
            <w:r w:rsidRPr="00817AAF">
              <w:rPr>
                <w:rFonts w:ascii="Times" w:hAnsi="Times" w:cs="Times"/>
              </w:rPr>
              <w:t xml:space="preserve">vyhodnotilo, že vyhlásenie CHA </w:t>
            </w:r>
            <w:r w:rsidR="00817AAF" w:rsidRPr="00817AAF">
              <w:rPr>
                <w:rFonts w:ascii="Times" w:hAnsi="Times" w:cs="Times"/>
              </w:rPr>
              <w:t>Rimava</w:t>
            </w:r>
            <w:r w:rsidRPr="00817AAF">
              <w:rPr>
                <w:rFonts w:ascii="Times" w:hAnsi="Times" w:cs="Times"/>
              </w:rPr>
              <w:t xml:space="preserve"> nebude mať vplyv na podnikateľské prostredie.</w:t>
            </w:r>
          </w:p>
        </w:tc>
      </w:tr>
      <w:tr w:rsidR="003501A1" w:rsidRPr="00A179AE" w14:paraId="3C19BFAE" w14:textId="77777777" w:rsidTr="00BC767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060655E4" w14:textId="77777777" w:rsidR="003501A1" w:rsidRPr="00817AAF" w:rsidRDefault="003501A1" w:rsidP="003501A1">
            <w:pPr>
              <w:pStyle w:val="Odsekzoznamu"/>
              <w:numPr>
                <w:ilvl w:val="0"/>
                <w:numId w:val="1"/>
              </w:numPr>
              <w:spacing w:after="0" w:line="240" w:lineRule="auto"/>
              <w:ind w:left="426"/>
              <w:rPr>
                <w:rFonts w:ascii="Times New Roman" w:hAnsi="Times New Roman" w:cs="Times New Roman"/>
                <w:b/>
              </w:rPr>
            </w:pPr>
            <w:r w:rsidRPr="00817AAF">
              <w:rPr>
                <w:rFonts w:ascii="Times New Roman" w:hAnsi="Times New Roman" w:cs="Times New Roman"/>
                <w:b/>
              </w:rPr>
              <w:lastRenderedPageBreak/>
              <w:t>Kontakt na spracovateľa</w:t>
            </w:r>
          </w:p>
        </w:tc>
      </w:tr>
      <w:tr w:rsidR="003501A1" w:rsidRPr="00A179AE" w14:paraId="70DA6891" w14:textId="77777777" w:rsidTr="00336FFD">
        <w:trPr>
          <w:trHeight w:val="288"/>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2DB445C" w14:textId="77777777" w:rsidR="00702A8B" w:rsidRPr="00817AAF" w:rsidRDefault="00A227D2" w:rsidP="00336FFD">
            <w:pPr>
              <w:jc w:val="both"/>
            </w:pPr>
            <w:r w:rsidRPr="00817AAF">
              <w:t>Ing. Janka Guzmová</w:t>
            </w:r>
            <w:r w:rsidR="0083656C" w:rsidRPr="00817AAF">
              <w:t xml:space="preserve">, sekcia ochrany prírody, biodiverzity a krajiny </w:t>
            </w:r>
            <w:r w:rsidR="004B1300" w:rsidRPr="00817AAF">
              <w:t>MŽP SR</w:t>
            </w:r>
            <w:r w:rsidR="0083656C" w:rsidRPr="00817AAF">
              <w:t xml:space="preserve"> (</w:t>
            </w:r>
            <w:r w:rsidRPr="00817AAF">
              <w:t>janka.guzmova</w:t>
            </w:r>
            <w:r w:rsidR="00702A8B" w:rsidRPr="00817AAF">
              <w:t>@enviro.gov.sk</w:t>
            </w:r>
            <w:r w:rsidR="0083656C" w:rsidRPr="00817AAF">
              <w:t>)</w:t>
            </w:r>
            <w:r w:rsidR="00702A8B" w:rsidRPr="00817AAF">
              <w:t xml:space="preserve">. </w:t>
            </w:r>
          </w:p>
        </w:tc>
      </w:tr>
      <w:tr w:rsidR="003501A1" w:rsidRPr="00A179AE" w14:paraId="0F36144D"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05EA7924" w14:textId="77777777" w:rsidR="003501A1" w:rsidRPr="00817AAF" w:rsidRDefault="003501A1" w:rsidP="003501A1">
            <w:pPr>
              <w:pStyle w:val="Odsekzoznamu"/>
              <w:numPr>
                <w:ilvl w:val="0"/>
                <w:numId w:val="1"/>
              </w:numPr>
              <w:spacing w:after="0" w:line="240" w:lineRule="auto"/>
              <w:ind w:left="426"/>
              <w:rPr>
                <w:rFonts w:ascii="Times New Roman" w:hAnsi="Times New Roman" w:cs="Times New Roman"/>
                <w:b/>
              </w:rPr>
            </w:pPr>
            <w:r w:rsidRPr="00817AAF">
              <w:rPr>
                <w:rFonts w:ascii="Times New Roman" w:hAnsi="Times New Roman" w:cs="Times New Roman"/>
                <w:b/>
              </w:rPr>
              <w:t>Zdroje</w:t>
            </w:r>
          </w:p>
        </w:tc>
      </w:tr>
      <w:tr w:rsidR="003501A1" w:rsidRPr="00A179AE" w14:paraId="56FA4186" w14:textId="77777777" w:rsidTr="00817AAF">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8B5869F" w14:textId="77777777" w:rsidR="003501A1" w:rsidRPr="00817AAF" w:rsidRDefault="007F0F79" w:rsidP="00817AAF">
            <w:pPr>
              <w:rPr>
                <w:b/>
              </w:rPr>
            </w:pPr>
            <w:r w:rsidRPr="00817AAF">
              <w:t xml:space="preserve">Doložka vplyvov bola vypracovaná v spolupráci so </w:t>
            </w:r>
            <w:r w:rsidR="00817AAF">
              <w:t>ŠOP SR</w:t>
            </w:r>
            <w:r w:rsidRPr="00817AAF">
              <w:t xml:space="preserve"> (marta.mutnanova@sopsr.sk). </w:t>
            </w:r>
          </w:p>
        </w:tc>
      </w:tr>
      <w:tr w:rsidR="003501A1" w:rsidRPr="00A179AE" w14:paraId="683538D6" w14:textId="77777777" w:rsidTr="00817AAF">
        <w:tc>
          <w:tcPr>
            <w:tcW w:w="9176" w:type="dxa"/>
            <w:tcBorders>
              <w:top w:val="single" w:sz="4" w:space="0" w:color="auto"/>
              <w:left w:val="single" w:sz="4" w:space="0" w:color="auto"/>
              <w:bottom w:val="single" w:sz="4" w:space="0" w:color="auto"/>
              <w:right w:val="single" w:sz="4" w:space="0" w:color="auto"/>
            </w:tcBorders>
            <w:shd w:val="clear" w:color="auto" w:fill="E2E2E2"/>
          </w:tcPr>
          <w:p w14:paraId="59B0A19F" w14:textId="42B58801" w:rsidR="003501A1" w:rsidRPr="00817AAF" w:rsidRDefault="003501A1" w:rsidP="003501A1">
            <w:pPr>
              <w:pStyle w:val="Odsekzoznamu"/>
              <w:numPr>
                <w:ilvl w:val="0"/>
                <w:numId w:val="1"/>
              </w:numPr>
              <w:spacing w:after="0" w:line="240" w:lineRule="auto"/>
              <w:ind w:left="426"/>
              <w:rPr>
                <w:rFonts w:ascii="Times New Roman" w:hAnsi="Times New Roman" w:cs="Times New Roman"/>
                <w:b/>
              </w:rPr>
            </w:pPr>
            <w:r w:rsidRPr="00817AAF">
              <w:rPr>
                <w:rFonts w:ascii="Times New Roman" w:hAnsi="Times New Roman" w:cs="Times New Roman"/>
                <w:b/>
              </w:rPr>
              <w:t>Stanovisko Komisie pre posudzovanie vybraných vplyvov z</w:t>
            </w:r>
            <w:r w:rsidR="00480E11">
              <w:rPr>
                <w:rFonts w:ascii="Times New Roman" w:hAnsi="Times New Roman" w:cs="Times New Roman"/>
                <w:b/>
              </w:rPr>
              <w:t> </w:t>
            </w:r>
            <w:r w:rsidRPr="00817AAF">
              <w:rPr>
                <w:rFonts w:ascii="Times New Roman" w:hAnsi="Times New Roman" w:cs="Times New Roman"/>
                <w:b/>
              </w:rPr>
              <w:t>PPK</w:t>
            </w:r>
          </w:p>
        </w:tc>
      </w:tr>
      <w:tr w:rsidR="00264D6E" w:rsidRPr="00A179AE" w14:paraId="0AE68690" w14:textId="77777777" w:rsidTr="00A51335">
        <w:tc>
          <w:tcPr>
            <w:tcW w:w="9176" w:type="dxa"/>
            <w:tcBorders>
              <w:top w:val="single" w:sz="4" w:space="0" w:color="auto"/>
              <w:left w:val="single" w:sz="4" w:space="0" w:color="auto"/>
              <w:bottom w:val="single" w:sz="4" w:space="0" w:color="auto"/>
              <w:right w:val="single" w:sz="4" w:space="0" w:color="auto"/>
            </w:tcBorders>
            <w:shd w:val="clear" w:color="auto" w:fill="auto"/>
          </w:tcPr>
          <w:p w14:paraId="063EC1D2" w14:textId="77777777" w:rsidR="00264D6E" w:rsidRDefault="00264D6E" w:rsidP="00A51335">
            <w:r>
              <w:t xml:space="preserve">Komisia uplatnila v stanovisku č. 018/2021 zo dňa 16.02.2021 nasledovné pripomienky a odporúčania: </w:t>
            </w:r>
          </w:p>
          <w:p w14:paraId="5CD950E2" w14:textId="77777777" w:rsidR="00264D6E" w:rsidRDefault="00264D6E" w:rsidP="00A51335"/>
          <w:p w14:paraId="7FC0CBB4" w14:textId="78F4A7E1" w:rsidR="00264D6E" w:rsidRPr="00A51335" w:rsidRDefault="00264D6E" w:rsidP="00A51335">
            <w:pPr>
              <w:rPr>
                <w:b/>
              </w:rPr>
            </w:pPr>
            <w:r w:rsidRPr="00A51335">
              <w:rPr>
                <w:b/>
              </w:rPr>
              <w:t>K sociálnym vplyvom</w:t>
            </w:r>
          </w:p>
          <w:p w14:paraId="02463A8B" w14:textId="77777777" w:rsidR="00264D6E" w:rsidRDefault="00264D6E" w:rsidP="00A51335">
            <w:pPr>
              <w:jc w:val="both"/>
            </w:pPr>
            <w:r w:rsidRPr="00264D6E">
              <w:t>Predkladateľ v doložke vybraných vplyvov medzi subjekty, ktoré budú dotknuté predkladaným materiálom okrem správcov pozemkov zaraďuje aj vlastníkov dotknutých pozemkov, avšak pri posudzovaní vplyvov predkladaného materiálu sa ďalej venuje už iba vplyvom predkladaného materiálu na správcov pozemkov a bližším spôsobom nevyhodnocuje vplyvy materiálu na vlastníkov pozemkov – fyzické osoby. Predkladateľ konštatuje, že v súčasnosti sú vlastníci dotknutých pozemkov neznámi. Nakoľko doplnením požadovaných osobných údajov príslušnému katastrálnemu odboru okresného úradu sa z neznámeho vlastníka stane vykonaním administratívneho zápisu známy vlastník, prípadne pozemok neznámeho vlastníka môže niekto zdediť, Komisia sa domnieva, že nie je možné abstrahovať od zhodnotenia možných sociálnych vplyvov predkladaného materiálu na vlastníkov pozemkov predmetných pozemkov len z dôvodu, že momentálne správa katastra nedisponuje údajmi o adrese a dátume narodenia vlastníkov pozemkov. Vyhlásenie chránenej oblasti zmení užívacie práva k pozemkom na dlhú dobu a nejde len o momentálny stav. V danej súvislosti Komisia odporúča predkladateľovi zhodnotiť aj sociálne vplyvy predkladaného materiálu a vypracovať separátnu analýzu sociálnych vplyvov, t. j. kvalitatívnym a kvantitatívnym spôsobom zhodnotiť zvýšenie, resp. zníženie príjmov dotknutých vlastníkov pozemkov z titulu vyhlásenia chránenej oblasti (Komisia odporúča uviesť aspoň vzorový príklad).</w:t>
            </w:r>
          </w:p>
          <w:p w14:paraId="776011B2" w14:textId="77777777" w:rsidR="00264D6E" w:rsidRDefault="00264D6E" w:rsidP="00A51335">
            <w:pPr>
              <w:jc w:val="both"/>
            </w:pPr>
          </w:p>
          <w:p w14:paraId="1DDDB5D0" w14:textId="77777777" w:rsidR="00264D6E" w:rsidRDefault="00264D6E" w:rsidP="00A51335">
            <w:pPr>
              <w:jc w:val="both"/>
            </w:pPr>
            <w:r>
              <w:t xml:space="preserve">Stála pracovná komisia na posudzovanie vybraných vplyvov vyjadruje </w:t>
            </w:r>
            <w:r w:rsidRPr="00A51335">
              <w:rPr>
                <w:b/>
              </w:rPr>
              <w:t>súhlasné stanovisko s návrhom na dopracovanie</w:t>
            </w:r>
            <w:r>
              <w:t xml:space="preserve"> s materiálom predloženým na predbežné pripomienkové konanie s odporúčaním na jeho dopracovanie podľa pripomienok. </w:t>
            </w:r>
          </w:p>
          <w:p w14:paraId="3C14E39A" w14:textId="77777777" w:rsidR="00264D6E" w:rsidRDefault="00264D6E" w:rsidP="00A51335">
            <w:pPr>
              <w:jc w:val="both"/>
            </w:pPr>
          </w:p>
          <w:p w14:paraId="5CF8FB93" w14:textId="77777777" w:rsidR="00264D6E" w:rsidRDefault="00264D6E" w:rsidP="00A51335">
            <w:pPr>
              <w:jc w:val="both"/>
            </w:pPr>
            <w:r>
              <w:t xml:space="preserve">Poznámka: Predkladateľ zapracuje pripomienky a odporúčania na úpravu a uvedie stanovisko Komisie do doložky vybraných vplyvov spolu s vyhodnotením pripomienok. </w:t>
            </w:r>
          </w:p>
          <w:p w14:paraId="029532A2" w14:textId="77777777" w:rsidR="00EA6660" w:rsidRDefault="00EA6660" w:rsidP="00A51335">
            <w:pPr>
              <w:jc w:val="both"/>
            </w:pPr>
          </w:p>
          <w:p w14:paraId="5801E5D9" w14:textId="77777777" w:rsidR="00EA6660" w:rsidRPr="00A51335" w:rsidRDefault="00EA6660" w:rsidP="00A51335">
            <w:pPr>
              <w:jc w:val="both"/>
              <w:rPr>
                <w:b/>
              </w:rPr>
            </w:pPr>
            <w:r w:rsidRPr="00A51335">
              <w:rPr>
                <w:b/>
              </w:rPr>
              <w:t>Stanovisko MŽP SR:</w:t>
            </w:r>
          </w:p>
          <w:p w14:paraId="241B8945" w14:textId="5B693944" w:rsidR="00EA6660" w:rsidRDefault="00EA6660" w:rsidP="00A51335">
            <w:pPr>
              <w:jc w:val="both"/>
            </w:pPr>
            <w:r>
              <w:t xml:space="preserve">MŽP SR neakceptovalo pripomienku a analýzu sociálnych vplyvov nevypracovalo z dôvodu, že vyhlásením CHA Rimava nedochádza k obmedzeniu bežného obhospodarovania vlastníkov pozemkov – fyzických </w:t>
            </w:r>
            <w:r w:rsidR="00DE1EAD">
              <w:t xml:space="preserve">osôb a ani k zvýšeniu alebo zníženiu príjmov dotknutých vlastníkov pozemkov. </w:t>
            </w:r>
            <w:r w:rsidR="00445F72">
              <w:t>O</w:t>
            </w:r>
            <w:r>
              <w:t xml:space="preserve">bmedzené môže byť vykonávanie činností, ktoré správcom </w:t>
            </w:r>
            <w:r w:rsidR="00445F72">
              <w:t xml:space="preserve">pozemkov </w:t>
            </w:r>
            <w:r w:rsidR="00B56AE4">
              <w:t xml:space="preserve">CHA Rimava </w:t>
            </w:r>
            <w:r>
              <w:t xml:space="preserve">vyplývajú z platnej legislatívy, a to výlučne za účelom zachovania  predmetov ochrany CHA Rimava. </w:t>
            </w:r>
          </w:p>
          <w:p w14:paraId="0E37B9FB" w14:textId="489B59C3" w:rsidR="00DE1EAD" w:rsidRPr="0029380E" w:rsidRDefault="00445F72" w:rsidP="00A51335">
            <w:pPr>
              <w:jc w:val="both"/>
            </w:pPr>
            <w:r>
              <w:t>Vlastníci pozemkov v navrhovanom CHA Rimava sú známi a</w:t>
            </w:r>
            <w:r w:rsidR="0029380E">
              <w:t xml:space="preserve"> boli </w:t>
            </w:r>
            <w:r>
              <w:t xml:space="preserve">identifikovaní v projekte ochrany CHA Rimava, najmä za účelom prerokovania zámeru na vyhlásenie chráneného územia v zmysle § 50 zákona. </w:t>
            </w:r>
            <w:r w:rsidR="00B56AE4">
              <w:t>Vlastník/správca nie je známy v prípade troch migračných bariér</w:t>
            </w:r>
            <w:r w:rsidR="0002610D">
              <w:t xml:space="preserve"> z piatich</w:t>
            </w:r>
            <w:r w:rsidR="00B56AE4">
              <w:t xml:space="preserve">, ktoré sa nachádzajú na vodnom toku v CHA Rimava. Odstránenie týchto bariér, resp. ich spriechodnenie, sa nepredpokladá do roku 2024 a najprv bude potrebné identifikovať vlastníka/správcu. </w:t>
            </w:r>
          </w:p>
        </w:tc>
      </w:tr>
    </w:tbl>
    <w:p w14:paraId="5CD24F0B" w14:textId="77777777" w:rsidR="003501A1" w:rsidRDefault="003501A1" w:rsidP="003501A1">
      <w:pPr>
        <w:rPr>
          <w:b/>
        </w:rPr>
      </w:pPr>
    </w:p>
    <w:p w14:paraId="0B2F4904" w14:textId="77777777" w:rsidR="003501A1" w:rsidRDefault="003501A1" w:rsidP="003501A1">
      <w:pPr>
        <w:rPr>
          <w:b/>
        </w:rPr>
      </w:pPr>
    </w:p>
    <w:p w14:paraId="3010E723" w14:textId="77777777" w:rsidR="00CB3623" w:rsidRDefault="00CB3623"/>
    <w:sectPr w:rsidR="00CB3623" w:rsidSect="004C60B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8A8D8" w14:textId="77777777" w:rsidR="002C6450" w:rsidRDefault="002C6450" w:rsidP="003501A1">
      <w:r>
        <w:separator/>
      </w:r>
    </w:p>
  </w:endnote>
  <w:endnote w:type="continuationSeparator" w:id="0">
    <w:p w14:paraId="18FF7C9B" w14:textId="77777777" w:rsidR="002C6450" w:rsidRDefault="002C6450"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471075"/>
      <w:docPartObj>
        <w:docPartGallery w:val="Page Numbers (Bottom of Page)"/>
        <w:docPartUnique/>
      </w:docPartObj>
    </w:sdtPr>
    <w:sdtEndPr/>
    <w:sdtContent>
      <w:p w14:paraId="3C48B2CC" w14:textId="0D9C9494" w:rsidR="008A147E" w:rsidRDefault="008A147E">
        <w:pPr>
          <w:pStyle w:val="Pta"/>
          <w:jc w:val="right"/>
        </w:pPr>
        <w:r>
          <w:fldChar w:fldCharType="begin"/>
        </w:r>
        <w:r>
          <w:instrText>PAGE   \* MERGEFORMAT</w:instrText>
        </w:r>
        <w:r>
          <w:fldChar w:fldCharType="separate"/>
        </w:r>
        <w:r w:rsidR="00481822">
          <w:rPr>
            <w:noProof/>
          </w:rPr>
          <w:t>1</w:t>
        </w:r>
        <w:r>
          <w:fldChar w:fldCharType="end"/>
        </w:r>
      </w:p>
    </w:sdtContent>
  </w:sdt>
  <w:p w14:paraId="4C00126D" w14:textId="77777777" w:rsidR="008A147E" w:rsidRDefault="008A14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5BFDA" w14:textId="77777777" w:rsidR="002C6450" w:rsidRDefault="002C6450" w:rsidP="003501A1">
      <w:r>
        <w:separator/>
      </w:r>
    </w:p>
  </w:footnote>
  <w:footnote w:type="continuationSeparator" w:id="0">
    <w:p w14:paraId="4E93C7D6" w14:textId="77777777" w:rsidR="002C6450" w:rsidRDefault="002C6450"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D7BC" w14:textId="77777777" w:rsidR="003501A1" w:rsidRPr="000A15AE" w:rsidRDefault="003501A1" w:rsidP="003501A1">
    <w:pPr>
      <w:pStyle w:val="Hlavika"/>
      <w:jc w:val="right"/>
      <w:rPr>
        <w:sz w:val="24"/>
        <w:szCs w:val="24"/>
      </w:rPr>
    </w:pPr>
    <w:r>
      <w:rPr>
        <w:sz w:val="24"/>
        <w:szCs w:val="24"/>
      </w:rPr>
      <w:t>Príloha č. 1</w:t>
    </w:r>
  </w:p>
  <w:p w14:paraId="17D32A6E" w14:textId="77777777" w:rsidR="003501A1" w:rsidRDefault="003501A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 w15:restartNumberingAfterBreak="0">
    <w:nsid w:val="7EEA22E8"/>
    <w:multiLevelType w:val="hybridMultilevel"/>
    <w:tmpl w:val="7BAAAC1E"/>
    <w:lvl w:ilvl="0" w:tplc="97C60E3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685E"/>
    <w:rsid w:val="0002610D"/>
    <w:rsid w:val="00036A60"/>
    <w:rsid w:val="00077809"/>
    <w:rsid w:val="0007786D"/>
    <w:rsid w:val="000B58FB"/>
    <w:rsid w:val="000C4E9D"/>
    <w:rsid w:val="000E6CB1"/>
    <w:rsid w:val="00122A3D"/>
    <w:rsid w:val="001335AD"/>
    <w:rsid w:val="00175FD8"/>
    <w:rsid w:val="00196B61"/>
    <w:rsid w:val="0019780B"/>
    <w:rsid w:val="001D0FCA"/>
    <w:rsid w:val="001D7CA4"/>
    <w:rsid w:val="001D7FBA"/>
    <w:rsid w:val="001F21B3"/>
    <w:rsid w:val="002432D5"/>
    <w:rsid w:val="00255617"/>
    <w:rsid w:val="00264D6E"/>
    <w:rsid w:val="0029380E"/>
    <w:rsid w:val="002A689A"/>
    <w:rsid w:val="002C6450"/>
    <w:rsid w:val="00302877"/>
    <w:rsid w:val="0032574A"/>
    <w:rsid w:val="00326AF9"/>
    <w:rsid w:val="00336FFD"/>
    <w:rsid w:val="00344899"/>
    <w:rsid w:val="003501A1"/>
    <w:rsid w:val="00370785"/>
    <w:rsid w:val="00375884"/>
    <w:rsid w:val="00395098"/>
    <w:rsid w:val="003B7DE7"/>
    <w:rsid w:val="00402D9C"/>
    <w:rsid w:val="004339A8"/>
    <w:rsid w:val="004365F9"/>
    <w:rsid w:val="00445F72"/>
    <w:rsid w:val="00447F24"/>
    <w:rsid w:val="00452B1E"/>
    <w:rsid w:val="0045465B"/>
    <w:rsid w:val="00465E8D"/>
    <w:rsid w:val="0046618C"/>
    <w:rsid w:val="004748DA"/>
    <w:rsid w:val="00480E11"/>
    <w:rsid w:val="00481822"/>
    <w:rsid w:val="004B1300"/>
    <w:rsid w:val="004C60B8"/>
    <w:rsid w:val="004C794A"/>
    <w:rsid w:val="004D0B48"/>
    <w:rsid w:val="004D23CE"/>
    <w:rsid w:val="004E1017"/>
    <w:rsid w:val="004F6F1F"/>
    <w:rsid w:val="004F7025"/>
    <w:rsid w:val="004F7D6F"/>
    <w:rsid w:val="00500DAB"/>
    <w:rsid w:val="00502B3D"/>
    <w:rsid w:val="00513A00"/>
    <w:rsid w:val="00515FEC"/>
    <w:rsid w:val="00562B10"/>
    <w:rsid w:val="00570B48"/>
    <w:rsid w:val="0057537F"/>
    <w:rsid w:val="005A6308"/>
    <w:rsid w:val="005B7A8D"/>
    <w:rsid w:val="005C7C51"/>
    <w:rsid w:val="005D2D84"/>
    <w:rsid w:val="005D77F0"/>
    <w:rsid w:val="00605F6C"/>
    <w:rsid w:val="00631E3A"/>
    <w:rsid w:val="00651F45"/>
    <w:rsid w:val="00665CFA"/>
    <w:rsid w:val="00672FC5"/>
    <w:rsid w:val="00676D19"/>
    <w:rsid w:val="0068316C"/>
    <w:rsid w:val="00684CA3"/>
    <w:rsid w:val="00684FD2"/>
    <w:rsid w:val="006C3B7D"/>
    <w:rsid w:val="006E5BD3"/>
    <w:rsid w:val="00702A8B"/>
    <w:rsid w:val="0071466F"/>
    <w:rsid w:val="00721D21"/>
    <w:rsid w:val="00722AA6"/>
    <w:rsid w:val="00725D2D"/>
    <w:rsid w:val="00743877"/>
    <w:rsid w:val="007D4F66"/>
    <w:rsid w:val="007F0F79"/>
    <w:rsid w:val="007F60B3"/>
    <w:rsid w:val="007F69D6"/>
    <w:rsid w:val="00817AAF"/>
    <w:rsid w:val="0083581E"/>
    <w:rsid w:val="0083656C"/>
    <w:rsid w:val="008421C5"/>
    <w:rsid w:val="008430C9"/>
    <w:rsid w:val="008462BF"/>
    <w:rsid w:val="0088513F"/>
    <w:rsid w:val="00893A9A"/>
    <w:rsid w:val="008A147E"/>
    <w:rsid w:val="008B4C64"/>
    <w:rsid w:val="008D45F9"/>
    <w:rsid w:val="008E0089"/>
    <w:rsid w:val="008E4564"/>
    <w:rsid w:val="008F171D"/>
    <w:rsid w:val="009055B1"/>
    <w:rsid w:val="00906022"/>
    <w:rsid w:val="00926D39"/>
    <w:rsid w:val="009B1D23"/>
    <w:rsid w:val="009B57CA"/>
    <w:rsid w:val="00A04632"/>
    <w:rsid w:val="00A227D2"/>
    <w:rsid w:val="00A51335"/>
    <w:rsid w:val="00A767C1"/>
    <w:rsid w:val="00A77FDA"/>
    <w:rsid w:val="00A864FC"/>
    <w:rsid w:val="00A97F7F"/>
    <w:rsid w:val="00AC2477"/>
    <w:rsid w:val="00AD2034"/>
    <w:rsid w:val="00AD3286"/>
    <w:rsid w:val="00AE16FA"/>
    <w:rsid w:val="00AE31A4"/>
    <w:rsid w:val="00AF1FC2"/>
    <w:rsid w:val="00AF4FB6"/>
    <w:rsid w:val="00B20C0D"/>
    <w:rsid w:val="00B54BD6"/>
    <w:rsid w:val="00B56AE4"/>
    <w:rsid w:val="00B5729A"/>
    <w:rsid w:val="00B614E6"/>
    <w:rsid w:val="00B65A86"/>
    <w:rsid w:val="00B915C8"/>
    <w:rsid w:val="00BA2D4D"/>
    <w:rsid w:val="00BC5F8B"/>
    <w:rsid w:val="00BC7674"/>
    <w:rsid w:val="00C1030C"/>
    <w:rsid w:val="00C176F9"/>
    <w:rsid w:val="00C474BC"/>
    <w:rsid w:val="00C62F9E"/>
    <w:rsid w:val="00C9172E"/>
    <w:rsid w:val="00C928A0"/>
    <w:rsid w:val="00C92B54"/>
    <w:rsid w:val="00C9674F"/>
    <w:rsid w:val="00CB3623"/>
    <w:rsid w:val="00CC7A9D"/>
    <w:rsid w:val="00CE44A8"/>
    <w:rsid w:val="00D13B6F"/>
    <w:rsid w:val="00D22B38"/>
    <w:rsid w:val="00D25464"/>
    <w:rsid w:val="00D60E42"/>
    <w:rsid w:val="00D669AF"/>
    <w:rsid w:val="00D70AB4"/>
    <w:rsid w:val="00D72982"/>
    <w:rsid w:val="00D7309C"/>
    <w:rsid w:val="00D75D35"/>
    <w:rsid w:val="00DB7F19"/>
    <w:rsid w:val="00DC20F3"/>
    <w:rsid w:val="00DC3B60"/>
    <w:rsid w:val="00DD0D9A"/>
    <w:rsid w:val="00DE1EAD"/>
    <w:rsid w:val="00DE2A12"/>
    <w:rsid w:val="00DF3D04"/>
    <w:rsid w:val="00DF6B72"/>
    <w:rsid w:val="00E13854"/>
    <w:rsid w:val="00E14F74"/>
    <w:rsid w:val="00E17E5F"/>
    <w:rsid w:val="00E414BF"/>
    <w:rsid w:val="00E7764B"/>
    <w:rsid w:val="00E87332"/>
    <w:rsid w:val="00EA275D"/>
    <w:rsid w:val="00EA6660"/>
    <w:rsid w:val="00EB59E3"/>
    <w:rsid w:val="00ED2371"/>
    <w:rsid w:val="00ED6E8B"/>
    <w:rsid w:val="00EE05DA"/>
    <w:rsid w:val="00EE6F00"/>
    <w:rsid w:val="00F155EB"/>
    <w:rsid w:val="00F22831"/>
    <w:rsid w:val="00F31DEC"/>
    <w:rsid w:val="00F32FCB"/>
    <w:rsid w:val="00F33439"/>
    <w:rsid w:val="00F62771"/>
    <w:rsid w:val="00F71294"/>
    <w:rsid w:val="00F815CD"/>
    <w:rsid w:val="00F8534B"/>
    <w:rsid w:val="00F94743"/>
    <w:rsid w:val="00FB7148"/>
    <w:rsid w:val="00FC2F37"/>
    <w:rsid w:val="00FE529A"/>
    <w:rsid w:val="00FF64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BF9C"/>
  <w15:docId w15:val="{68DAA522-6B1E-40FC-BF34-E3C65C31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926D39"/>
    <w:rPr>
      <w:color w:val="0000FF" w:themeColor="hyperlink"/>
      <w:u w:val="single"/>
    </w:rPr>
  </w:style>
  <w:style w:type="character" w:customStyle="1" w:styleId="Nevyrieenzmienka1">
    <w:name w:val="Nevyriešená zmienka1"/>
    <w:basedOn w:val="Predvolenpsmoodseku"/>
    <w:uiPriority w:val="99"/>
    <w:semiHidden/>
    <w:unhideWhenUsed/>
    <w:rsid w:val="0070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67D9-F0C5-4C7A-A75F-F8D89831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1803</Words>
  <Characters>10282</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Lojková Silvia</cp:lastModifiedBy>
  <cp:revision>2</cp:revision>
  <cp:lastPrinted>2021-02-19T07:47:00Z</cp:lastPrinted>
  <dcterms:created xsi:type="dcterms:W3CDTF">2021-03-31T09:17:00Z</dcterms:created>
  <dcterms:modified xsi:type="dcterms:W3CDTF">2021-03-31T09:17:00Z</dcterms:modified>
</cp:coreProperties>
</file>