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662E64" w:rsidRDefault="00662E6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08"/>
        <w:gridCol w:w="3806"/>
      </w:tblGrid>
      <w:tr w:rsidR="00662E64">
        <w:trPr>
          <w:divId w:val="66258793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1.  Základné údaje</w:t>
            </w:r>
          </w:p>
        </w:tc>
      </w:tr>
      <w:tr w:rsidR="00662E64">
        <w:trPr>
          <w:divId w:val="6625879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Názov materiálu</w:t>
            </w:r>
          </w:p>
        </w:tc>
      </w:tr>
      <w:tr w:rsidR="00662E64">
        <w:trPr>
          <w:divId w:val="6625879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Zákon, ktorým sa mení a dopĺňa zákon č. 190/2003 Z. z. o strelných zbraniach a strelive a o zmene a doplnení niektorých zákonov v znení neskorších predpisov a ktorým sa menia a dopĺňajú niektoré zákony</w:t>
            </w:r>
          </w:p>
        </w:tc>
      </w:tr>
      <w:tr w:rsidR="00662E64">
        <w:trPr>
          <w:divId w:val="6625879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Predkladateľ (a spolupredkladateľ)</w:t>
            </w:r>
          </w:p>
        </w:tc>
      </w:tr>
      <w:tr w:rsidR="00662E64">
        <w:trPr>
          <w:divId w:val="66258793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Ministerstvo vnútra Slovenskej republiky</w:t>
            </w:r>
          </w:p>
        </w:tc>
      </w:tr>
      <w:tr w:rsidR="00662E64">
        <w:trPr>
          <w:divId w:val="66258793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662E64">
        <w:trPr>
          <w:divId w:val="66258793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662E64">
        <w:trPr>
          <w:divId w:val="66258793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662E64">
        <w:trPr>
          <w:divId w:val="66258793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p>
        </w:tc>
      </w:tr>
      <w:tr w:rsidR="00662E64">
        <w:trPr>
          <w:divId w:val="66258793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Začiatok:    16.4.2018</w:t>
            </w:r>
            <w:r>
              <w:rPr>
                <w:rFonts w:ascii="Times" w:hAnsi="Times" w:cs="Times"/>
                <w:sz w:val="20"/>
                <w:szCs w:val="20"/>
              </w:rPr>
              <w:br/>
              <w:t>Ukončenie: 30.4.2018</w:t>
            </w:r>
          </w:p>
        </w:tc>
      </w:tr>
      <w:tr w:rsidR="00662E64">
        <w:trPr>
          <w:divId w:val="66258793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október 2020</w:t>
            </w:r>
          </w:p>
        </w:tc>
      </w:tr>
      <w:tr w:rsidR="00662E64">
        <w:trPr>
          <w:divId w:val="66258793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662E64" w:rsidRDefault="00662E6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14"/>
      </w:tblGrid>
      <w:tr w:rsidR="00662E64">
        <w:trPr>
          <w:divId w:val="10569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2.  Definícia problému</w:t>
            </w:r>
          </w:p>
        </w:tc>
      </w:tr>
      <w:tr w:rsidR="00662E64">
        <w:trPr>
          <w:divId w:val="10569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3261C" w:rsidRDefault="00662E64" w:rsidP="0063261C">
            <w:pPr>
              <w:jc w:val="both"/>
              <w:rPr>
                <w:rFonts w:ascii="Times" w:hAnsi="Times" w:cs="Times"/>
                <w:sz w:val="20"/>
                <w:szCs w:val="20"/>
              </w:rPr>
            </w:pPr>
            <w:r>
              <w:rPr>
                <w:rFonts w:ascii="Times" w:hAnsi="Times" w:cs="Times"/>
                <w:sz w:val="20"/>
                <w:szCs w:val="20"/>
              </w:rPr>
              <w:t xml:space="preserve">Dôvodom vypracovania návrhu zákona, ktorým sa mení a dopĺňa zákon č. 190/2003 Z. z. o strelných zbraniach a strelive a o zmene a doplnení niektorých zákonov v znení neskorších predpisov a ktorým sa menia a dopĺňajú niektoré zákony bolo najmä prijatie smernice Európskeho Parlamentu a Rady (EÚ) 2017/853 zo 17. mája 2017, ktorou sa mení smernica Rady 91/477/EHS o kontrole získavania a vlastnenia zbraní a prijatie vykonávacieho nariadenia Komisie (EÚ) 2018/337 z 5. marca 2018, ktorým sa mení vykonávacie nariadenie (EÚ) 2015/2403, ktorým sa stanovujú spoločné usmernenia pre normy a techniky na </w:t>
            </w:r>
            <w:proofErr w:type="spellStart"/>
            <w:r>
              <w:rPr>
                <w:rFonts w:ascii="Times" w:hAnsi="Times" w:cs="Times"/>
                <w:sz w:val="20"/>
                <w:szCs w:val="20"/>
              </w:rPr>
              <w:t>deaktiváciu</w:t>
            </w:r>
            <w:proofErr w:type="spellEnd"/>
            <w:r>
              <w:rPr>
                <w:rFonts w:ascii="Times" w:hAnsi="Times" w:cs="Times"/>
                <w:sz w:val="20"/>
                <w:szCs w:val="20"/>
              </w:rPr>
              <w:t xml:space="preserve"> na zabezpečenie trvalej nepoužiteľnosti d</w:t>
            </w:r>
            <w:r w:rsidR="0063261C">
              <w:rPr>
                <w:rFonts w:ascii="Times" w:hAnsi="Times" w:cs="Times"/>
                <w:sz w:val="20"/>
                <w:szCs w:val="20"/>
              </w:rPr>
              <w:t>eaktivovaných strelných zbraní.</w:t>
            </w:r>
          </w:p>
          <w:p w:rsidR="0063261C" w:rsidRDefault="00662E64" w:rsidP="0063261C">
            <w:pPr>
              <w:jc w:val="both"/>
              <w:rPr>
                <w:rFonts w:ascii="Times" w:hAnsi="Times" w:cs="Times"/>
                <w:sz w:val="20"/>
                <w:szCs w:val="20"/>
              </w:rPr>
            </w:pPr>
            <w:r>
              <w:rPr>
                <w:rFonts w:ascii="Times" w:hAnsi="Times" w:cs="Times"/>
                <w:sz w:val="20"/>
                <w:szCs w:val="20"/>
              </w:rPr>
              <w:br/>
              <w:t xml:space="preserve">Ďalej sa v návrhu zákona rieši problém týkajúci znehodnotených zbraní, ktoré sú alebo budú znehodnotené podľa vykonávacieho nariadenia Komisie (EÚ) 2015/2403 z 15. decembra 2015, ktorým sa stanovujú spoločné usmernenia pre normy a techniky na </w:t>
            </w:r>
            <w:proofErr w:type="spellStart"/>
            <w:r>
              <w:rPr>
                <w:rFonts w:ascii="Times" w:hAnsi="Times" w:cs="Times"/>
                <w:sz w:val="20"/>
                <w:szCs w:val="20"/>
              </w:rPr>
              <w:t>deaktiváciu</w:t>
            </w:r>
            <w:proofErr w:type="spellEnd"/>
            <w:r>
              <w:rPr>
                <w:rFonts w:ascii="Times" w:hAnsi="Times" w:cs="Times"/>
                <w:sz w:val="20"/>
                <w:szCs w:val="20"/>
              </w:rPr>
              <w:t xml:space="preserve"> na zabezpečenie trvalej nepoužiteľnosti de</w:t>
            </w:r>
            <w:r w:rsidR="0063261C">
              <w:rPr>
                <w:rFonts w:ascii="Times" w:hAnsi="Times" w:cs="Times"/>
                <w:sz w:val="20"/>
                <w:szCs w:val="20"/>
              </w:rPr>
              <w:t>aktivovaných strelných zbraní.</w:t>
            </w:r>
          </w:p>
          <w:p w:rsidR="0063261C" w:rsidRDefault="0063261C" w:rsidP="0063261C">
            <w:pPr>
              <w:jc w:val="both"/>
              <w:rPr>
                <w:rFonts w:ascii="Times" w:hAnsi="Times" w:cs="Times"/>
                <w:sz w:val="20"/>
                <w:szCs w:val="20"/>
              </w:rPr>
            </w:pPr>
          </w:p>
          <w:p w:rsidR="0063261C" w:rsidRDefault="00662E64" w:rsidP="0063261C">
            <w:pPr>
              <w:jc w:val="both"/>
              <w:rPr>
                <w:rFonts w:ascii="Times" w:hAnsi="Times" w:cs="Times"/>
                <w:sz w:val="20"/>
                <w:szCs w:val="20"/>
              </w:rPr>
            </w:pPr>
            <w:r>
              <w:rPr>
                <w:rFonts w:ascii="Times" w:hAnsi="Times" w:cs="Times"/>
                <w:sz w:val="20"/>
                <w:szCs w:val="20"/>
              </w:rPr>
              <w:t xml:space="preserve">Prijatím vykonávacieho nariadenia Komisie (EÚ) 2018/337 z 5. marca 2018 sa mení vykonávacie nariadenie (EÚ) 2015/2403, ktorým sa stanovujú spoločné usmernenia pre normy a techniky na </w:t>
            </w:r>
            <w:proofErr w:type="spellStart"/>
            <w:r>
              <w:rPr>
                <w:rFonts w:ascii="Times" w:hAnsi="Times" w:cs="Times"/>
                <w:sz w:val="20"/>
                <w:szCs w:val="20"/>
              </w:rPr>
              <w:t>deaktiváciu</w:t>
            </w:r>
            <w:proofErr w:type="spellEnd"/>
            <w:r>
              <w:rPr>
                <w:rFonts w:ascii="Times" w:hAnsi="Times" w:cs="Times"/>
                <w:sz w:val="20"/>
                <w:szCs w:val="20"/>
              </w:rPr>
              <w:t xml:space="preserve"> na zabezpečenie trvalej nepoužiteľnosti deaktivovaných strelných zbraní a rozširuje sa jeho pôsobnosť na všetky kategórie s</w:t>
            </w:r>
            <w:r w:rsidR="0063261C">
              <w:rPr>
                <w:rFonts w:ascii="Times" w:hAnsi="Times" w:cs="Times"/>
                <w:sz w:val="20"/>
                <w:szCs w:val="20"/>
              </w:rPr>
              <w:t>trelných zbraní uvedené</w:t>
            </w:r>
            <w:r>
              <w:rPr>
                <w:rFonts w:ascii="Times" w:hAnsi="Times" w:cs="Times"/>
                <w:sz w:val="20"/>
                <w:szCs w:val="20"/>
              </w:rPr>
              <w:t xml:space="preserve"> v časti II prílohy I k smernici Rady 91/477/EHS o kontrole získavania a vlastnenia zbraní. To znamená, že je potrebné rozlíšiť v návrhu zákona dva druhy znehodnotených zbraní, ako aj upraviť samotné znehodnotenie zbrane a zriadenie overujúceho subjektu podľa čl. 3 vykonávacieho nariadenia Komisie (EÚ) 2015/2403 z 15. decembra 2015, ktorým sa stanovujú spoločné usmernenia pre normy a techniky na </w:t>
            </w:r>
            <w:proofErr w:type="spellStart"/>
            <w:r>
              <w:rPr>
                <w:rFonts w:ascii="Times" w:hAnsi="Times" w:cs="Times"/>
                <w:sz w:val="20"/>
                <w:szCs w:val="20"/>
              </w:rPr>
              <w:t>deaktiváciu</w:t>
            </w:r>
            <w:proofErr w:type="spellEnd"/>
            <w:r>
              <w:rPr>
                <w:rFonts w:ascii="Times" w:hAnsi="Times" w:cs="Times"/>
                <w:sz w:val="20"/>
                <w:szCs w:val="20"/>
              </w:rPr>
              <w:t xml:space="preserve"> na zabezpečenie trvalej nepoužiteľnosti deaktivovaných strelných zbraní. Tieto znehodnotené zbrane budú na základe požiadavk</w:t>
            </w:r>
            <w:r w:rsidR="0063261C">
              <w:rPr>
                <w:rFonts w:ascii="Times" w:hAnsi="Times" w:cs="Times"/>
                <w:sz w:val="20"/>
                <w:szCs w:val="20"/>
              </w:rPr>
              <w:t>y smernice podliehať evidencii.</w:t>
            </w:r>
          </w:p>
          <w:p w:rsidR="0063261C" w:rsidRDefault="0063261C" w:rsidP="0063261C">
            <w:pPr>
              <w:jc w:val="both"/>
              <w:rPr>
                <w:rFonts w:ascii="Times" w:hAnsi="Times" w:cs="Times"/>
                <w:sz w:val="20"/>
                <w:szCs w:val="20"/>
              </w:rPr>
            </w:pPr>
          </w:p>
          <w:p w:rsidR="00662E64" w:rsidRDefault="00662E64" w:rsidP="0063261C">
            <w:pPr>
              <w:jc w:val="both"/>
              <w:rPr>
                <w:rFonts w:ascii="Times" w:hAnsi="Times" w:cs="Times"/>
                <w:sz w:val="20"/>
                <w:szCs w:val="20"/>
              </w:rPr>
            </w:pPr>
            <w:r>
              <w:rPr>
                <w:rFonts w:ascii="Times" w:hAnsi="Times" w:cs="Times"/>
                <w:sz w:val="20"/>
                <w:szCs w:val="20"/>
              </w:rPr>
              <w:t>Predloženým návrhom zákona sa zlepšujú prijaté legislatívne opatrenia na zamedzenie zneužívania strelných zbraní na trestnú činnosť a zároveň sa odstraňujú nedostatky, ktoré vyplynuli z aplikačnej praxe.</w:t>
            </w:r>
          </w:p>
        </w:tc>
      </w:tr>
      <w:tr w:rsidR="00662E64">
        <w:trPr>
          <w:divId w:val="10569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3.  Ciele a výsledný stav</w:t>
            </w:r>
          </w:p>
        </w:tc>
      </w:tr>
      <w:tr w:rsidR="00662E64">
        <w:trPr>
          <w:divId w:val="10569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3261C" w:rsidRDefault="00662E64" w:rsidP="0063261C">
            <w:pPr>
              <w:jc w:val="both"/>
              <w:rPr>
                <w:rFonts w:ascii="Times" w:hAnsi="Times" w:cs="Times"/>
                <w:sz w:val="20"/>
                <w:szCs w:val="20"/>
              </w:rPr>
            </w:pPr>
            <w:r>
              <w:rPr>
                <w:rFonts w:ascii="Times" w:hAnsi="Times" w:cs="Times"/>
                <w:sz w:val="20"/>
                <w:szCs w:val="20"/>
              </w:rPr>
              <w:t xml:space="preserve">Cieľom návrhu zákona je transpozícia smernice Európskeho parlamentu a Rady (EU) 2017/853 zo 17. mája 2017, ktorou sa mení smernica Rady 91/477/EHS o kontrole získavania a vlastnenia zbraní. </w:t>
            </w:r>
            <w:r>
              <w:rPr>
                <w:rFonts w:ascii="Times" w:hAnsi="Times" w:cs="Times"/>
                <w:sz w:val="20"/>
                <w:szCs w:val="20"/>
              </w:rPr>
              <w:br/>
              <w:t>Návrh zákona vymedzuje pojem sprostredkovateľská činnosť, ktorá podmieňuje povinnosť podania žiadosti o zbrojnú licenciu skupiny C v prípade vykonávania sprostredkovateľskej činnosti. Úprava reaguje na požiadavku smernice registrovať sprostredkovateľov a udeľovať im zbrojné licencie.</w:t>
            </w:r>
          </w:p>
          <w:p w:rsidR="0063261C" w:rsidRDefault="00662E64" w:rsidP="0063261C">
            <w:pPr>
              <w:jc w:val="both"/>
              <w:rPr>
                <w:rFonts w:ascii="Times" w:hAnsi="Times" w:cs="Times"/>
                <w:sz w:val="20"/>
                <w:szCs w:val="20"/>
              </w:rPr>
            </w:pPr>
            <w:r>
              <w:rPr>
                <w:rFonts w:ascii="Times" w:hAnsi="Times" w:cs="Times"/>
                <w:sz w:val="20"/>
                <w:szCs w:val="20"/>
              </w:rPr>
              <w:t xml:space="preserve">Medzi základné požiadavky smernice patrí ponechanie zbraní v pôvodnej kategórii, napriek vykonanej úprave, pričom sa touto úpravou dosialo zaradenie zbrane do nižšej kategórie. To znamená, že ak zakázaná zbraň zaradená v kategórii </w:t>
            </w:r>
            <w:r>
              <w:rPr>
                <w:rFonts w:ascii="Times" w:hAnsi="Times" w:cs="Times"/>
                <w:sz w:val="20"/>
                <w:szCs w:val="20"/>
              </w:rPr>
              <w:lastRenderedPageBreak/>
              <w:t xml:space="preserve">A prešla </w:t>
            </w:r>
            <w:r w:rsidR="0063261C">
              <w:rPr>
                <w:rFonts w:ascii="Times" w:hAnsi="Times" w:cs="Times"/>
                <w:sz w:val="20"/>
                <w:szCs w:val="20"/>
              </w:rPr>
              <w:t>úpravou napríklad do kategórie D</w:t>
            </w:r>
            <w:r>
              <w:rPr>
                <w:rFonts w:ascii="Times" w:hAnsi="Times" w:cs="Times"/>
                <w:sz w:val="20"/>
                <w:szCs w:val="20"/>
              </w:rPr>
              <w:t xml:space="preserve">, zostane v kategórii A. Do skupiny zbraní kategórie A (zakázané zbrane) sa dopĺňajú nové druhy zbraní, teda zbrane, ktoré je možné skrátiť bez použitia náradia, upravené zbrane kategórie A na expanznú zbraň, </w:t>
            </w:r>
            <w:proofErr w:type="spellStart"/>
            <w:r>
              <w:rPr>
                <w:rFonts w:ascii="Times" w:hAnsi="Times" w:cs="Times"/>
                <w:sz w:val="20"/>
                <w:szCs w:val="20"/>
              </w:rPr>
              <w:t>samonabíjacie</w:t>
            </w:r>
            <w:proofErr w:type="spellEnd"/>
            <w:r>
              <w:rPr>
                <w:rFonts w:ascii="Times" w:hAnsi="Times" w:cs="Times"/>
                <w:sz w:val="20"/>
                <w:szCs w:val="20"/>
              </w:rPr>
              <w:t xml:space="preserve"> zbrane upravené zo samočinnej zbrane (prechod z kategórie B do kategórie A), krátke a dlhé </w:t>
            </w:r>
            <w:proofErr w:type="spellStart"/>
            <w:r>
              <w:rPr>
                <w:rFonts w:ascii="Times" w:hAnsi="Times" w:cs="Times"/>
                <w:sz w:val="20"/>
                <w:szCs w:val="20"/>
              </w:rPr>
              <w:t>samonabíjacie</w:t>
            </w:r>
            <w:proofErr w:type="spellEnd"/>
            <w:r>
              <w:rPr>
                <w:rFonts w:ascii="Times" w:hAnsi="Times" w:cs="Times"/>
                <w:sz w:val="20"/>
                <w:szCs w:val="20"/>
              </w:rPr>
              <w:t xml:space="preserve"> zbrane vybavené veľkokapacitným zásobníkom (10, resp. 20 nábojov) a tiež krátke a dlhé opakovacie zbrane, do ktorých je vložený veľkokapacitný zásobník. Zmena v kategorizácií zbraní súvisí s požiadavkami na vydávanie výnimiek</w:t>
            </w:r>
            <w:r w:rsidR="0063261C">
              <w:rPr>
                <w:rFonts w:ascii="Times" w:hAnsi="Times" w:cs="Times"/>
                <w:sz w:val="20"/>
                <w:szCs w:val="20"/>
              </w:rPr>
              <w:t xml:space="preserve"> na držanie zbraní kategórie A.</w:t>
            </w:r>
          </w:p>
          <w:p w:rsidR="0063261C" w:rsidRDefault="00662E64" w:rsidP="0063261C">
            <w:pPr>
              <w:jc w:val="both"/>
              <w:rPr>
                <w:rFonts w:ascii="Times" w:hAnsi="Times" w:cs="Times"/>
                <w:sz w:val="20"/>
                <w:szCs w:val="20"/>
              </w:rPr>
            </w:pPr>
            <w:r>
              <w:rPr>
                <w:rFonts w:ascii="Times" w:hAnsi="Times" w:cs="Times"/>
                <w:sz w:val="20"/>
                <w:szCs w:val="20"/>
              </w:rPr>
              <w:t xml:space="preserve">V súvislosti s </w:t>
            </w:r>
            <w:proofErr w:type="spellStart"/>
            <w:r>
              <w:rPr>
                <w:rFonts w:ascii="Times" w:hAnsi="Times" w:cs="Times"/>
                <w:sz w:val="20"/>
                <w:szCs w:val="20"/>
              </w:rPr>
              <w:t>prekategorizáciou</w:t>
            </w:r>
            <w:proofErr w:type="spellEnd"/>
            <w:r>
              <w:rPr>
                <w:rFonts w:ascii="Times" w:hAnsi="Times" w:cs="Times"/>
                <w:sz w:val="20"/>
                <w:szCs w:val="20"/>
              </w:rPr>
              <w:t xml:space="preserve"> zbraní je nevyhnutné stanovenie ročného prechodného obdobia, počas ktorého budú držitelia týchto zbraní povinní požiadať o vydanie zbrojných preukazov, zbrojných licencií alebo zaevidovať zbrane, prípadne budú môcť tieto zbrane previesť na inú osobu, do vlastníctva štátu alebo ich znehodnotiť, zničiť alebo urobiť rez zbrane. Držiteľ zbrane, ktorý je držiteľom zbrojného preukazu alebo zbrojnej licencie, ktorá bola preradená do kategórie A je automaticky považovaný za držiteľa výnimky. Táto výnimka bude platiť až kým neprestane byť držiteľom platného zbrojného preukazu alebo zbrojnej licencie, prípadne do doby jej prevodu na inú osobu opráv</w:t>
            </w:r>
            <w:r w:rsidR="0063261C">
              <w:rPr>
                <w:rFonts w:ascii="Times" w:hAnsi="Times" w:cs="Times"/>
                <w:sz w:val="20"/>
                <w:szCs w:val="20"/>
              </w:rPr>
              <w:t>nenú na držanie takejto zbrane.</w:t>
            </w:r>
          </w:p>
          <w:p w:rsidR="0063261C" w:rsidRDefault="00662E64" w:rsidP="0063261C">
            <w:pPr>
              <w:jc w:val="both"/>
              <w:rPr>
                <w:rFonts w:ascii="Times" w:hAnsi="Times" w:cs="Times"/>
                <w:sz w:val="20"/>
                <w:szCs w:val="20"/>
              </w:rPr>
            </w:pPr>
            <w:r>
              <w:rPr>
                <w:rFonts w:ascii="Times" w:hAnsi="Times" w:cs="Times"/>
                <w:sz w:val="20"/>
                <w:szCs w:val="20"/>
              </w:rPr>
              <w:t>Smernica Európskeho parlamentu a Rady (EU) 2017/853 zo 17. mája 2017, ktorou sa mení smernica Rady 91/477/EHS o kontrole získavania a vlastnenia zbraní zmenou v prílohe 1 ruší zbrane kategórie D. Palné zbrane podľa smernice zaradené do zrušenej kategórie D sa presunuli do kategórie C. Niektoré zbrane neuvedené v smernici ale ostanú aj naďalej v kategórii D, avšak budú podliehať osobitnému režimu napr. povinnosti túto zbraň evidovať, pri trvalom vývoze a dovoze bude potrebné požiadať o vydanie zbrojného sprievodného listu a nebude ich možné nadobudnúť uzatvorením zmluvy na diaľku, čo bude v súlade s požiadavk</w:t>
            </w:r>
            <w:r w:rsidR="0063261C">
              <w:rPr>
                <w:rFonts w:ascii="Times" w:hAnsi="Times" w:cs="Times"/>
                <w:sz w:val="20"/>
                <w:szCs w:val="20"/>
              </w:rPr>
              <w:t>ami smernice.</w:t>
            </w:r>
          </w:p>
          <w:p w:rsidR="0063261C" w:rsidRDefault="00662E64" w:rsidP="0063261C">
            <w:pPr>
              <w:jc w:val="both"/>
              <w:rPr>
                <w:rFonts w:ascii="Times" w:hAnsi="Times" w:cs="Times"/>
                <w:sz w:val="20"/>
                <w:szCs w:val="20"/>
              </w:rPr>
            </w:pPr>
            <w:r>
              <w:rPr>
                <w:rFonts w:ascii="Times" w:hAnsi="Times" w:cs="Times"/>
                <w:sz w:val="20"/>
                <w:szCs w:val="20"/>
              </w:rPr>
              <w:t xml:space="preserve">Smernica ďalej stanovuje päťročný interval preskúmavania podmienok na udelenie výnimky a povolenia na držbu zbraní. Návrhom zákona sa bude zbrojný preukaz a zbrojná licencia vydávať s platnosťou na 5 rokov. </w:t>
            </w:r>
            <w:r>
              <w:rPr>
                <w:rFonts w:ascii="Times" w:hAnsi="Times" w:cs="Times"/>
                <w:sz w:val="20"/>
                <w:szCs w:val="20"/>
              </w:rPr>
              <w:br/>
              <w:t>V súvislosti so skrátením doby platnosti zbrojných licencií z neobmedzenej doby na dobu piatich rokov sa ustanovuje, že platnosť zbrojných licencií vydaných d</w:t>
            </w:r>
            <w:r w:rsidR="00707C3E">
              <w:rPr>
                <w:rFonts w:ascii="Times" w:hAnsi="Times" w:cs="Times"/>
                <w:sz w:val="20"/>
                <w:szCs w:val="20"/>
              </w:rPr>
              <w:t xml:space="preserve">o účinnosti tohto zákona končí </w:t>
            </w:r>
            <w:r>
              <w:rPr>
                <w:rFonts w:ascii="Times" w:hAnsi="Times" w:cs="Times"/>
                <w:sz w:val="20"/>
                <w:szCs w:val="20"/>
              </w:rPr>
              <w:t xml:space="preserve">1. </w:t>
            </w:r>
            <w:r w:rsidR="00707C3E">
              <w:rPr>
                <w:rFonts w:ascii="Times" w:hAnsi="Times" w:cs="Times"/>
                <w:sz w:val="20"/>
                <w:szCs w:val="20"/>
              </w:rPr>
              <w:t>august</w:t>
            </w:r>
            <w:r>
              <w:rPr>
                <w:rFonts w:ascii="Times" w:hAnsi="Times" w:cs="Times"/>
                <w:sz w:val="20"/>
                <w:szCs w:val="20"/>
              </w:rPr>
              <w:t>a 2026. Cieľom skrátenia lehoty na preverovanie podmienok získania povolenia je zabránenie riziku súvisiaceho s ochranou verejnej bezpečnosti a verejného poriadku. So skrátením lehoty na vydávanie zbrojných preukazov a zbrojných licencií súvisia aj zvýšené náklady na spotrebu čistopisov dokladov ako aj zvýšené náklady na ich výrobu.</w:t>
            </w:r>
            <w:r>
              <w:rPr>
                <w:rFonts w:ascii="Times" w:hAnsi="Times" w:cs="Times"/>
                <w:sz w:val="20"/>
                <w:szCs w:val="20"/>
              </w:rPr>
              <w:br/>
              <w:t>Smernica ďalej vyžaduje zriadenie elektronickej služby, prostredníctvom ktorej budú zaznamenávané informácie týkajúce sa strelných zbraní, ktoré sú potrebné na vysledovanie a identifikáciu zbraní od výrobcu až po nadobúdateľa s cieľom pomoci pri odhaľovaní, vyšetrovaní a analýze nedovolenej výroby a nedovole</w:t>
            </w:r>
            <w:r w:rsidR="0063261C">
              <w:rPr>
                <w:rFonts w:ascii="Times" w:hAnsi="Times" w:cs="Times"/>
                <w:sz w:val="20"/>
                <w:szCs w:val="20"/>
              </w:rPr>
              <w:t xml:space="preserve">ného obchodovania so zbraňami. </w:t>
            </w:r>
          </w:p>
          <w:p w:rsidR="0063261C" w:rsidRDefault="00662E64" w:rsidP="0063261C">
            <w:pPr>
              <w:jc w:val="both"/>
              <w:rPr>
                <w:rFonts w:ascii="Times" w:hAnsi="Times" w:cs="Times"/>
                <w:sz w:val="20"/>
                <w:szCs w:val="20"/>
              </w:rPr>
            </w:pPr>
            <w:r>
              <w:rPr>
                <w:rFonts w:ascii="Times" w:hAnsi="Times" w:cs="Times"/>
                <w:sz w:val="20"/>
                <w:szCs w:val="20"/>
              </w:rPr>
              <w:t xml:space="preserve">Problematika zbraní a streliva narastá nielen na európskom, ale i celosvetovom význame. V blízkej budúcnosti je potrebné naďalej rátať s rozvíjaním krokov Ministerstva vnútra Slovenskej republiky týkajúcich sa vybudovania nového Registra zbraní a streliva. V nadväznosti na požiadavky Smernice 2017/853 sú kreované aj projekty Európskej komisie a Úradu OSN pre drogy a kriminalitu (UNODC). Od členských štátov sa očakáva, že príslušné národné informačné systémy pre zbrane a strelivo budú dôsledne mapovať celý životný cyklus strelnej zbrane, jej hlavných častí, súčastí a streliva (dôležité pre UNODC- spolu s informáciami o ich zadržaní). </w:t>
            </w:r>
            <w:r>
              <w:rPr>
                <w:rFonts w:ascii="Times" w:hAnsi="Times" w:cs="Times"/>
                <w:sz w:val="20"/>
                <w:szCs w:val="20"/>
              </w:rPr>
              <w:br/>
              <w:t>Okrem uvedeného majú národné informačné systémy obsahovať všetky informácie o evidenčných úkonoch súvisiacich s evidenciou zbrane a streliva, informácie týkajúce sa držiteľov zbrojných preukazov, zbrojných preukazov ako takých, zbrojných licenciách, preukazoch zbrane, atď. a to v rozsahu, ktorý umožní efektívne zhotovovanie štatistických dát a následnú analýzu nielen pre potreby EÚ, ale i UNODC. Zároveň musia byť informačné systémy pripravené na rozširovanie svojich funkcionalít v závislosti od požiadaviek EU legislatívy, ktoré budú prijímané na základe výsledk</w:t>
            </w:r>
            <w:r w:rsidR="0063261C">
              <w:rPr>
                <w:rFonts w:ascii="Times" w:hAnsi="Times" w:cs="Times"/>
                <w:sz w:val="20"/>
                <w:szCs w:val="20"/>
              </w:rPr>
              <w:t>ov analýz materiálov ako sú:</w:t>
            </w:r>
          </w:p>
          <w:p w:rsidR="0063261C" w:rsidRDefault="00662E64" w:rsidP="0063261C">
            <w:pPr>
              <w:jc w:val="both"/>
              <w:rPr>
                <w:rFonts w:ascii="Times" w:hAnsi="Times" w:cs="Times"/>
                <w:sz w:val="20"/>
                <w:szCs w:val="20"/>
              </w:rPr>
            </w:pPr>
            <w:r>
              <w:rPr>
                <w:rFonts w:ascii="Times" w:hAnsi="Times" w:cs="Times"/>
                <w:sz w:val="20"/>
                <w:szCs w:val="20"/>
              </w:rPr>
              <w:t>- Správa o</w:t>
            </w:r>
            <w:r w:rsidR="0063261C">
              <w:rPr>
                <w:rFonts w:ascii="Times" w:hAnsi="Times" w:cs="Times"/>
                <w:sz w:val="20"/>
                <w:szCs w:val="20"/>
              </w:rPr>
              <w:t xml:space="preserve"> uplatňovaní smernice 2017/853 </w:t>
            </w:r>
          </w:p>
          <w:p w:rsidR="0063261C" w:rsidRDefault="00662E64" w:rsidP="0063261C">
            <w:pPr>
              <w:jc w:val="both"/>
              <w:rPr>
                <w:rFonts w:ascii="Times" w:hAnsi="Times" w:cs="Times"/>
                <w:sz w:val="20"/>
                <w:szCs w:val="20"/>
              </w:rPr>
            </w:pPr>
            <w:r>
              <w:rPr>
                <w:rFonts w:ascii="Times" w:hAnsi="Times" w:cs="Times"/>
                <w:sz w:val="20"/>
                <w:szCs w:val="20"/>
              </w:rPr>
              <w:t>- Globálna štúdia UNODC o obchodo</w:t>
            </w:r>
            <w:r w:rsidR="0063261C">
              <w:rPr>
                <w:rFonts w:ascii="Times" w:hAnsi="Times" w:cs="Times"/>
                <w:sz w:val="20"/>
                <w:szCs w:val="20"/>
              </w:rPr>
              <w:t>vaní so strelnými zbraňami 2020</w:t>
            </w:r>
          </w:p>
          <w:p w:rsidR="0063261C" w:rsidRDefault="00662E64" w:rsidP="0063261C">
            <w:pPr>
              <w:jc w:val="both"/>
              <w:rPr>
                <w:rFonts w:ascii="Times" w:hAnsi="Times" w:cs="Times"/>
                <w:sz w:val="20"/>
                <w:szCs w:val="20"/>
              </w:rPr>
            </w:pPr>
            <w:r>
              <w:rPr>
                <w:rFonts w:ascii="Times" w:hAnsi="Times" w:cs="Times"/>
                <w:sz w:val="20"/>
                <w:szCs w:val="20"/>
              </w:rPr>
              <w:t>- Akčný plán EÚ na boj proti nedovolenému obchodovaniu so strelnými zbraňami na roky 2020 – 2025</w:t>
            </w:r>
            <w:r>
              <w:rPr>
                <w:rFonts w:ascii="Times" w:hAnsi="Times" w:cs="Times"/>
                <w:sz w:val="20"/>
                <w:szCs w:val="20"/>
              </w:rPr>
              <w:br/>
              <w:t>- Správa platformy EMPACT (Európska multidisciplinárna platforma proti kriminálnym hrozbám). Ide o bezpečnostnú iniciatívu vedenú členskými štátmi EÚ za účelom identifikácie, stanovenia priorít a riešenia hrozieb organizovaného a zá</w:t>
            </w:r>
            <w:r w:rsidR="0063261C">
              <w:rPr>
                <w:rFonts w:ascii="Times" w:hAnsi="Times" w:cs="Times"/>
                <w:sz w:val="20"/>
                <w:szCs w:val="20"/>
              </w:rPr>
              <w:t>važného medzinárodného zločinu.</w:t>
            </w:r>
          </w:p>
          <w:p w:rsidR="0063261C" w:rsidRDefault="00662E64" w:rsidP="0063261C">
            <w:pPr>
              <w:jc w:val="both"/>
              <w:rPr>
                <w:rFonts w:ascii="Times" w:hAnsi="Times" w:cs="Times"/>
                <w:sz w:val="20"/>
                <w:szCs w:val="20"/>
              </w:rPr>
            </w:pPr>
            <w:r>
              <w:rPr>
                <w:rFonts w:ascii="Times" w:hAnsi="Times" w:cs="Times"/>
                <w:sz w:val="20"/>
                <w:szCs w:val="20"/>
              </w:rPr>
              <w:t>Posunom návrhu zákona v oblasti využívania elektronických služieb je tiež elektronizácia verejnej správy v rámci podnikateľského prostredia. Za tým účelom sa navrhuje zriadenie elektronickej služby Ministerstva vnútra Slovenskej republiky pre občanov a podnikateľov na úseku zbraní a streliva a členov Slovenskej poľovníckej komory, ktorá zabezpečí oprávneným subjektom v presne vymedzenom rozsahu prístup do informačného systému, ktorý zaznamená všetky informácie týkajúce sa strelných zbraní a ich držiteľov, ktoré sú potrebn</w:t>
            </w:r>
            <w:r w:rsidR="00707C3E">
              <w:rPr>
                <w:rFonts w:ascii="Times" w:hAnsi="Times" w:cs="Times"/>
                <w:sz w:val="20"/>
                <w:szCs w:val="20"/>
              </w:rPr>
              <w:t>é na ich evidenciu.</w:t>
            </w:r>
          </w:p>
          <w:p w:rsidR="0063261C" w:rsidRDefault="00662E64" w:rsidP="0063261C">
            <w:pPr>
              <w:jc w:val="both"/>
              <w:rPr>
                <w:rFonts w:ascii="Times" w:hAnsi="Times" w:cs="Times"/>
                <w:sz w:val="20"/>
                <w:szCs w:val="20"/>
              </w:rPr>
            </w:pPr>
            <w:r>
              <w:rPr>
                <w:rFonts w:ascii="Times" w:hAnsi="Times" w:cs="Times"/>
                <w:sz w:val="20"/>
                <w:szCs w:val="20"/>
              </w:rPr>
              <w:t xml:space="preserve">Návrhom zákona sa tiež reaguje na prijatie vykonávacieho nariadenia Komisie (EÚ) 2018/337 z 5. marca 2018, ktorým sa mení vykonávacie nariadenie (EÚ) 2015/2403, ktorým sa stanovujú spoločné usmernenia pre normy a techniky na </w:t>
            </w:r>
            <w:proofErr w:type="spellStart"/>
            <w:r>
              <w:rPr>
                <w:rFonts w:ascii="Times" w:hAnsi="Times" w:cs="Times"/>
                <w:sz w:val="20"/>
                <w:szCs w:val="20"/>
              </w:rPr>
              <w:t>deaktiváciu</w:t>
            </w:r>
            <w:proofErr w:type="spellEnd"/>
            <w:r>
              <w:rPr>
                <w:rFonts w:ascii="Times" w:hAnsi="Times" w:cs="Times"/>
                <w:sz w:val="20"/>
                <w:szCs w:val="20"/>
              </w:rPr>
              <w:t xml:space="preserve"> na zabezpečenie trvalej nepoužiteľnosti deaktivovaných strelných zbraní. Stanovuje sa postup pred a po znehodnotení zbrane a určujú sa orgány, ktoré overujú (ministerstvo vnútra, ministerstvom vnútra poverená osoba, iný overujúci subjekt na základe prijatej pomoci), či bolo znehodnotenie vykonané v súlade s nariadením. Ak bolo znehodnotenie vykonané v súlade s nariadením, overujúci subjekt vydá o tom osvedčenie.</w:t>
            </w:r>
            <w:r>
              <w:rPr>
                <w:rFonts w:ascii="Times" w:hAnsi="Times" w:cs="Times"/>
                <w:sz w:val="20"/>
                <w:szCs w:val="20"/>
              </w:rPr>
              <w:br/>
              <w:t>Návrhom zákona sa stanovujú dve ka</w:t>
            </w:r>
            <w:r w:rsidR="0063261C">
              <w:rPr>
                <w:rFonts w:ascii="Times" w:hAnsi="Times" w:cs="Times"/>
                <w:sz w:val="20"/>
                <w:szCs w:val="20"/>
              </w:rPr>
              <w:t xml:space="preserve">tegórie znehodnotených zbraní: </w:t>
            </w:r>
          </w:p>
          <w:p w:rsidR="0063261C" w:rsidRDefault="00662E64" w:rsidP="0063261C">
            <w:pPr>
              <w:jc w:val="both"/>
              <w:rPr>
                <w:rFonts w:ascii="Times" w:hAnsi="Times" w:cs="Times"/>
                <w:sz w:val="20"/>
                <w:szCs w:val="20"/>
              </w:rPr>
            </w:pPr>
            <w:r>
              <w:rPr>
                <w:rFonts w:ascii="Times" w:hAnsi="Times" w:cs="Times"/>
                <w:sz w:val="20"/>
                <w:szCs w:val="20"/>
              </w:rPr>
              <w:t xml:space="preserve">- zbrane znehodnotené podľa predpisov účinných pred účinnosťou nariadenia (technický postup pri znehodnocovaní </w:t>
            </w:r>
            <w:r>
              <w:rPr>
                <w:rFonts w:ascii="Times" w:hAnsi="Times" w:cs="Times"/>
                <w:sz w:val="20"/>
                <w:szCs w:val="20"/>
              </w:rPr>
              <w:lastRenderedPageBreak/>
              <w:t>týchto zbrane bol upravený vo vyhláške Úradu pre normalizáciu, metrológiu a skúšobníctvo Slovenskej republiky). Ak má byť táto zbraň prevedená do iného členského štátu alebo uvedená na trh sa držiteľovi zbrane, ktorá bola znehodnotená podľa predpisov účinných pred nariadením, ukladá povinnosť aby ju znehodnoti</w:t>
            </w:r>
            <w:r w:rsidR="0063261C">
              <w:rPr>
                <w:rFonts w:ascii="Times" w:hAnsi="Times" w:cs="Times"/>
                <w:sz w:val="20"/>
                <w:szCs w:val="20"/>
              </w:rPr>
              <w:t xml:space="preserve">l v súlade s týmto nariadením, </w:t>
            </w:r>
          </w:p>
          <w:p w:rsidR="0063261C" w:rsidRDefault="00662E64" w:rsidP="0063261C">
            <w:pPr>
              <w:jc w:val="both"/>
              <w:rPr>
                <w:rFonts w:ascii="Times" w:hAnsi="Times" w:cs="Times"/>
                <w:sz w:val="20"/>
                <w:szCs w:val="20"/>
              </w:rPr>
            </w:pPr>
            <w:r>
              <w:rPr>
                <w:rFonts w:ascii="Times" w:hAnsi="Times" w:cs="Times"/>
                <w:sz w:val="20"/>
                <w:szCs w:val="20"/>
              </w:rPr>
              <w:t xml:space="preserve">- zbrane </w:t>
            </w:r>
            <w:r w:rsidR="0063261C">
              <w:rPr>
                <w:rFonts w:ascii="Times" w:hAnsi="Times" w:cs="Times"/>
                <w:sz w:val="20"/>
                <w:szCs w:val="20"/>
              </w:rPr>
              <w:t xml:space="preserve">znehodnotené podľa nariadenia. </w:t>
            </w:r>
          </w:p>
          <w:p w:rsidR="00662E64" w:rsidRDefault="00662E64" w:rsidP="0063261C">
            <w:pPr>
              <w:jc w:val="both"/>
              <w:rPr>
                <w:rFonts w:ascii="Times" w:hAnsi="Times" w:cs="Times"/>
                <w:sz w:val="20"/>
                <w:szCs w:val="20"/>
              </w:rPr>
            </w:pPr>
            <w:r>
              <w:rPr>
                <w:rFonts w:ascii="Times" w:hAnsi="Times" w:cs="Times"/>
                <w:sz w:val="20"/>
                <w:szCs w:val="20"/>
              </w:rPr>
              <w:t xml:space="preserve">Požadovaným efektom bude evidencia takýchto zbraní a vydanie preukazov zbraní, ktoré ich držiteľ bude povinný mať pri manipulácii so zbraňou pri sebe. Pri zmene kategorizácie zbraní a povinnosti evidovať uvedené druhy zbraní vzniknú ďalšie náklady na zvýšenú spotrebu vydaných čistopisov dokladov (preukazy zbraní) a teda aj na ich výrobu. </w:t>
            </w:r>
          </w:p>
        </w:tc>
      </w:tr>
      <w:tr w:rsidR="00662E64">
        <w:trPr>
          <w:divId w:val="10569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lastRenderedPageBreak/>
              <w:t>  4.  Dotknuté subjekty</w:t>
            </w:r>
          </w:p>
        </w:tc>
      </w:tr>
      <w:tr w:rsidR="00662E64">
        <w:trPr>
          <w:divId w:val="10569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662E64" w:rsidP="00BB1C14">
            <w:pPr>
              <w:rPr>
                <w:rFonts w:ascii="Times" w:hAnsi="Times" w:cs="Times"/>
                <w:sz w:val="20"/>
                <w:szCs w:val="20"/>
              </w:rPr>
            </w:pPr>
            <w:r>
              <w:rPr>
                <w:rFonts w:ascii="Times" w:hAnsi="Times" w:cs="Times"/>
                <w:sz w:val="20"/>
                <w:szCs w:val="20"/>
              </w:rPr>
              <w:t>Návrh zákona sa bude týkať:</w:t>
            </w:r>
            <w:r>
              <w:rPr>
                <w:rFonts w:ascii="Times" w:hAnsi="Times" w:cs="Times"/>
                <w:sz w:val="20"/>
                <w:szCs w:val="20"/>
              </w:rPr>
              <w:br/>
              <w:t>1.) verejnosti - fyzické osoby, fyzické osoby - podnikatelia, právnické osoby,</w:t>
            </w:r>
            <w:r>
              <w:rPr>
                <w:rFonts w:ascii="Times" w:hAnsi="Times" w:cs="Times"/>
                <w:sz w:val="20"/>
                <w:szCs w:val="20"/>
              </w:rPr>
              <w:br/>
              <w:t>2.) odbornej verejnosti - držiteľ zbrojného preukazu, držiteľ zbrojnej licencie (fyzická osoba- podnikateľ, právnická osoba), zodpovedná osoba držiteľa zbrojnej licencie, športová organizácia, ktorej členom je držiteľ zbrojného preukazu, prevádzkovateľ strelnice, správca strelnice, osoba autorizovaná na výkon kontroly zbraní, podnikateľ prepravujúci zbrane a strelivo so sídlom alebo miestom podnikania na území alebo mimo územia Slovenskej republiky, Slovenská poľovnícka komora,</w:t>
            </w:r>
            <w:r>
              <w:rPr>
                <w:rFonts w:ascii="Times" w:hAnsi="Times" w:cs="Times"/>
                <w:sz w:val="20"/>
                <w:szCs w:val="20"/>
              </w:rPr>
              <w:br/>
              <w:t xml:space="preserve">3.) verejnej správy </w:t>
            </w:r>
            <w:r w:rsidR="00707C3E">
              <w:rPr>
                <w:rFonts w:ascii="Times" w:hAnsi="Times" w:cs="Times"/>
                <w:sz w:val="20"/>
                <w:szCs w:val="20"/>
              </w:rPr>
              <w:t>–</w:t>
            </w:r>
            <w:r>
              <w:rPr>
                <w:rFonts w:ascii="Times" w:hAnsi="Times" w:cs="Times"/>
                <w:sz w:val="20"/>
                <w:szCs w:val="20"/>
              </w:rPr>
              <w:t xml:space="preserve"> </w:t>
            </w:r>
            <w:r w:rsidR="00707C3E">
              <w:rPr>
                <w:rFonts w:ascii="Times" w:hAnsi="Times" w:cs="Times"/>
                <w:sz w:val="20"/>
                <w:szCs w:val="20"/>
              </w:rPr>
              <w:t>Ministerstvo vnútra Slovenskej republiky,</w:t>
            </w:r>
            <w:r w:rsidR="00BB1C14">
              <w:rPr>
                <w:rFonts w:ascii="Times" w:hAnsi="Times" w:cs="Times"/>
                <w:sz w:val="20"/>
                <w:szCs w:val="20"/>
              </w:rPr>
              <w:t xml:space="preserve"> </w:t>
            </w:r>
            <w:r>
              <w:rPr>
                <w:rFonts w:ascii="Times" w:hAnsi="Times" w:cs="Times"/>
                <w:sz w:val="20"/>
                <w:szCs w:val="20"/>
              </w:rPr>
              <w:t>Ministerstvo školstva</w:t>
            </w:r>
            <w:r w:rsidR="00BB1C14">
              <w:rPr>
                <w:rFonts w:ascii="Times" w:hAnsi="Times" w:cs="Times"/>
                <w:sz w:val="20"/>
                <w:szCs w:val="20"/>
              </w:rPr>
              <w:t>, vedy, výskumu a športu</w:t>
            </w:r>
            <w:r>
              <w:rPr>
                <w:rFonts w:ascii="Times" w:hAnsi="Times" w:cs="Times"/>
                <w:sz w:val="20"/>
                <w:szCs w:val="20"/>
              </w:rPr>
              <w:t xml:space="preserve"> Slovenskej republiky, Úrad pre normalizáciu, metrológiu a skúšobníctvo Slovenskej republiky.</w:t>
            </w:r>
          </w:p>
        </w:tc>
      </w:tr>
      <w:tr w:rsidR="00662E64">
        <w:trPr>
          <w:divId w:val="10569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5.  Alternatívne riešenia</w:t>
            </w:r>
          </w:p>
        </w:tc>
      </w:tr>
      <w:tr w:rsidR="00662E64">
        <w:trPr>
          <w:divId w:val="10569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Alternatívne riešenia neboli zvažované a teda nie sú predkladané. Ide o transpozíciu právneho predpisu Európskej únie do právneho poriadku Slovenskej republiky.</w:t>
            </w:r>
          </w:p>
        </w:tc>
      </w:tr>
      <w:tr w:rsidR="00662E64">
        <w:trPr>
          <w:divId w:val="10569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6.  Vykonávacie predpisy</w:t>
            </w:r>
          </w:p>
        </w:tc>
      </w:tr>
      <w:tr w:rsidR="00662E64">
        <w:trPr>
          <w:divId w:val="10569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Predpokladá sa zmena: a) vyhlášky Ministerstva vnútra Slovenskej republiky č. 555/2003 Z. z., ktorou sa vykonávajú niektoré ustanovenia zákona č. 190/2003 Z. z. o strelných zbraniach a strelive a o zmene a doplnení niektorých zákonov, b) vyhlášky Ministerstva vnútra Slovenskej republiky č. 208/2004 Z. z., ktorou sa ustanovuje vzor a náležitosti európskeho zbrojného pasu </w:t>
            </w:r>
          </w:p>
        </w:tc>
      </w:tr>
      <w:tr w:rsidR="00662E64">
        <w:trPr>
          <w:divId w:val="10569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xml:space="preserve">  7.  Transpozícia práva EÚ </w:t>
            </w:r>
          </w:p>
        </w:tc>
      </w:tr>
      <w:tr w:rsidR="00662E64">
        <w:trPr>
          <w:divId w:val="10569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 xml:space="preserve">Návrh zákona nerozširuje pôsobnosť smernice na subjekty nad rámec minimálnych požiadaviek smernice, ani </w:t>
            </w:r>
            <w:proofErr w:type="spellStart"/>
            <w:r>
              <w:rPr>
                <w:rFonts w:ascii="Times" w:hAnsi="Times" w:cs="Times"/>
                <w:sz w:val="20"/>
                <w:szCs w:val="20"/>
              </w:rPr>
              <w:t>nenavyšuje</w:t>
            </w:r>
            <w:proofErr w:type="spellEnd"/>
            <w:r>
              <w:rPr>
                <w:rFonts w:ascii="Times" w:hAnsi="Times" w:cs="Times"/>
                <w:sz w:val="20"/>
                <w:szCs w:val="20"/>
              </w:rPr>
              <w:t xml:space="preserve"> požiadavky smernice, t. j. nedochádza k efektu </w:t>
            </w:r>
            <w:proofErr w:type="spellStart"/>
            <w:r>
              <w:rPr>
                <w:rFonts w:ascii="Times" w:hAnsi="Times" w:cs="Times"/>
                <w:sz w:val="20"/>
                <w:szCs w:val="20"/>
              </w:rPr>
              <w:t>goldplatingu</w:t>
            </w:r>
            <w:proofErr w:type="spellEnd"/>
            <w:r>
              <w:rPr>
                <w:rFonts w:ascii="Times" w:hAnsi="Times" w:cs="Times"/>
                <w:sz w:val="20"/>
                <w:szCs w:val="20"/>
              </w:rPr>
              <w:t>.</w:t>
            </w:r>
          </w:p>
        </w:tc>
      </w:tr>
      <w:tr w:rsidR="00662E64">
        <w:trPr>
          <w:divId w:val="105696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8.  Preskúmanie účelnosti**</w:t>
            </w:r>
          </w:p>
        </w:tc>
      </w:tr>
      <w:tr w:rsidR="00662E64">
        <w:trPr>
          <w:divId w:val="105696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vyplniť iba v prípade, ak materiál nie je zahrnutý do Plánu práce vlády Slovenskej republiky alebo Plánu        legislatívnych ú</w:t>
      </w:r>
      <w:r w:rsidR="00707C3E">
        <w:rPr>
          <w:sz w:val="20"/>
          <w:szCs w:val="20"/>
        </w:rPr>
        <w:t>loh vlády Slovenskej republiky.</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662E64" w:rsidRDefault="00662E6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05"/>
        <w:gridCol w:w="1903"/>
        <w:gridCol w:w="1903"/>
        <w:gridCol w:w="1903"/>
      </w:tblGrid>
      <w:tr w:rsidR="00662E64">
        <w:trPr>
          <w:divId w:val="166350288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0"/>
                <w:szCs w:val="20"/>
              </w:rPr>
            </w:pPr>
            <w:r>
              <w:rPr>
                <w:rFonts w:ascii="Times" w:hAnsi="Times" w:cs="Times"/>
                <w:b/>
                <w:bCs/>
                <w:sz w:val="20"/>
                <w:szCs w:val="20"/>
              </w:rPr>
              <w:t>  9.   Vplyvy navrhovaného materiálu</w:t>
            </w:r>
          </w:p>
        </w:tc>
      </w:tr>
      <w:tr w:rsidR="00662E64">
        <w:trPr>
          <w:divId w:val="166350288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w:t>
            </w:r>
            <w:r w:rsidR="00707C3E">
              <w:rPr>
                <w:rFonts w:ascii="Times" w:hAnsi="Times" w:cs="Times"/>
                <w:sz w:val="20"/>
                <w:szCs w:val="20"/>
              </w:rPr>
              <w:t xml:space="preserve"> </w:t>
            </w:r>
            <w:r w:rsidR="00707C3E">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62E64">
        <w:trPr>
          <w:divId w:val="166350288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w:t>
            </w:r>
            <w:r w:rsidR="00011D6F">
              <w:rPr>
                <w:rFonts w:ascii="Times" w:hAnsi="Times" w:cs="Times"/>
                <w:sz w:val="20"/>
                <w:szCs w:val="20"/>
              </w:rPr>
              <w:t xml:space="preserve"> </w:t>
            </w:r>
            <w:r w:rsidR="00011D6F">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w:t>
            </w:r>
            <w:r w:rsidR="00707C3E">
              <w:rPr>
                <w:rFonts w:ascii="Times" w:hAnsi="Times" w:cs="Times"/>
                <w:sz w:val="20"/>
                <w:szCs w:val="20"/>
              </w:rPr>
              <w:t xml:space="preserve"> </w:t>
            </w:r>
            <w:r w:rsidR="00707C3E">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w:t>
            </w:r>
            <w:r w:rsidR="00011D6F">
              <w:rPr>
                <w:rFonts w:ascii="Times" w:hAnsi="Times" w:cs="Times"/>
                <w:sz w:val="20"/>
                <w:szCs w:val="20"/>
              </w:rPr>
              <w:t xml:space="preserve"> </w:t>
            </w:r>
            <w:r w:rsidR="00011D6F">
              <w:rPr>
                <w:rFonts w:ascii="Wingdings 2" w:hAnsi="Wingdings 2" w:cs="Times"/>
                <w:sz w:val="20"/>
                <w:szCs w:val="20"/>
              </w:rPr>
              <w:t></w:t>
            </w:r>
            <w:r>
              <w:rPr>
                <w:rFonts w:ascii="Times" w:hAnsi="Times" w:cs="Times"/>
                <w:sz w:val="20"/>
                <w:szCs w:val="20"/>
              </w:rPr>
              <w:t xml:space="preserve">   Čiastočne</w:t>
            </w:r>
          </w:p>
        </w:tc>
      </w:tr>
      <w:tr w:rsidR="00662E64">
        <w:trPr>
          <w:divId w:val="166350288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62E64">
        <w:trPr>
          <w:divId w:val="166350288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62E64">
        <w:trPr>
          <w:divId w:val="16635028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62E64">
        <w:trPr>
          <w:divId w:val="16635028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62E64">
        <w:trPr>
          <w:divId w:val="16635028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662E64">
        <w:trPr>
          <w:divId w:val="166350288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Negatívne</w:t>
            </w:r>
          </w:p>
        </w:tc>
      </w:tr>
      <w:tr w:rsidR="00662E64">
        <w:trPr>
          <w:divId w:val="166350288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662E64">
        <w:trPr>
          <w:divId w:val="16635028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62E64" w:rsidRDefault="00662E64">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62E64" w:rsidRDefault="00662E6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662E64" w:rsidRDefault="00662E6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514"/>
      </w:tblGrid>
      <w:tr w:rsidR="00662E64">
        <w:trPr>
          <w:divId w:val="660237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10.  Poznámky</w:t>
            </w:r>
          </w:p>
        </w:tc>
      </w:tr>
      <w:tr w:rsidR="00662E64">
        <w:trPr>
          <w:divId w:val="660237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974B39" w:rsidP="0045251D">
            <w:pPr>
              <w:pStyle w:val="Normlnywebov"/>
              <w:jc w:val="both"/>
              <w:rPr>
                <w:rFonts w:ascii="Times" w:hAnsi="Times" w:cs="Times"/>
                <w:sz w:val="20"/>
                <w:szCs w:val="20"/>
              </w:rPr>
            </w:pPr>
            <w:r w:rsidRPr="00974B39">
              <w:rPr>
                <w:rFonts w:ascii="Times" w:hAnsi="Times" w:cs="Times"/>
                <w:sz w:val="20"/>
                <w:szCs w:val="20"/>
              </w:rPr>
              <w:t xml:space="preserve">Návrh zákona si vyžaduje zvýšenie limitu finančných prostriedkov, ktoré </w:t>
            </w:r>
            <w:r>
              <w:rPr>
                <w:rFonts w:ascii="Times" w:hAnsi="Times" w:cs="Times"/>
                <w:sz w:val="20"/>
                <w:szCs w:val="20"/>
              </w:rPr>
              <w:t xml:space="preserve">bude potrebné zohľadniť </w:t>
            </w:r>
            <w:r w:rsidRPr="00974B39">
              <w:rPr>
                <w:rFonts w:ascii="Times" w:hAnsi="Times" w:cs="Times"/>
                <w:sz w:val="20"/>
                <w:szCs w:val="20"/>
              </w:rPr>
              <w:t>v návrhu rozpočtu verejnej správy na roky 2022 – 2024. Na základe uvedeného výdavky vypočítané v analýze vplyvov na rozpočet verejnej správy bude Ministerstvo vnútra  uplatňovať  prostredníctvom zvýšenia rozpočtu na rok 2022 - 2024 v rozpočtovej kapitole Ministerstva vnútra SR.</w:t>
            </w:r>
            <w:r w:rsidRPr="00FA7B6F">
              <w:rPr>
                <w:rFonts w:ascii="Times" w:hAnsi="Times" w:cs="Times"/>
                <w:sz w:val="20"/>
                <w:szCs w:val="20"/>
              </w:rPr>
              <w:t xml:space="preserve"> Vzniknuté náklady súvisia s nevyhnutnými úpravami informačného systému Ministerstva vnútra Slovenskej republiky</w:t>
            </w:r>
            <w:r>
              <w:rPr>
                <w:rFonts w:ascii="Times" w:hAnsi="Times" w:cs="Times"/>
                <w:sz w:val="20"/>
                <w:szCs w:val="20"/>
              </w:rPr>
              <w:t>.</w:t>
            </w:r>
          </w:p>
          <w:p w:rsidR="00BB1C14" w:rsidRDefault="00BB1C14" w:rsidP="00BB1C14">
            <w:pPr>
              <w:pStyle w:val="Normlnywebov"/>
              <w:jc w:val="both"/>
              <w:rPr>
                <w:rFonts w:ascii="Times" w:hAnsi="Times" w:cs="Times"/>
                <w:sz w:val="20"/>
                <w:szCs w:val="20"/>
              </w:rPr>
            </w:pPr>
            <w:r w:rsidRPr="00BB1C14">
              <w:rPr>
                <w:rFonts w:ascii="Times" w:hAnsi="Times" w:cs="Times"/>
                <w:sz w:val="20"/>
                <w:szCs w:val="20"/>
              </w:rPr>
              <w:t>Návrh bude vyžadovať zvýšenie limitu finančných prostriedkov (o cca 15.000 eur), ktoré nie sú zohľadnené v rozpočte kapitoly Ministerstva školstva, vedy, výskumu a športu SR</w:t>
            </w:r>
            <w:r>
              <w:rPr>
                <w:rFonts w:ascii="Times" w:hAnsi="Times" w:cs="Times"/>
                <w:sz w:val="20"/>
                <w:szCs w:val="20"/>
              </w:rPr>
              <w:t xml:space="preserve"> </w:t>
            </w:r>
            <w:r w:rsidRPr="00BB1C14">
              <w:rPr>
                <w:rFonts w:ascii="Times" w:hAnsi="Times" w:cs="Times"/>
                <w:sz w:val="20"/>
                <w:szCs w:val="20"/>
              </w:rPr>
              <w:t>na rok 2021 a ani v návrhu rozpočtu verejnej správy na roky 2021– 2024 a MŠVVaŠ SR nie je schopné zabezpečiť zvýšené výdavky v rámci vlastných rozpočtových zdrojov. Zvýšené náklady navrhovanej právnej úpravy tvorí vytvorenie API rozhrania na umožnenie čítania údajov informačného systému športu MV SR. Na základe uvedeného bude MŠVVaŠ SR uplatňovať výdavky spojené s vyššie uvedenými potrebami na MF SR formou zvýšeného rozpočtu rozpočtovej kapitoly MŠVVaŠ SR.</w:t>
            </w:r>
          </w:p>
        </w:tc>
      </w:tr>
      <w:tr w:rsidR="00662E64">
        <w:trPr>
          <w:divId w:val="660237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11.  Kontakt na spracovateľa</w:t>
            </w:r>
          </w:p>
        </w:tc>
      </w:tr>
      <w:tr w:rsidR="00662E64">
        <w:trPr>
          <w:divId w:val="660237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Ministerstvo vnútra Slovenskej republiky</w:t>
            </w:r>
            <w:r>
              <w:rPr>
                <w:rFonts w:ascii="Times" w:hAnsi="Times" w:cs="Times"/>
                <w:sz w:val="20"/>
                <w:szCs w:val="20"/>
              </w:rPr>
              <w:br/>
              <w:t>Prezídium Policajného zboru</w:t>
            </w:r>
            <w:r>
              <w:rPr>
                <w:rFonts w:ascii="Times" w:hAnsi="Times" w:cs="Times"/>
                <w:sz w:val="20"/>
                <w:szCs w:val="20"/>
              </w:rPr>
              <w:br/>
              <w:t xml:space="preserve">odbor dokladov a evidencií - pplk. Ing. Pavol </w:t>
            </w:r>
            <w:proofErr w:type="spellStart"/>
            <w:r>
              <w:rPr>
                <w:rFonts w:ascii="Times" w:hAnsi="Times" w:cs="Times"/>
                <w:sz w:val="20"/>
                <w:szCs w:val="20"/>
              </w:rPr>
              <w:t>Lališ</w:t>
            </w:r>
            <w:proofErr w:type="spellEnd"/>
            <w:r>
              <w:rPr>
                <w:rFonts w:ascii="Times" w:hAnsi="Times" w:cs="Times"/>
                <w:sz w:val="20"/>
                <w:szCs w:val="20"/>
              </w:rPr>
              <w:t>, DBA, LL.M,  e-mail: ode.ppz@minv.sk</w:t>
            </w:r>
          </w:p>
        </w:tc>
      </w:tr>
      <w:tr w:rsidR="00662E64">
        <w:trPr>
          <w:divId w:val="660237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12.  Zdroje</w:t>
            </w:r>
          </w:p>
        </w:tc>
      </w:tr>
      <w:tr w:rsidR="00662E64">
        <w:trPr>
          <w:divId w:val="66023786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Default="00662E64">
            <w:pPr>
              <w:rPr>
                <w:rFonts w:ascii="Times" w:hAnsi="Times" w:cs="Times"/>
                <w:sz w:val="20"/>
                <w:szCs w:val="20"/>
              </w:rPr>
            </w:pPr>
            <w:r>
              <w:rPr>
                <w:rFonts w:ascii="Times" w:hAnsi="Times" w:cs="Times"/>
                <w:sz w:val="20"/>
                <w:szCs w:val="20"/>
              </w:rPr>
              <w:t>Ministerstvo vnútra Slovenskej republiky pri vypracovaní doložky vybraných vplyvov vychádzalo z vlastných údajov a odhadov, odhadov štúdie zameranej na služby agendových informačných systémov MV SR.</w:t>
            </w:r>
          </w:p>
        </w:tc>
      </w:tr>
      <w:tr w:rsidR="00662E64">
        <w:trPr>
          <w:divId w:val="66023786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62E64" w:rsidRDefault="00662E64">
            <w:pPr>
              <w:rPr>
                <w:rFonts w:ascii="Times" w:hAnsi="Times" w:cs="Times"/>
                <w:b/>
                <w:bCs/>
                <w:sz w:val="22"/>
                <w:szCs w:val="22"/>
              </w:rPr>
            </w:pPr>
            <w:r>
              <w:rPr>
                <w:rFonts w:ascii="Times" w:hAnsi="Times" w:cs="Times"/>
                <w:b/>
                <w:bCs/>
                <w:sz w:val="22"/>
                <w:szCs w:val="22"/>
              </w:rPr>
              <w:t>  13.  Stanovisko Komisie pre posudzovanie vybraných vplyvov z PPK</w:t>
            </w:r>
          </w:p>
        </w:tc>
      </w:tr>
      <w:tr w:rsidR="00662E64">
        <w:trPr>
          <w:divId w:val="66023786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662E64" w:rsidRPr="00FA7B6F" w:rsidRDefault="00662E64" w:rsidP="0045251D">
            <w:pPr>
              <w:pStyle w:val="Normlnywebov"/>
              <w:jc w:val="both"/>
              <w:rPr>
                <w:rFonts w:ascii="Times" w:hAnsi="Times" w:cs="Times"/>
                <w:sz w:val="20"/>
                <w:szCs w:val="20"/>
              </w:rPr>
            </w:pPr>
            <w:r w:rsidRPr="00FA7B6F">
              <w:rPr>
                <w:rFonts w:ascii="Times" w:hAnsi="Times" w:cs="Times"/>
                <w:sz w:val="20"/>
                <w:szCs w:val="20"/>
              </w:rPr>
              <w:t>Stanovisko komisie (predbežné pripomienkové konanie) k návrhu zákona, ktorým sa mení a dopĺňa zákon  č.</w:t>
            </w:r>
            <w:r w:rsidR="0045251D">
              <w:rPr>
                <w:rFonts w:ascii="Times" w:hAnsi="Times" w:cs="Times"/>
                <w:sz w:val="20"/>
                <w:szCs w:val="20"/>
              </w:rPr>
              <w:t> </w:t>
            </w:r>
            <w:r w:rsidRPr="00FA7B6F">
              <w:rPr>
                <w:rFonts w:ascii="Times" w:hAnsi="Times" w:cs="Times"/>
                <w:sz w:val="20"/>
                <w:szCs w:val="20"/>
              </w:rPr>
              <w:t>190/2003 Z. z. o strelných zbraniach a strelive a o zmene a doplnení niektorých zákonov v znení neskorších predpisov a ktorým sa menia a dopĺňajú niektoré zákony.</w:t>
            </w:r>
          </w:p>
          <w:p w:rsidR="00662E64" w:rsidRPr="00FA7B6F" w:rsidRDefault="00662E64" w:rsidP="0045251D">
            <w:pPr>
              <w:pStyle w:val="Normlnywebov"/>
              <w:jc w:val="both"/>
              <w:rPr>
                <w:rFonts w:ascii="Times" w:hAnsi="Times" w:cs="Times"/>
                <w:sz w:val="20"/>
                <w:szCs w:val="20"/>
              </w:rPr>
            </w:pPr>
            <w:r w:rsidRPr="00FA7B6F">
              <w:rPr>
                <w:rFonts w:ascii="Times" w:hAnsi="Times" w:cs="Times"/>
                <w:sz w:val="20"/>
                <w:szCs w:val="20"/>
              </w:rPr>
              <w:t>I. Úvod: Ministerstvo vnútra Slovenskej republiky dňa 16. apríla 2018 predložilo Stálej pracovnej komisii na posudzovanie vybraných vplyvov (ďalej len „Komisia“) na predbežné pripomienkové konanie materiál „Návrh zákona, ktorým sa mení a dopĺňa zákon č. 190/2003 Z. z. o strelných zbraniach a strelive a o zmene a doplnení niektorých zákonov v znení neskorších predpisov a ktorým sa menia a dopĺňajú niektoré zákony“. Materiál predpokladá negatívne vplyvy na rozpočet verejnej správy, pozitívne vplyvy na informatizáciu, pozitívne vplyvy služieb verejnej správy na občana a pozitívne vplyvy na procesy služieb vo verejnej správe.</w:t>
            </w:r>
          </w:p>
          <w:p w:rsidR="00662E64" w:rsidRPr="00FA7B6F" w:rsidRDefault="00662E64" w:rsidP="0045251D">
            <w:pPr>
              <w:pStyle w:val="Normlnywebov"/>
              <w:jc w:val="both"/>
              <w:rPr>
                <w:rFonts w:ascii="Times" w:hAnsi="Times" w:cs="Times"/>
                <w:sz w:val="20"/>
                <w:szCs w:val="20"/>
              </w:rPr>
            </w:pPr>
            <w:r w:rsidRPr="00FA7B6F">
              <w:rPr>
                <w:rFonts w:ascii="Times" w:hAnsi="Times" w:cs="Times"/>
                <w:sz w:val="20"/>
                <w:szCs w:val="20"/>
              </w:rPr>
              <w:t>II. Pripomienky a návrhy zmien: Komisia uplatňuje k materiálu nasledovné pripomienky a odporúčania: K doložke vybraných vplyvov Komisia žiada predkladateľa o vyznačenie pozitívneho vplyvu na podnikateľské prostredie, vrátane MSP v bode 9 v doložke vybraných vplyvov. Tým by došlo k zosúladeniu tvrdení predkladateľa, nakoľko v bode 3 uvádza, že: „U podnikateľských subjektov sa predpokladá zníženie nákladov a úspory času na vybavovanie úkonov súvisiacich s povinnosťami držiteľa zbrojnej licencie, prevádzkovateľa strelnice, usporiadateľa verejného vystavovania zbraní a streliva.“ V súvislosti s uvedeným Komisia zároveň žiada predkladateľa o vypracovanie a priloženie Analýzy vplyvov na podnikateľské prostredie. V predloženej doložke vybraných vplyvov je potrebné uviesť aj povinné informácie v bode 5. Alternatívne riešenia, a to v súlade s obsahovými požiadavkami doložky vybraných vplyvov upravenými v časti II. Jednotnej metodiky na posudzovanie vybraných vplyvov. K vplyvom na rozpočet verejnej správy materiál zakladá rozpočtovo nekrytý vplyv na rozpočet verejnej správy na roky 2018 až 2020, pričom Ministerstvo vnútra SR uvádza, že predmetné výdavky bude uplatňovať rozpočtovou úpravou na rok 2018 a v rámci procesu prípravy rozpočtu verejnej správy na roky 2019 až 2021. S týmto rozpočtovo nekrytým vplyvom MF SR nesúhlasí. Všetky predmetné výdavky MF SR žiada zabezpečiť v rámci schválených limitov kapitoly Ministerstva vnútra SR na príslušný rozpočtový rok, bez dodatočných požiadaviek na štátny rozpočet. K analýze vplyvov na služby verejnej správy pre občana Komisia navrhuje predkladateľovi v bode 7.2.1 Náklady uviesť ako dotknuté subjekty aj občanov (fyzické osoby nepodnikatelia), keďže táto analýza sa týka primárne občanov.</w:t>
            </w:r>
          </w:p>
          <w:p w:rsidR="00662E64" w:rsidRPr="00FA7B6F" w:rsidRDefault="00662E64">
            <w:pPr>
              <w:pStyle w:val="Normlnywebov"/>
              <w:rPr>
                <w:rFonts w:ascii="Times" w:hAnsi="Times" w:cs="Times"/>
                <w:sz w:val="20"/>
                <w:szCs w:val="20"/>
              </w:rPr>
            </w:pPr>
            <w:r w:rsidRPr="00FA7B6F">
              <w:rPr>
                <w:rFonts w:ascii="Times" w:hAnsi="Times" w:cs="Times"/>
                <w:sz w:val="20"/>
                <w:szCs w:val="20"/>
              </w:rPr>
              <w:t>V bode 7.2.4 Komisia navrhuje predkladateľovi uviesť vznikajúce nové povinnosti niektorým držiteľom zbrane, ktoré vyplývajú z ustanovenia § 72i ods. 2, 4 a 6.</w:t>
            </w:r>
          </w:p>
          <w:p w:rsidR="00662E64" w:rsidRPr="00FA7B6F" w:rsidRDefault="00662E64" w:rsidP="0045251D">
            <w:pPr>
              <w:pStyle w:val="Normlnywebov"/>
              <w:jc w:val="both"/>
              <w:rPr>
                <w:rFonts w:ascii="Times" w:hAnsi="Times" w:cs="Times"/>
                <w:sz w:val="20"/>
                <w:szCs w:val="20"/>
              </w:rPr>
            </w:pPr>
            <w:r w:rsidRPr="00FA7B6F">
              <w:rPr>
                <w:rFonts w:ascii="Times" w:hAnsi="Times" w:cs="Times"/>
                <w:sz w:val="20"/>
                <w:szCs w:val="20"/>
              </w:rPr>
              <w:t>III. Záver: Stála pracovná komisia na posudzovanie vybraných vplyvov vyjadruje nesúhlasné stanovisko s materiálom predloženým na predbežné pripomienkové konanie s odporúčaním na jeho dopracovanie podľa pripomienok v bode II.</w:t>
            </w:r>
          </w:p>
          <w:p w:rsidR="00662E64" w:rsidRDefault="00662E64" w:rsidP="0045251D">
            <w:pPr>
              <w:jc w:val="both"/>
              <w:rPr>
                <w:rFonts w:ascii="Times" w:hAnsi="Times" w:cs="Times"/>
                <w:sz w:val="20"/>
                <w:szCs w:val="20"/>
              </w:rPr>
            </w:pPr>
            <w:r>
              <w:rPr>
                <w:rFonts w:ascii="Times" w:hAnsi="Times" w:cs="Times"/>
                <w:sz w:val="20"/>
                <w:szCs w:val="20"/>
              </w:rPr>
              <w:lastRenderedPageBreak/>
              <w:t>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w:t>
            </w:r>
          </w:p>
        </w:tc>
      </w:tr>
    </w:tbl>
    <w:p w:rsidR="009D2F13" w:rsidRDefault="009D2F13" w:rsidP="00543B8E">
      <w:pPr>
        <w:pStyle w:val="Normlnywebov"/>
        <w:spacing w:before="0" w:beforeAutospacing="0" w:after="0" w:afterAutospacing="0"/>
        <w:rPr>
          <w:bCs/>
          <w:sz w:val="20"/>
          <w:szCs w:val="20"/>
        </w:rPr>
      </w:pPr>
    </w:p>
    <w:p w:rsidR="009D2F13" w:rsidRDefault="009D2F13">
      <w:pPr>
        <w:spacing w:after="200" w:line="276" w:lineRule="auto"/>
        <w:rPr>
          <w:bCs/>
          <w:sz w:val="20"/>
          <w:szCs w:val="20"/>
        </w:rPr>
      </w:pPr>
      <w:r>
        <w:rPr>
          <w:bCs/>
          <w:sz w:val="20"/>
          <w:szCs w:val="20"/>
        </w:rPr>
        <w:br w:type="page"/>
      </w:r>
    </w:p>
    <w:p w:rsidR="009D2F13" w:rsidRPr="009D2F13" w:rsidRDefault="009D2F13" w:rsidP="009D2F13">
      <w:pPr>
        <w:jc w:val="center"/>
        <w:rPr>
          <w:b/>
          <w:bCs/>
          <w:sz w:val="28"/>
          <w:szCs w:val="28"/>
        </w:rPr>
      </w:pPr>
      <w:r w:rsidRPr="009D2F13">
        <w:rPr>
          <w:b/>
          <w:bCs/>
          <w:sz w:val="28"/>
          <w:szCs w:val="28"/>
        </w:rPr>
        <w:lastRenderedPageBreak/>
        <w:t>Analýza vplyvov na rozpočet verejnej správy</w:t>
      </w:r>
    </w:p>
    <w:p w:rsidR="009D2F13" w:rsidRPr="009D2F13" w:rsidRDefault="009D2F13" w:rsidP="009D2F13">
      <w:pPr>
        <w:jc w:val="right"/>
        <w:rPr>
          <w:b/>
          <w:bCs/>
        </w:rPr>
      </w:pPr>
    </w:p>
    <w:p w:rsidR="009D2F13" w:rsidRPr="009D2F13" w:rsidRDefault="009D2F13" w:rsidP="009D2F13">
      <w:pPr>
        <w:rPr>
          <w:b/>
          <w:bCs/>
        </w:rPr>
      </w:pPr>
    </w:p>
    <w:p w:rsidR="009D2F13" w:rsidRPr="009D2F13" w:rsidRDefault="009D2F13" w:rsidP="009D2F13">
      <w:pPr>
        <w:rPr>
          <w:b/>
          <w:bCs/>
        </w:rPr>
      </w:pPr>
      <w:r w:rsidRPr="009D2F13">
        <w:rPr>
          <w:b/>
          <w:bCs/>
        </w:rPr>
        <w:t>2.1 Zhrnutie vplyvov na rozpočet verejnej správy v návrhu</w:t>
      </w:r>
    </w:p>
    <w:p w:rsidR="009D2F13" w:rsidRPr="009D2F13" w:rsidRDefault="009D2F13" w:rsidP="009D2F13">
      <w:pPr>
        <w:jc w:val="right"/>
        <w:rPr>
          <w:sz w:val="20"/>
          <w:szCs w:val="20"/>
        </w:rPr>
      </w:pPr>
    </w:p>
    <w:p w:rsidR="009D2F13" w:rsidRPr="009D2F13" w:rsidRDefault="009D2F13" w:rsidP="009D2F13">
      <w:pPr>
        <w:jc w:val="right"/>
        <w:rPr>
          <w:sz w:val="20"/>
          <w:szCs w:val="20"/>
        </w:rPr>
      </w:pPr>
      <w:r w:rsidRPr="009D2F13">
        <w:rPr>
          <w:sz w:val="20"/>
          <w:szCs w:val="20"/>
        </w:rPr>
        <w:t xml:space="preserve">Tabuľka č. 1 </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197"/>
        <w:gridCol w:w="1337"/>
        <w:gridCol w:w="1525"/>
        <w:gridCol w:w="1310"/>
      </w:tblGrid>
      <w:tr w:rsidR="009D2F13" w:rsidRPr="009D2F13" w:rsidTr="009D2F13">
        <w:trPr>
          <w:cantSplit/>
          <w:trHeight w:val="194"/>
          <w:jc w:val="center"/>
        </w:trPr>
        <w:tc>
          <w:tcPr>
            <w:tcW w:w="4661" w:type="dxa"/>
            <w:vMerge w:val="restart"/>
            <w:shd w:val="clear" w:color="auto" w:fill="BFBFBF"/>
            <w:vAlign w:val="center"/>
          </w:tcPr>
          <w:p w:rsidR="009D2F13" w:rsidRPr="009D2F13" w:rsidRDefault="009D2F13" w:rsidP="009D2F13">
            <w:pPr>
              <w:jc w:val="center"/>
              <w:rPr>
                <w:b/>
                <w:bCs/>
              </w:rPr>
            </w:pPr>
            <w:bookmarkStart w:id="0" w:name="OLE_LINK1"/>
            <w:r w:rsidRPr="009D2F13">
              <w:rPr>
                <w:b/>
                <w:bCs/>
              </w:rPr>
              <w:t>Vplyvy na rozpočet verejnej správy</w:t>
            </w:r>
          </w:p>
        </w:tc>
        <w:tc>
          <w:tcPr>
            <w:tcW w:w="5369" w:type="dxa"/>
            <w:gridSpan w:val="4"/>
            <w:shd w:val="clear" w:color="auto" w:fill="BFBFBF"/>
            <w:vAlign w:val="center"/>
          </w:tcPr>
          <w:p w:rsidR="009D2F13" w:rsidRPr="009D2F13" w:rsidRDefault="009D2F13" w:rsidP="009D2F13">
            <w:pPr>
              <w:jc w:val="center"/>
              <w:rPr>
                <w:b/>
                <w:bCs/>
              </w:rPr>
            </w:pPr>
            <w:r w:rsidRPr="009D2F13">
              <w:rPr>
                <w:b/>
                <w:bCs/>
              </w:rPr>
              <w:t>Vplyv na rozpočet verejnej správy (v eurách)</w:t>
            </w:r>
          </w:p>
        </w:tc>
      </w:tr>
      <w:bookmarkEnd w:id="0"/>
      <w:tr w:rsidR="009D2F13" w:rsidRPr="009D2F13" w:rsidTr="009D2F13">
        <w:trPr>
          <w:cantSplit/>
          <w:trHeight w:val="70"/>
          <w:jc w:val="center"/>
        </w:trPr>
        <w:tc>
          <w:tcPr>
            <w:tcW w:w="4661" w:type="dxa"/>
            <w:vMerge/>
            <w:shd w:val="clear" w:color="auto" w:fill="BFBFBF"/>
            <w:vAlign w:val="center"/>
          </w:tcPr>
          <w:p w:rsidR="009D2F13" w:rsidRPr="009D2F13" w:rsidRDefault="009D2F13" w:rsidP="009D2F13">
            <w:pPr>
              <w:jc w:val="center"/>
              <w:rPr>
                <w:b/>
                <w:bCs/>
              </w:rPr>
            </w:pPr>
          </w:p>
        </w:tc>
        <w:tc>
          <w:tcPr>
            <w:tcW w:w="1197" w:type="dxa"/>
            <w:shd w:val="clear" w:color="auto" w:fill="BFBFBF"/>
            <w:vAlign w:val="center"/>
          </w:tcPr>
          <w:p w:rsidR="009D2F13" w:rsidRPr="009D2F13" w:rsidRDefault="009D2F13" w:rsidP="009D2F13">
            <w:pPr>
              <w:jc w:val="center"/>
              <w:rPr>
                <w:b/>
                <w:bCs/>
              </w:rPr>
            </w:pPr>
            <w:r w:rsidRPr="009D2F13">
              <w:rPr>
                <w:b/>
                <w:bCs/>
              </w:rPr>
              <w:t>2021</w:t>
            </w:r>
          </w:p>
        </w:tc>
        <w:tc>
          <w:tcPr>
            <w:tcW w:w="1337" w:type="dxa"/>
            <w:shd w:val="clear" w:color="auto" w:fill="BFBFBF"/>
            <w:vAlign w:val="center"/>
          </w:tcPr>
          <w:p w:rsidR="009D2F13" w:rsidRPr="009D2F13" w:rsidRDefault="009D2F13" w:rsidP="009D2F13">
            <w:pPr>
              <w:jc w:val="center"/>
              <w:rPr>
                <w:b/>
                <w:bCs/>
              </w:rPr>
            </w:pPr>
            <w:r w:rsidRPr="009D2F13">
              <w:rPr>
                <w:b/>
                <w:bCs/>
              </w:rPr>
              <w:t>2022</w:t>
            </w:r>
          </w:p>
        </w:tc>
        <w:tc>
          <w:tcPr>
            <w:tcW w:w="1525" w:type="dxa"/>
            <w:shd w:val="clear" w:color="auto" w:fill="BFBFBF"/>
            <w:vAlign w:val="center"/>
          </w:tcPr>
          <w:p w:rsidR="009D2F13" w:rsidRPr="009D2F13" w:rsidRDefault="009D2F13" w:rsidP="009D2F13">
            <w:pPr>
              <w:jc w:val="center"/>
              <w:rPr>
                <w:b/>
                <w:bCs/>
              </w:rPr>
            </w:pPr>
            <w:r w:rsidRPr="009D2F13">
              <w:rPr>
                <w:b/>
                <w:bCs/>
              </w:rPr>
              <w:t>2023</w:t>
            </w:r>
          </w:p>
        </w:tc>
        <w:tc>
          <w:tcPr>
            <w:tcW w:w="1310" w:type="dxa"/>
            <w:shd w:val="clear" w:color="auto" w:fill="BFBFBF"/>
          </w:tcPr>
          <w:p w:rsidR="009D2F13" w:rsidRPr="009D2F13" w:rsidRDefault="009D2F13" w:rsidP="009D2F13">
            <w:pPr>
              <w:jc w:val="center"/>
              <w:rPr>
                <w:b/>
                <w:bCs/>
              </w:rPr>
            </w:pPr>
            <w:r w:rsidRPr="009D2F13">
              <w:rPr>
                <w:b/>
                <w:bCs/>
              </w:rPr>
              <w:t>2024</w:t>
            </w:r>
          </w:p>
        </w:tc>
      </w:tr>
      <w:tr w:rsidR="009D2F13" w:rsidRPr="009D2F13" w:rsidTr="0096653D">
        <w:trPr>
          <w:trHeight w:val="70"/>
          <w:jc w:val="center"/>
        </w:trPr>
        <w:tc>
          <w:tcPr>
            <w:tcW w:w="4661" w:type="dxa"/>
            <w:shd w:val="clear" w:color="auto" w:fill="C0C0C0"/>
            <w:noWrap/>
            <w:vAlign w:val="center"/>
          </w:tcPr>
          <w:p w:rsidR="009D2F13" w:rsidRPr="009D2F13" w:rsidRDefault="009D2F13" w:rsidP="009D2F13">
            <w:r w:rsidRPr="009D2F13">
              <w:rPr>
                <w:b/>
                <w:bCs/>
              </w:rPr>
              <w:t>Príjmy verejnej správy celkom</w:t>
            </w:r>
          </w:p>
        </w:tc>
        <w:tc>
          <w:tcPr>
            <w:tcW w:w="1197" w:type="dxa"/>
            <w:shd w:val="clear" w:color="auto" w:fill="C0C0C0"/>
            <w:vAlign w:val="center"/>
          </w:tcPr>
          <w:p w:rsidR="009D2F13" w:rsidRPr="009D2F13" w:rsidRDefault="009D2F13" w:rsidP="009D2F13">
            <w:pPr>
              <w:jc w:val="right"/>
              <w:rPr>
                <w:b/>
                <w:bCs/>
              </w:rPr>
            </w:pPr>
            <w:r w:rsidRPr="009D2F13">
              <w:rPr>
                <w:b/>
                <w:bCs/>
              </w:rPr>
              <w:t>0</w:t>
            </w:r>
          </w:p>
        </w:tc>
        <w:tc>
          <w:tcPr>
            <w:tcW w:w="1337" w:type="dxa"/>
            <w:shd w:val="clear" w:color="auto" w:fill="C0C0C0"/>
            <w:vAlign w:val="center"/>
          </w:tcPr>
          <w:p w:rsidR="009D2F13" w:rsidRPr="009D2F13" w:rsidRDefault="009D2F13" w:rsidP="009D2F13">
            <w:pPr>
              <w:jc w:val="right"/>
              <w:rPr>
                <w:b/>
                <w:bCs/>
              </w:rPr>
            </w:pPr>
            <w:r w:rsidRPr="009D2F13">
              <w:rPr>
                <w:b/>
                <w:bCs/>
              </w:rPr>
              <w:t>0</w:t>
            </w:r>
          </w:p>
        </w:tc>
        <w:tc>
          <w:tcPr>
            <w:tcW w:w="1525" w:type="dxa"/>
            <w:shd w:val="clear" w:color="auto" w:fill="C0C0C0"/>
            <w:vAlign w:val="center"/>
          </w:tcPr>
          <w:p w:rsidR="009D2F13" w:rsidRPr="009D2F13" w:rsidRDefault="009D2F13" w:rsidP="009D2F13">
            <w:pPr>
              <w:jc w:val="right"/>
              <w:rPr>
                <w:b/>
                <w:bCs/>
              </w:rPr>
            </w:pPr>
            <w:r w:rsidRPr="009D2F13">
              <w:rPr>
                <w:b/>
                <w:bCs/>
              </w:rPr>
              <w:t>0</w:t>
            </w:r>
          </w:p>
        </w:tc>
        <w:tc>
          <w:tcPr>
            <w:tcW w:w="1310" w:type="dxa"/>
            <w:shd w:val="clear" w:color="auto" w:fill="C0C0C0"/>
          </w:tcPr>
          <w:p w:rsidR="009D2F13" w:rsidRPr="009D2F13" w:rsidRDefault="009D2F13" w:rsidP="009D2F13">
            <w:pPr>
              <w:jc w:val="right"/>
              <w:rPr>
                <w:b/>
                <w:bCs/>
              </w:rPr>
            </w:pPr>
            <w:r w:rsidRPr="009D2F13">
              <w:rPr>
                <w:b/>
                <w:bCs/>
              </w:rPr>
              <w:t>0</w:t>
            </w:r>
          </w:p>
        </w:tc>
      </w:tr>
      <w:tr w:rsidR="009D2F13" w:rsidRPr="009D2F13" w:rsidTr="0096653D">
        <w:trPr>
          <w:trHeight w:val="132"/>
          <w:jc w:val="center"/>
        </w:trPr>
        <w:tc>
          <w:tcPr>
            <w:tcW w:w="4661" w:type="dxa"/>
            <w:noWrap/>
            <w:vAlign w:val="center"/>
          </w:tcPr>
          <w:p w:rsidR="009D2F13" w:rsidRPr="009D2F13" w:rsidRDefault="009D2F13" w:rsidP="009D2F13">
            <w:r w:rsidRPr="009D2F13">
              <w:t>v tom: za každý subjekt verejnej správy zvlášť</w:t>
            </w:r>
          </w:p>
        </w:tc>
        <w:tc>
          <w:tcPr>
            <w:tcW w:w="1197" w:type="dxa"/>
            <w:noWrap/>
            <w:vAlign w:val="center"/>
          </w:tcPr>
          <w:p w:rsidR="009D2F13" w:rsidRPr="009D2F13" w:rsidRDefault="009D2F13" w:rsidP="009D2F13">
            <w:pPr>
              <w:jc w:val="right"/>
            </w:pPr>
            <w:r w:rsidRPr="009D2F13">
              <w:t>0</w:t>
            </w:r>
          </w:p>
        </w:tc>
        <w:tc>
          <w:tcPr>
            <w:tcW w:w="1337" w:type="dxa"/>
            <w:noWrap/>
            <w:vAlign w:val="center"/>
          </w:tcPr>
          <w:p w:rsidR="009D2F13" w:rsidRPr="009D2F13" w:rsidRDefault="009D2F13" w:rsidP="009D2F13">
            <w:pPr>
              <w:jc w:val="right"/>
            </w:pPr>
            <w:r w:rsidRPr="009D2F13">
              <w:t>0</w:t>
            </w:r>
          </w:p>
        </w:tc>
        <w:tc>
          <w:tcPr>
            <w:tcW w:w="1525" w:type="dxa"/>
            <w:noWrap/>
            <w:vAlign w:val="center"/>
          </w:tcPr>
          <w:p w:rsidR="009D2F13" w:rsidRPr="009D2F13" w:rsidRDefault="009D2F13" w:rsidP="009D2F13">
            <w:pPr>
              <w:jc w:val="right"/>
            </w:pPr>
            <w:r w:rsidRPr="009D2F13">
              <w:t>0</w:t>
            </w:r>
          </w:p>
        </w:tc>
        <w:tc>
          <w:tcPr>
            <w:tcW w:w="1310" w:type="dxa"/>
          </w:tcPr>
          <w:p w:rsidR="009D2F13" w:rsidRPr="009D2F13" w:rsidRDefault="009D2F13" w:rsidP="009D2F13">
            <w:pPr>
              <w:jc w:val="right"/>
            </w:pPr>
            <w:r w:rsidRPr="009D2F13">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xml:space="preserve">z toho:  </w:t>
            </w:r>
          </w:p>
        </w:tc>
        <w:tc>
          <w:tcPr>
            <w:tcW w:w="1197" w:type="dxa"/>
            <w:noWrap/>
            <w:vAlign w:val="center"/>
          </w:tcPr>
          <w:p w:rsidR="009D2F13" w:rsidRPr="009D2F13" w:rsidRDefault="009D2F13" w:rsidP="009D2F13">
            <w:pPr>
              <w:jc w:val="right"/>
              <w:rPr>
                <w:b/>
                <w:bCs/>
                <w:iCs/>
              </w:rPr>
            </w:pPr>
          </w:p>
        </w:tc>
        <w:tc>
          <w:tcPr>
            <w:tcW w:w="1337" w:type="dxa"/>
            <w:noWrap/>
            <w:vAlign w:val="center"/>
          </w:tcPr>
          <w:p w:rsidR="009D2F13" w:rsidRPr="009D2F13" w:rsidRDefault="009D2F13" w:rsidP="009D2F13">
            <w:pPr>
              <w:jc w:val="right"/>
              <w:rPr>
                <w:b/>
                <w:bCs/>
                <w:iCs/>
              </w:rPr>
            </w:pPr>
          </w:p>
        </w:tc>
        <w:tc>
          <w:tcPr>
            <w:tcW w:w="1525" w:type="dxa"/>
            <w:noWrap/>
            <w:vAlign w:val="center"/>
          </w:tcPr>
          <w:p w:rsidR="009D2F13" w:rsidRPr="009D2F13" w:rsidRDefault="009D2F13" w:rsidP="009D2F13">
            <w:pPr>
              <w:jc w:val="right"/>
              <w:rPr>
                <w:b/>
                <w:bCs/>
                <w:iCs/>
              </w:rPr>
            </w:pPr>
          </w:p>
        </w:tc>
        <w:tc>
          <w:tcPr>
            <w:tcW w:w="1310" w:type="dxa"/>
          </w:tcPr>
          <w:p w:rsidR="009D2F13" w:rsidRPr="009D2F13" w:rsidRDefault="009D2F13" w:rsidP="009D2F13">
            <w:pPr>
              <w:jc w:val="right"/>
              <w:rPr>
                <w:b/>
                <w:bCs/>
                <w:iCs/>
              </w:rPr>
            </w:pPr>
          </w:p>
        </w:tc>
      </w:tr>
      <w:tr w:rsidR="009D2F13" w:rsidRPr="009D2F13" w:rsidTr="0096653D">
        <w:trPr>
          <w:trHeight w:val="125"/>
          <w:jc w:val="center"/>
        </w:trPr>
        <w:tc>
          <w:tcPr>
            <w:tcW w:w="4661" w:type="dxa"/>
            <w:noWrap/>
            <w:vAlign w:val="center"/>
          </w:tcPr>
          <w:p w:rsidR="009D2F13" w:rsidRPr="009D2F13" w:rsidRDefault="009D2F13" w:rsidP="009D2F13">
            <w:pPr>
              <w:rPr>
                <w:b/>
                <w:bCs/>
                <w:i/>
                <w:iCs/>
              </w:rPr>
            </w:pPr>
            <w:r w:rsidRPr="009D2F13">
              <w:rPr>
                <w:b/>
                <w:bCs/>
                <w:i/>
                <w:iCs/>
              </w:rPr>
              <w:t>- vplyv na ŠR</w:t>
            </w:r>
          </w:p>
        </w:tc>
        <w:tc>
          <w:tcPr>
            <w:tcW w:w="1197" w:type="dxa"/>
            <w:noWrap/>
            <w:vAlign w:val="center"/>
          </w:tcPr>
          <w:p w:rsidR="009D2F13" w:rsidRPr="009D2F13" w:rsidRDefault="009D2F13" w:rsidP="009D2F13">
            <w:pPr>
              <w:jc w:val="right"/>
              <w:rPr>
                <w:b/>
                <w:bCs/>
                <w:iCs/>
              </w:rPr>
            </w:pPr>
          </w:p>
        </w:tc>
        <w:tc>
          <w:tcPr>
            <w:tcW w:w="1337" w:type="dxa"/>
            <w:noWrap/>
            <w:vAlign w:val="center"/>
          </w:tcPr>
          <w:p w:rsidR="009D2F13" w:rsidRPr="009D2F13" w:rsidRDefault="009D2F13" w:rsidP="009D2F13">
            <w:pPr>
              <w:jc w:val="right"/>
              <w:rPr>
                <w:b/>
                <w:bCs/>
                <w:iCs/>
              </w:rPr>
            </w:pPr>
          </w:p>
        </w:tc>
        <w:tc>
          <w:tcPr>
            <w:tcW w:w="1525" w:type="dxa"/>
            <w:noWrap/>
            <w:vAlign w:val="center"/>
          </w:tcPr>
          <w:p w:rsidR="009D2F13" w:rsidRPr="009D2F13" w:rsidRDefault="009D2F13" w:rsidP="009D2F13">
            <w:pPr>
              <w:jc w:val="right"/>
              <w:rPr>
                <w:b/>
                <w:bCs/>
                <w:iCs/>
              </w:rPr>
            </w:pPr>
          </w:p>
        </w:tc>
        <w:tc>
          <w:tcPr>
            <w:tcW w:w="1310" w:type="dxa"/>
          </w:tcPr>
          <w:p w:rsidR="009D2F13" w:rsidRPr="009D2F13" w:rsidRDefault="009D2F13" w:rsidP="009D2F13">
            <w:pPr>
              <w:jc w:val="right"/>
              <w:rPr>
                <w:b/>
                <w:bCs/>
                <w:iCs/>
              </w:rPr>
            </w:pPr>
          </w:p>
        </w:tc>
      </w:tr>
      <w:tr w:rsidR="009D2F13" w:rsidRPr="009D2F13" w:rsidTr="0096653D">
        <w:trPr>
          <w:trHeight w:val="125"/>
          <w:jc w:val="center"/>
        </w:trPr>
        <w:tc>
          <w:tcPr>
            <w:tcW w:w="4661" w:type="dxa"/>
            <w:noWrap/>
            <w:vAlign w:val="center"/>
          </w:tcPr>
          <w:p w:rsidR="009D2F13" w:rsidRPr="009D2F13" w:rsidRDefault="009D2F13" w:rsidP="009D2F13">
            <w:pPr>
              <w:ind w:left="259"/>
              <w:rPr>
                <w:b/>
                <w:bCs/>
                <w:i/>
                <w:iCs/>
              </w:rPr>
            </w:pPr>
            <w:r w:rsidRPr="009D2F13">
              <w:rPr>
                <w:bCs/>
                <w:i/>
                <w:iCs/>
              </w:rPr>
              <w:t>Rozpočtové prostriedky</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125"/>
          <w:jc w:val="center"/>
        </w:trPr>
        <w:tc>
          <w:tcPr>
            <w:tcW w:w="4661" w:type="dxa"/>
            <w:noWrap/>
            <w:vAlign w:val="center"/>
          </w:tcPr>
          <w:p w:rsidR="009D2F13" w:rsidRPr="009D2F13" w:rsidRDefault="009D2F13" w:rsidP="009D2F13">
            <w:pPr>
              <w:ind w:left="259"/>
              <w:rPr>
                <w:bCs/>
                <w:i/>
                <w:iCs/>
              </w:rPr>
            </w:pPr>
            <w:r w:rsidRPr="009D2F13">
              <w:rPr>
                <w:bCs/>
                <w:i/>
                <w:iCs/>
              </w:rPr>
              <w:t>EÚ zdroje</w:t>
            </w:r>
          </w:p>
        </w:tc>
        <w:tc>
          <w:tcPr>
            <w:tcW w:w="1197" w:type="dxa"/>
            <w:noWrap/>
            <w:vAlign w:val="center"/>
          </w:tcPr>
          <w:p w:rsidR="009D2F13" w:rsidRPr="009D2F13" w:rsidRDefault="009D2F13" w:rsidP="009D2F13">
            <w:pPr>
              <w:jc w:val="right"/>
            </w:pPr>
            <w:r w:rsidRPr="009D2F13">
              <w:t>0</w:t>
            </w:r>
          </w:p>
        </w:tc>
        <w:tc>
          <w:tcPr>
            <w:tcW w:w="1337" w:type="dxa"/>
            <w:noWrap/>
            <w:vAlign w:val="center"/>
          </w:tcPr>
          <w:p w:rsidR="009D2F13" w:rsidRPr="009D2F13" w:rsidRDefault="009D2F13" w:rsidP="009D2F13">
            <w:pPr>
              <w:jc w:val="right"/>
            </w:pPr>
            <w:r w:rsidRPr="009D2F13">
              <w:t>0</w:t>
            </w:r>
          </w:p>
        </w:tc>
        <w:tc>
          <w:tcPr>
            <w:tcW w:w="1525" w:type="dxa"/>
            <w:noWrap/>
            <w:vAlign w:val="center"/>
          </w:tcPr>
          <w:p w:rsidR="009D2F13" w:rsidRPr="009D2F13" w:rsidRDefault="009D2F13" w:rsidP="009D2F13">
            <w:pPr>
              <w:jc w:val="right"/>
            </w:pPr>
            <w:r w:rsidRPr="009D2F13">
              <w:t>0</w:t>
            </w:r>
          </w:p>
        </w:tc>
        <w:tc>
          <w:tcPr>
            <w:tcW w:w="1310" w:type="dxa"/>
          </w:tcPr>
          <w:p w:rsidR="009D2F13" w:rsidRPr="009D2F13" w:rsidRDefault="009D2F13" w:rsidP="009D2F13">
            <w:pPr>
              <w:jc w:val="right"/>
            </w:pPr>
            <w:r w:rsidRPr="009D2F13">
              <w:t>0</w:t>
            </w:r>
          </w:p>
        </w:tc>
      </w:tr>
      <w:tr w:rsidR="009D2F13" w:rsidRPr="009D2F13" w:rsidTr="0096653D">
        <w:trPr>
          <w:trHeight w:val="125"/>
          <w:jc w:val="center"/>
        </w:trPr>
        <w:tc>
          <w:tcPr>
            <w:tcW w:w="4661" w:type="dxa"/>
            <w:noWrap/>
            <w:vAlign w:val="center"/>
          </w:tcPr>
          <w:p w:rsidR="009D2F13" w:rsidRPr="009D2F13" w:rsidRDefault="009D2F13" w:rsidP="009D2F13">
            <w:pPr>
              <w:rPr>
                <w:b/>
                <w:bCs/>
                <w:i/>
                <w:iCs/>
              </w:rPr>
            </w:pPr>
            <w:r w:rsidRPr="009D2F13">
              <w:rPr>
                <w:b/>
                <w:bCs/>
                <w:i/>
                <w:iCs/>
              </w:rPr>
              <w:t>- vplyv na obce</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125"/>
          <w:jc w:val="center"/>
        </w:trPr>
        <w:tc>
          <w:tcPr>
            <w:tcW w:w="4661" w:type="dxa"/>
            <w:noWrap/>
            <w:vAlign w:val="center"/>
          </w:tcPr>
          <w:p w:rsidR="009D2F13" w:rsidRPr="009D2F13" w:rsidRDefault="009D2F13" w:rsidP="009D2F13">
            <w:pPr>
              <w:rPr>
                <w:b/>
                <w:bCs/>
                <w:i/>
                <w:iCs/>
              </w:rPr>
            </w:pPr>
            <w:r w:rsidRPr="009D2F13">
              <w:rPr>
                <w:b/>
                <w:bCs/>
                <w:i/>
                <w:iCs/>
              </w:rPr>
              <w:t>- vplyv na vyššie územné celky</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125"/>
          <w:jc w:val="center"/>
        </w:trPr>
        <w:tc>
          <w:tcPr>
            <w:tcW w:w="4661" w:type="dxa"/>
            <w:noWrap/>
            <w:vAlign w:val="center"/>
          </w:tcPr>
          <w:p w:rsidR="009D2F13" w:rsidRPr="009D2F13" w:rsidRDefault="009D2F13" w:rsidP="009D2F13">
            <w:pPr>
              <w:rPr>
                <w:b/>
                <w:bCs/>
                <w:i/>
                <w:iCs/>
              </w:rPr>
            </w:pPr>
            <w:r w:rsidRPr="009D2F13">
              <w:rPr>
                <w:b/>
                <w:bCs/>
                <w:i/>
                <w:iCs/>
              </w:rPr>
              <w:t>- vplyv na ostatné subjekty verejnej správy</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125"/>
          <w:jc w:val="center"/>
        </w:trPr>
        <w:tc>
          <w:tcPr>
            <w:tcW w:w="4661" w:type="dxa"/>
            <w:shd w:val="clear" w:color="auto" w:fill="C0C0C0"/>
            <w:noWrap/>
            <w:vAlign w:val="center"/>
          </w:tcPr>
          <w:p w:rsidR="009D2F13" w:rsidRPr="009D2F13" w:rsidRDefault="009D2F13" w:rsidP="009D2F13">
            <w:pPr>
              <w:rPr>
                <w:b/>
                <w:bCs/>
              </w:rPr>
            </w:pPr>
            <w:r w:rsidRPr="009D2F13">
              <w:rPr>
                <w:b/>
                <w:bCs/>
              </w:rPr>
              <w:t>Výdavky verejnej správy celkom</w:t>
            </w:r>
          </w:p>
        </w:tc>
        <w:tc>
          <w:tcPr>
            <w:tcW w:w="1197" w:type="dxa"/>
            <w:shd w:val="clear" w:color="auto" w:fill="C0C0C0"/>
            <w:noWrap/>
            <w:vAlign w:val="center"/>
          </w:tcPr>
          <w:p w:rsidR="009D2F13" w:rsidRPr="009D2F13" w:rsidRDefault="009D2F13" w:rsidP="009D2F13">
            <w:pPr>
              <w:rPr>
                <w:b/>
                <w:bCs/>
              </w:rPr>
            </w:pPr>
            <w:r w:rsidRPr="009D2F13">
              <w:rPr>
                <w:rFonts w:eastAsia="Calibri"/>
                <w:lang w:eastAsia="en-US"/>
              </w:rPr>
              <w:t xml:space="preserve">    990.000</w:t>
            </w:r>
          </w:p>
        </w:tc>
        <w:tc>
          <w:tcPr>
            <w:tcW w:w="1337" w:type="dxa"/>
            <w:shd w:val="clear" w:color="auto" w:fill="C0C0C0"/>
            <w:noWrap/>
            <w:vAlign w:val="center"/>
          </w:tcPr>
          <w:p w:rsidR="009D2F13" w:rsidRPr="009D2F13" w:rsidRDefault="009D2F13" w:rsidP="009D2F13">
            <w:pPr>
              <w:jc w:val="right"/>
              <w:rPr>
                <w:b/>
                <w:bCs/>
              </w:rPr>
            </w:pPr>
            <w:r w:rsidRPr="009D2F13">
              <w:rPr>
                <w:rFonts w:eastAsia="Calibri"/>
                <w:lang w:eastAsia="en-US"/>
              </w:rPr>
              <w:t>250.000</w:t>
            </w:r>
          </w:p>
        </w:tc>
        <w:tc>
          <w:tcPr>
            <w:tcW w:w="1525" w:type="dxa"/>
            <w:shd w:val="clear" w:color="auto" w:fill="C0C0C0"/>
            <w:noWrap/>
            <w:vAlign w:val="center"/>
          </w:tcPr>
          <w:p w:rsidR="009D2F13" w:rsidRPr="009D2F13" w:rsidRDefault="009D2F13" w:rsidP="009D2F13">
            <w:pPr>
              <w:jc w:val="right"/>
              <w:rPr>
                <w:b/>
                <w:bCs/>
              </w:rPr>
            </w:pPr>
            <w:r w:rsidRPr="009D2F13">
              <w:rPr>
                <w:rFonts w:eastAsia="Calibri"/>
                <w:lang w:eastAsia="en-US"/>
              </w:rPr>
              <w:t xml:space="preserve">480.000 </w:t>
            </w:r>
          </w:p>
        </w:tc>
        <w:tc>
          <w:tcPr>
            <w:tcW w:w="1310" w:type="dxa"/>
            <w:shd w:val="clear" w:color="auto" w:fill="C0C0C0"/>
          </w:tcPr>
          <w:p w:rsidR="009D2F13" w:rsidRPr="009D2F13" w:rsidRDefault="009D2F13" w:rsidP="009D2F13">
            <w:pPr>
              <w:jc w:val="right"/>
              <w:rPr>
                <w:b/>
              </w:rPr>
            </w:pPr>
            <w:r w:rsidRPr="009D2F13">
              <w:rPr>
                <w:rFonts w:eastAsia="Calibri"/>
                <w:lang w:eastAsia="en-US"/>
              </w:rPr>
              <w:t>480.000</w:t>
            </w:r>
          </w:p>
        </w:tc>
      </w:tr>
      <w:tr w:rsidR="009D2F13" w:rsidRPr="009D2F13" w:rsidTr="0096653D">
        <w:trPr>
          <w:trHeight w:val="70"/>
          <w:jc w:val="center"/>
        </w:trPr>
        <w:tc>
          <w:tcPr>
            <w:tcW w:w="4661" w:type="dxa"/>
            <w:noWrap/>
          </w:tcPr>
          <w:p w:rsidR="009D2F13" w:rsidRPr="009D2F13" w:rsidRDefault="009D2F13" w:rsidP="009D2F13">
            <w:pPr>
              <w:rPr>
                <w:rFonts w:eastAsia="Calibri"/>
              </w:rPr>
            </w:pPr>
            <w:r w:rsidRPr="009D2F13">
              <w:t xml:space="preserve">v tom: </w:t>
            </w:r>
            <w:r w:rsidRPr="009D2F13">
              <w:rPr>
                <w:rFonts w:eastAsia="Calibri"/>
              </w:rPr>
              <w:t>Ministerstvo vnútra SR</w:t>
            </w:r>
          </w:p>
          <w:p w:rsidR="009D2F13" w:rsidRPr="009D2F13" w:rsidRDefault="009D2F13" w:rsidP="009D2F13">
            <w:pPr>
              <w:rPr>
                <w:rFonts w:eastAsia="Calibri"/>
              </w:rPr>
            </w:pPr>
            <w:r w:rsidRPr="009D2F13">
              <w:rPr>
                <w:rFonts w:eastAsia="Calibri"/>
              </w:rPr>
              <w:t>Ministerstvo školstva, vedy, výskumu a športu SR</w:t>
            </w:r>
          </w:p>
          <w:p w:rsidR="009D2F13" w:rsidRPr="009D2F13" w:rsidRDefault="009D2F13" w:rsidP="009D2F13">
            <w:pPr>
              <w:rPr>
                <w:rFonts w:eastAsia="Calibri"/>
                <w:sz w:val="22"/>
                <w:szCs w:val="22"/>
                <w:lang w:eastAsia="en-US"/>
              </w:rPr>
            </w:pPr>
          </w:p>
        </w:tc>
        <w:tc>
          <w:tcPr>
            <w:tcW w:w="1197" w:type="dxa"/>
            <w:noWrap/>
          </w:tcPr>
          <w:p w:rsidR="009D2F13" w:rsidRPr="009D2F13" w:rsidRDefault="009D2F13" w:rsidP="009D2F13">
            <w:pPr>
              <w:spacing w:after="200" w:line="276" w:lineRule="auto"/>
              <w:jc w:val="right"/>
              <w:rPr>
                <w:rFonts w:eastAsia="Calibri"/>
                <w:lang w:eastAsia="en-US"/>
              </w:rPr>
            </w:pPr>
            <w:r w:rsidRPr="009D2F13">
              <w:rPr>
                <w:rFonts w:eastAsia="Calibri"/>
                <w:lang w:eastAsia="en-US"/>
              </w:rPr>
              <w:t>975.000</w:t>
            </w:r>
          </w:p>
          <w:p w:rsidR="009D2F13" w:rsidRPr="009D2F13" w:rsidRDefault="009D2F13" w:rsidP="009D2F13">
            <w:pPr>
              <w:spacing w:after="200" w:line="276" w:lineRule="auto"/>
              <w:jc w:val="right"/>
              <w:rPr>
                <w:rFonts w:eastAsia="Calibri"/>
                <w:lang w:eastAsia="en-US"/>
              </w:rPr>
            </w:pPr>
            <w:r w:rsidRPr="009D2F13">
              <w:rPr>
                <w:rFonts w:eastAsia="Calibri"/>
                <w:lang w:eastAsia="en-US"/>
              </w:rPr>
              <w:t>15.000</w:t>
            </w:r>
          </w:p>
        </w:tc>
        <w:tc>
          <w:tcPr>
            <w:tcW w:w="1337" w:type="dxa"/>
            <w:noWrap/>
          </w:tcPr>
          <w:p w:rsidR="009D2F13" w:rsidRPr="009D2F13" w:rsidRDefault="009D2F13" w:rsidP="009D2F13">
            <w:pPr>
              <w:spacing w:after="200" w:line="276" w:lineRule="auto"/>
              <w:jc w:val="right"/>
              <w:rPr>
                <w:rFonts w:eastAsia="Calibri"/>
                <w:lang w:eastAsia="en-US"/>
              </w:rPr>
            </w:pPr>
            <w:r w:rsidRPr="009D2F13">
              <w:rPr>
                <w:rFonts w:eastAsia="Calibri"/>
                <w:lang w:eastAsia="en-US"/>
              </w:rPr>
              <w:t>250.000</w:t>
            </w:r>
          </w:p>
          <w:p w:rsidR="009D2F13" w:rsidRPr="009D2F13" w:rsidRDefault="009D2F13" w:rsidP="009D2F13">
            <w:pPr>
              <w:spacing w:after="200" w:line="276" w:lineRule="auto"/>
              <w:rPr>
                <w:rFonts w:eastAsia="Calibri"/>
                <w:lang w:eastAsia="en-US"/>
              </w:rPr>
            </w:pPr>
            <w:r w:rsidRPr="009D2F13">
              <w:rPr>
                <w:rFonts w:eastAsia="Calibri"/>
                <w:lang w:eastAsia="en-US"/>
              </w:rPr>
              <w:t xml:space="preserve">                 0</w:t>
            </w:r>
          </w:p>
        </w:tc>
        <w:tc>
          <w:tcPr>
            <w:tcW w:w="1525" w:type="dxa"/>
            <w:noWrap/>
          </w:tcPr>
          <w:p w:rsidR="009D2F13" w:rsidRPr="009D2F13" w:rsidRDefault="009D2F13" w:rsidP="009D2F13">
            <w:pPr>
              <w:spacing w:after="200" w:line="276" w:lineRule="auto"/>
              <w:jc w:val="right"/>
              <w:rPr>
                <w:rFonts w:eastAsia="Calibri"/>
                <w:lang w:eastAsia="en-US"/>
              </w:rPr>
            </w:pPr>
            <w:r w:rsidRPr="009D2F13">
              <w:rPr>
                <w:rFonts w:eastAsia="Calibri"/>
                <w:lang w:eastAsia="en-US"/>
              </w:rPr>
              <w:t>480.000</w:t>
            </w:r>
          </w:p>
          <w:p w:rsidR="009D2F13" w:rsidRPr="009D2F13" w:rsidRDefault="009D2F13" w:rsidP="009D2F13">
            <w:pPr>
              <w:spacing w:after="200" w:line="276" w:lineRule="auto"/>
              <w:jc w:val="right"/>
              <w:rPr>
                <w:rFonts w:eastAsia="Calibri"/>
                <w:lang w:eastAsia="en-US"/>
              </w:rPr>
            </w:pPr>
            <w:r w:rsidRPr="009D2F13">
              <w:rPr>
                <w:rFonts w:eastAsia="Calibri"/>
                <w:lang w:eastAsia="en-US"/>
              </w:rPr>
              <w:t>0</w:t>
            </w:r>
          </w:p>
        </w:tc>
        <w:tc>
          <w:tcPr>
            <w:tcW w:w="1310" w:type="dxa"/>
          </w:tcPr>
          <w:p w:rsidR="009D2F13" w:rsidRPr="009D2F13" w:rsidRDefault="009D2F13" w:rsidP="009D2F13">
            <w:pPr>
              <w:spacing w:after="200" w:line="276" w:lineRule="auto"/>
              <w:jc w:val="right"/>
              <w:rPr>
                <w:rFonts w:eastAsia="Calibri"/>
                <w:lang w:eastAsia="en-US"/>
              </w:rPr>
            </w:pPr>
            <w:r w:rsidRPr="009D2F13">
              <w:rPr>
                <w:rFonts w:eastAsia="Calibri"/>
                <w:lang w:eastAsia="en-US"/>
              </w:rPr>
              <w:t>480.000</w:t>
            </w:r>
          </w:p>
          <w:p w:rsidR="009D2F13" w:rsidRPr="009D2F13" w:rsidRDefault="009D2F13" w:rsidP="009D2F13">
            <w:pPr>
              <w:spacing w:after="200" w:line="276" w:lineRule="auto"/>
              <w:jc w:val="right"/>
              <w:rPr>
                <w:rFonts w:eastAsia="Calibri"/>
                <w:lang w:eastAsia="en-US"/>
              </w:rPr>
            </w:pPr>
            <w:r w:rsidRPr="009D2F13">
              <w:rPr>
                <w:rFonts w:eastAsia="Calibri"/>
                <w:lang w:eastAsia="en-US"/>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xml:space="preserve">z toho: </w:t>
            </w:r>
          </w:p>
        </w:tc>
        <w:tc>
          <w:tcPr>
            <w:tcW w:w="1197" w:type="dxa"/>
            <w:noWrap/>
            <w:vAlign w:val="center"/>
          </w:tcPr>
          <w:p w:rsidR="009D2F13" w:rsidRPr="009D2F13" w:rsidRDefault="009D2F13" w:rsidP="009D2F13">
            <w:pPr>
              <w:jc w:val="right"/>
              <w:rPr>
                <w:b/>
                <w:bCs/>
                <w:iCs/>
              </w:rPr>
            </w:pPr>
          </w:p>
        </w:tc>
        <w:tc>
          <w:tcPr>
            <w:tcW w:w="1337" w:type="dxa"/>
            <w:noWrap/>
            <w:vAlign w:val="center"/>
          </w:tcPr>
          <w:p w:rsidR="009D2F13" w:rsidRPr="009D2F13" w:rsidRDefault="009D2F13" w:rsidP="009D2F13">
            <w:pPr>
              <w:jc w:val="right"/>
              <w:rPr>
                <w:b/>
                <w:bCs/>
                <w:iCs/>
              </w:rPr>
            </w:pPr>
          </w:p>
        </w:tc>
        <w:tc>
          <w:tcPr>
            <w:tcW w:w="1525" w:type="dxa"/>
            <w:noWrap/>
            <w:vAlign w:val="center"/>
          </w:tcPr>
          <w:p w:rsidR="009D2F13" w:rsidRPr="009D2F13" w:rsidRDefault="009D2F13" w:rsidP="009D2F13">
            <w:pPr>
              <w:jc w:val="right"/>
              <w:rPr>
                <w:b/>
                <w:bCs/>
                <w:iCs/>
              </w:rPr>
            </w:pPr>
          </w:p>
        </w:tc>
        <w:tc>
          <w:tcPr>
            <w:tcW w:w="1310" w:type="dxa"/>
          </w:tcPr>
          <w:p w:rsidR="009D2F13" w:rsidRPr="009D2F13" w:rsidRDefault="009D2F13" w:rsidP="009D2F13">
            <w:pPr>
              <w:jc w:val="right"/>
              <w:rPr>
                <w:b/>
                <w:bCs/>
                <w:iCs/>
              </w:rPr>
            </w:pP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ŠR</w:t>
            </w:r>
          </w:p>
        </w:tc>
        <w:tc>
          <w:tcPr>
            <w:tcW w:w="1197" w:type="dxa"/>
            <w:noWrap/>
            <w:vAlign w:val="center"/>
          </w:tcPr>
          <w:p w:rsidR="009D2F13" w:rsidRPr="009D2F13" w:rsidRDefault="009D2F13" w:rsidP="009D2F13">
            <w:pPr>
              <w:jc w:val="center"/>
              <w:rPr>
                <w:bCs/>
                <w:iCs/>
              </w:rPr>
            </w:pPr>
          </w:p>
        </w:tc>
        <w:tc>
          <w:tcPr>
            <w:tcW w:w="1337" w:type="dxa"/>
            <w:noWrap/>
            <w:vAlign w:val="center"/>
          </w:tcPr>
          <w:p w:rsidR="009D2F13" w:rsidRPr="009D2F13" w:rsidRDefault="009D2F13" w:rsidP="009D2F13">
            <w:pPr>
              <w:jc w:val="right"/>
              <w:rPr>
                <w:bCs/>
                <w:iCs/>
              </w:rPr>
            </w:pPr>
          </w:p>
        </w:tc>
        <w:tc>
          <w:tcPr>
            <w:tcW w:w="1525" w:type="dxa"/>
            <w:noWrap/>
            <w:vAlign w:val="center"/>
          </w:tcPr>
          <w:p w:rsidR="009D2F13" w:rsidRPr="009D2F13" w:rsidRDefault="009D2F13" w:rsidP="009D2F13">
            <w:pPr>
              <w:jc w:val="right"/>
              <w:rPr>
                <w:bCs/>
                <w:iCs/>
              </w:rPr>
            </w:pPr>
          </w:p>
        </w:tc>
        <w:tc>
          <w:tcPr>
            <w:tcW w:w="1310" w:type="dxa"/>
          </w:tcPr>
          <w:p w:rsidR="009D2F13" w:rsidRPr="009D2F13" w:rsidRDefault="009D2F13" w:rsidP="009D2F13">
            <w:pPr>
              <w:jc w:val="right"/>
              <w:rPr>
                <w:bCs/>
                <w:iCs/>
              </w:rPr>
            </w:pPr>
          </w:p>
        </w:tc>
      </w:tr>
      <w:tr w:rsidR="009D2F13" w:rsidRPr="009D2F13" w:rsidTr="0096653D">
        <w:trPr>
          <w:trHeight w:val="70"/>
          <w:jc w:val="center"/>
        </w:trPr>
        <w:tc>
          <w:tcPr>
            <w:tcW w:w="4661" w:type="dxa"/>
            <w:noWrap/>
            <w:vAlign w:val="center"/>
          </w:tcPr>
          <w:p w:rsidR="009D2F13" w:rsidRPr="009D2F13" w:rsidRDefault="009D2F13" w:rsidP="009D2F13">
            <w:pPr>
              <w:ind w:left="259"/>
              <w:rPr>
                <w:b/>
                <w:bCs/>
                <w:i/>
                <w:iCs/>
              </w:rPr>
            </w:pPr>
            <w:r w:rsidRPr="009D2F13">
              <w:rPr>
                <w:bCs/>
                <w:i/>
                <w:iCs/>
              </w:rPr>
              <w:t>Rozpočtové prostriedky</w:t>
            </w:r>
          </w:p>
        </w:tc>
        <w:tc>
          <w:tcPr>
            <w:tcW w:w="1197" w:type="dxa"/>
            <w:noWrap/>
            <w:vAlign w:val="center"/>
          </w:tcPr>
          <w:p w:rsidR="009D2F13" w:rsidRPr="009D2F13" w:rsidRDefault="009D2F13" w:rsidP="009D2F13">
            <w:pPr>
              <w:jc w:val="right"/>
              <w:rPr>
                <w:bCs/>
                <w:iCs/>
              </w:rPr>
            </w:pPr>
            <w:r w:rsidRPr="009D2F13">
              <w:rPr>
                <w:bCs/>
                <w:iCs/>
              </w:rPr>
              <w:t>990.000</w:t>
            </w:r>
          </w:p>
        </w:tc>
        <w:tc>
          <w:tcPr>
            <w:tcW w:w="1337" w:type="dxa"/>
            <w:noWrap/>
            <w:vAlign w:val="center"/>
          </w:tcPr>
          <w:p w:rsidR="009D2F13" w:rsidRPr="009D2F13" w:rsidRDefault="009D2F13" w:rsidP="009D2F13">
            <w:pPr>
              <w:jc w:val="right"/>
              <w:rPr>
                <w:bCs/>
                <w:iCs/>
              </w:rPr>
            </w:pPr>
            <w:r w:rsidRPr="009D2F13">
              <w:rPr>
                <w:bCs/>
                <w:iCs/>
              </w:rPr>
              <w:t>250.000</w:t>
            </w:r>
          </w:p>
        </w:tc>
        <w:tc>
          <w:tcPr>
            <w:tcW w:w="1525" w:type="dxa"/>
            <w:noWrap/>
            <w:vAlign w:val="center"/>
          </w:tcPr>
          <w:p w:rsidR="009D2F13" w:rsidRPr="009D2F13" w:rsidRDefault="009D2F13" w:rsidP="009D2F13">
            <w:pPr>
              <w:jc w:val="right"/>
              <w:rPr>
                <w:bCs/>
                <w:iCs/>
              </w:rPr>
            </w:pPr>
            <w:r w:rsidRPr="009D2F13">
              <w:rPr>
                <w:bCs/>
                <w:iCs/>
              </w:rPr>
              <w:t>480.000</w:t>
            </w:r>
          </w:p>
        </w:tc>
        <w:tc>
          <w:tcPr>
            <w:tcW w:w="1310" w:type="dxa"/>
          </w:tcPr>
          <w:p w:rsidR="009D2F13" w:rsidRPr="009D2F13" w:rsidRDefault="009D2F13" w:rsidP="009D2F13">
            <w:pPr>
              <w:jc w:val="right"/>
            </w:pPr>
            <w:r w:rsidRPr="009D2F13">
              <w:t>480.000</w:t>
            </w:r>
          </w:p>
        </w:tc>
      </w:tr>
      <w:tr w:rsidR="009D2F13" w:rsidRPr="009D2F13" w:rsidTr="0096653D">
        <w:trPr>
          <w:trHeight w:val="70"/>
          <w:jc w:val="center"/>
        </w:trPr>
        <w:tc>
          <w:tcPr>
            <w:tcW w:w="4661" w:type="dxa"/>
            <w:noWrap/>
            <w:vAlign w:val="center"/>
          </w:tcPr>
          <w:p w:rsidR="009D2F13" w:rsidRPr="009D2F13" w:rsidRDefault="009D2F13" w:rsidP="009D2F13">
            <w:pPr>
              <w:rPr>
                <w:bCs/>
                <w:i/>
                <w:iCs/>
              </w:rPr>
            </w:pPr>
            <w:r w:rsidRPr="009D2F13">
              <w:rPr>
                <w:bCs/>
                <w:i/>
                <w:iCs/>
              </w:rPr>
              <w:t xml:space="preserve">    EÚ zdroje</w:t>
            </w:r>
          </w:p>
        </w:tc>
        <w:tc>
          <w:tcPr>
            <w:tcW w:w="1197" w:type="dxa"/>
            <w:noWrap/>
            <w:vAlign w:val="center"/>
          </w:tcPr>
          <w:p w:rsidR="009D2F13" w:rsidRPr="009D2F13" w:rsidRDefault="009D2F13" w:rsidP="009D2F13">
            <w:pPr>
              <w:jc w:val="right"/>
            </w:pPr>
            <w:r w:rsidRPr="009D2F13">
              <w:t>0</w:t>
            </w:r>
          </w:p>
        </w:tc>
        <w:tc>
          <w:tcPr>
            <w:tcW w:w="1337" w:type="dxa"/>
            <w:noWrap/>
            <w:vAlign w:val="center"/>
          </w:tcPr>
          <w:p w:rsidR="009D2F13" w:rsidRPr="009D2F13" w:rsidRDefault="009D2F13" w:rsidP="009D2F13">
            <w:pPr>
              <w:jc w:val="right"/>
            </w:pPr>
            <w:r w:rsidRPr="009D2F13">
              <w:t>0</w:t>
            </w:r>
          </w:p>
        </w:tc>
        <w:tc>
          <w:tcPr>
            <w:tcW w:w="1525" w:type="dxa"/>
            <w:noWrap/>
            <w:vAlign w:val="center"/>
          </w:tcPr>
          <w:p w:rsidR="009D2F13" w:rsidRPr="009D2F13" w:rsidRDefault="009D2F13" w:rsidP="009D2F13">
            <w:pPr>
              <w:jc w:val="right"/>
            </w:pPr>
            <w:r w:rsidRPr="009D2F13">
              <w:t>0</w:t>
            </w:r>
          </w:p>
        </w:tc>
        <w:tc>
          <w:tcPr>
            <w:tcW w:w="1310" w:type="dxa"/>
          </w:tcPr>
          <w:p w:rsidR="009D2F13" w:rsidRPr="009D2F13" w:rsidRDefault="009D2F13" w:rsidP="009D2F13">
            <w:pPr>
              <w:jc w:val="right"/>
            </w:pPr>
            <w:r w:rsidRPr="009D2F13">
              <w:t>0</w:t>
            </w:r>
          </w:p>
        </w:tc>
      </w:tr>
      <w:tr w:rsidR="009D2F13" w:rsidRPr="009D2F13" w:rsidTr="0096653D">
        <w:trPr>
          <w:trHeight w:val="70"/>
          <w:jc w:val="center"/>
        </w:trPr>
        <w:tc>
          <w:tcPr>
            <w:tcW w:w="4661" w:type="dxa"/>
            <w:noWrap/>
            <w:vAlign w:val="center"/>
          </w:tcPr>
          <w:p w:rsidR="009D2F13" w:rsidRPr="009D2F13" w:rsidRDefault="009D2F13" w:rsidP="009D2F13">
            <w:pPr>
              <w:rPr>
                <w:bCs/>
                <w:i/>
                <w:iCs/>
              </w:rPr>
            </w:pPr>
            <w:r w:rsidRPr="009D2F13">
              <w:rPr>
                <w:bCs/>
                <w:i/>
                <w:iCs/>
              </w:rPr>
              <w:t xml:space="preserve">    spolufinancovanie</w:t>
            </w:r>
          </w:p>
        </w:tc>
        <w:tc>
          <w:tcPr>
            <w:tcW w:w="1197" w:type="dxa"/>
            <w:noWrap/>
            <w:vAlign w:val="center"/>
          </w:tcPr>
          <w:p w:rsidR="009D2F13" w:rsidRPr="009D2F13" w:rsidRDefault="009D2F13" w:rsidP="009D2F13">
            <w:pPr>
              <w:jc w:val="right"/>
            </w:pPr>
            <w:r w:rsidRPr="009D2F13">
              <w:t>0</w:t>
            </w:r>
          </w:p>
        </w:tc>
        <w:tc>
          <w:tcPr>
            <w:tcW w:w="1337" w:type="dxa"/>
            <w:noWrap/>
            <w:vAlign w:val="center"/>
          </w:tcPr>
          <w:p w:rsidR="009D2F13" w:rsidRPr="009D2F13" w:rsidRDefault="009D2F13" w:rsidP="009D2F13">
            <w:pPr>
              <w:jc w:val="right"/>
            </w:pPr>
            <w:r w:rsidRPr="009D2F13">
              <w:t>0</w:t>
            </w:r>
          </w:p>
        </w:tc>
        <w:tc>
          <w:tcPr>
            <w:tcW w:w="1525" w:type="dxa"/>
            <w:noWrap/>
            <w:vAlign w:val="center"/>
          </w:tcPr>
          <w:p w:rsidR="009D2F13" w:rsidRPr="009D2F13" w:rsidRDefault="009D2F13" w:rsidP="009D2F13">
            <w:pPr>
              <w:jc w:val="right"/>
            </w:pPr>
            <w:r w:rsidRPr="009D2F13">
              <w:t>0</w:t>
            </w:r>
          </w:p>
        </w:tc>
        <w:tc>
          <w:tcPr>
            <w:tcW w:w="1310" w:type="dxa"/>
          </w:tcPr>
          <w:p w:rsidR="009D2F13" w:rsidRPr="009D2F13" w:rsidRDefault="009D2F13" w:rsidP="009D2F13">
            <w:pPr>
              <w:jc w:val="right"/>
            </w:pPr>
            <w:r w:rsidRPr="009D2F13">
              <w:t>0</w:t>
            </w:r>
          </w:p>
        </w:tc>
      </w:tr>
      <w:tr w:rsidR="009D2F13" w:rsidRPr="009D2F13" w:rsidTr="0096653D">
        <w:trPr>
          <w:trHeight w:val="125"/>
          <w:jc w:val="center"/>
        </w:trPr>
        <w:tc>
          <w:tcPr>
            <w:tcW w:w="4661" w:type="dxa"/>
            <w:noWrap/>
            <w:vAlign w:val="center"/>
          </w:tcPr>
          <w:p w:rsidR="009D2F13" w:rsidRPr="009D2F13" w:rsidRDefault="009D2F13" w:rsidP="009D2F13">
            <w:pPr>
              <w:rPr>
                <w:b/>
                <w:bCs/>
                <w:i/>
                <w:iCs/>
              </w:rPr>
            </w:pPr>
            <w:r w:rsidRPr="009D2F13">
              <w:rPr>
                <w:b/>
                <w:bCs/>
                <w:i/>
                <w:iCs/>
              </w:rPr>
              <w:t>- vplyv na obce</w:t>
            </w:r>
          </w:p>
        </w:tc>
        <w:tc>
          <w:tcPr>
            <w:tcW w:w="1197" w:type="dxa"/>
            <w:noWrap/>
            <w:vAlign w:val="center"/>
          </w:tcPr>
          <w:p w:rsidR="009D2F13" w:rsidRPr="009D2F13" w:rsidRDefault="009D2F13" w:rsidP="009D2F13">
            <w:pPr>
              <w:jc w:val="right"/>
              <w:rPr>
                <w:bCs/>
                <w:iCs/>
              </w:rPr>
            </w:pPr>
            <w:r w:rsidRPr="009D2F13">
              <w:rPr>
                <w:bCs/>
                <w:iCs/>
              </w:rPr>
              <w:t>0</w:t>
            </w:r>
          </w:p>
        </w:tc>
        <w:tc>
          <w:tcPr>
            <w:tcW w:w="1337" w:type="dxa"/>
            <w:noWrap/>
            <w:vAlign w:val="center"/>
          </w:tcPr>
          <w:p w:rsidR="009D2F13" w:rsidRPr="009D2F13" w:rsidRDefault="009D2F13" w:rsidP="009D2F13">
            <w:pPr>
              <w:jc w:val="right"/>
              <w:rPr>
                <w:bCs/>
                <w:iCs/>
              </w:rPr>
            </w:pPr>
            <w:r w:rsidRPr="009D2F13">
              <w:rPr>
                <w:bCs/>
                <w:iCs/>
              </w:rPr>
              <w:t>0</w:t>
            </w:r>
          </w:p>
        </w:tc>
        <w:tc>
          <w:tcPr>
            <w:tcW w:w="1525" w:type="dxa"/>
            <w:noWrap/>
            <w:vAlign w:val="center"/>
          </w:tcPr>
          <w:p w:rsidR="009D2F13" w:rsidRPr="009D2F13" w:rsidRDefault="009D2F13" w:rsidP="009D2F13">
            <w:pPr>
              <w:jc w:val="right"/>
              <w:rPr>
                <w:bCs/>
                <w:iCs/>
              </w:rPr>
            </w:pPr>
            <w:r w:rsidRPr="009D2F13">
              <w:rPr>
                <w:bCs/>
                <w:iCs/>
              </w:rPr>
              <w:t>0</w:t>
            </w:r>
          </w:p>
        </w:tc>
        <w:tc>
          <w:tcPr>
            <w:tcW w:w="1310" w:type="dxa"/>
          </w:tcPr>
          <w:p w:rsidR="009D2F13" w:rsidRPr="009D2F13" w:rsidRDefault="009D2F13" w:rsidP="009D2F13">
            <w:pPr>
              <w:jc w:val="right"/>
              <w:rPr>
                <w:bCs/>
                <w:iCs/>
              </w:rPr>
            </w:pPr>
            <w:r w:rsidRPr="009D2F13">
              <w:rPr>
                <w:bCs/>
                <w:iCs/>
              </w:rPr>
              <w:t>0</w:t>
            </w:r>
          </w:p>
        </w:tc>
      </w:tr>
      <w:tr w:rsidR="009D2F13" w:rsidRPr="009D2F13" w:rsidTr="0096653D">
        <w:trPr>
          <w:trHeight w:val="125"/>
          <w:jc w:val="center"/>
        </w:trPr>
        <w:tc>
          <w:tcPr>
            <w:tcW w:w="4661" w:type="dxa"/>
            <w:noWrap/>
            <w:vAlign w:val="center"/>
          </w:tcPr>
          <w:p w:rsidR="009D2F13" w:rsidRPr="009D2F13" w:rsidRDefault="009D2F13" w:rsidP="009D2F13">
            <w:pPr>
              <w:rPr>
                <w:b/>
                <w:bCs/>
                <w:i/>
                <w:iCs/>
              </w:rPr>
            </w:pPr>
            <w:r w:rsidRPr="009D2F13">
              <w:rPr>
                <w:b/>
                <w:bCs/>
                <w:i/>
                <w:iCs/>
              </w:rPr>
              <w:t>- vplyv na vyššie územné celky</w:t>
            </w:r>
          </w:p>
        </w:tc>
        <w:tc>
          <w:tcPr>
            <w:tcW w:w="1197" w:type="dxa"/>
            <w:noWrap/>
            <w:vAlign w:val="center"/>
          </w:tcPr>
          <w:p w:rsidR="009D2F13" w:rsidRPr="009D2F13" w:rsidRDefault="009D2F13" w:rsidP="009D2F13">
            <w:pPr>
              <w:jc w:val="right"/>
              <w:rPr>
                <w:bCs/>
                <w:iCs/>
              </w:rPr>
            </w:pPr>
            <w:r w:rsidRPr="009D2F13">
              <w:rPr>
                <w:bCs/>
                <w:iCs/>
              </w:rPr>
              <w:t>0</w:t>
            </w:r>
          </w:p>
        </w:tc>
        <w:tc>
          <w:tcPr>
            <w:tcW w:w="1337" w:type="dxa"/>
            <w:noWrap/>
            <w:vAlign w:val="center"/>
          </w:tcPr>
          <w:p w:rsidR="009D2F13" w:rsidRPr="009D2F13" w:rsidRDefault="009D2F13" w:rsidP="009D2F13">
            <w:pPr>
              <w:jc w:val="right"/>
              <w:rPr>
                <w:bCs/>
                <w:iCs/>
              </w:rPr>
            </w:pPr>
            <w:r w:rsidRPr="009D2F13">
              <w:rPr>
                <w:bCs/>
                <w:iCs/>
              </w:rPr>
              <w:t>0</w:t>
            </w:r>
          </w:p>
        </w:tc>
        <w:tc>
          <w:tcPr>
            <w:tcW w:w="1525" w:type="dxa"/>
            <w:noWrap/>
            <w:vAlign w:val="center"/>
          </w:tcPr>
          <w:p w:rsidR="009D2F13" w:rsidRPr="009D2F13" w:rsidRDefault="009D2F13" w:rsidP="009D2F13">
            <w:pPr>
              <w:jc w:val="right"/>
              <w:rPr>
                <w:bCs/>
                <w:iCs/>
              </w:rPr>
            </w:pPr>
            <w:r w:rsidRPr="009D2F13">
              <w:rPr>
                <w:bCs/>
                <w:iCs/>
              </w:rPr>
              <w:t>0</w:t>
            </w:r>
          </w:p>
        </w:tc>
        <w:tc>
          <w:tcPr>
            <w:tcW w:w="1310" w:type="dxa"/>
          </w:tcPr>
          <w:p w:rsidR="009D2F13" w:rsidRPr="009D2F13" w:rsidRDefault="009D2F13" w:rsidP="009D2F13">
            <w:pPr>
              <w:jc w:val="right"/>
              <w:rPr>
                <w:bCs/>
                <w:iCs/>
              </w:rPr>
            </w:pPr>
            <w:r w:rsidRPr="009D2F13">
              <w:rPr>
                <w:bCs/>
                <w:iCs/>
              </w:rPr>
              <w:t>0</w:t>
            </w:r>
          </w:p>
        </w:tc>
      </w:tr>
      <w:tr w:rsidR="009D2F13" w:rsidRPr="009D2F13" w:rsidTr="0096653D">
        <w:trPr>
          <w:trHeight w:val="70"/>
          <w:jc w:val="center"/>
        </w:trPr>
        <w:tc>
          <w:tcPr>
            <w:tcW w:w="4661" w:type="dxa"/>
            <w:noWrap/>
            <w:vAlign w:val="center"/>
          </w:tcPr>
          <w:p w:rsidR="009D2F13" w:rsidRPr="009D2F13" w:rsidRDefault="009D2F13" w:rsidP="009D2F13">
            <w:pPr>
              <w:rPr>
                <w:b/>
                <w:bCs/>
              </w:rPr>
            </w:pPr>
            <w:r w:rsidRPr="009D2F13">
              <w:rPr>
                <w:b/>
                <w:bCs/>
                <w:i/>
                <w:iCs/>
              </w:rPr>
              <w:t>- vplyv na ostatné subjekty verejnej správy</w:t>
            </w:r>
          </w:p>
        </w:tc>
        <w:tc>
          <w:tcPr>
            <w:tcW w:w="1197" w:type="dxa"/>
            <w:noWrap/>
            <w:vAlign w:val="center"/>
          </w:tcPr>
          <w:p w:rsidR="009D2F13" w:rsidRPr="009D2F13" w:rsidRDefault="009D2F13" w:rsidP="009D2F13">
            <w:pPr>
              <w:jc w:val="right"/>
              <w:rPr>
                <w:bCs/>
                <w:iCs/>
              </w:rPr>
            </w:pPr>
            <w:r w:rsidRPr="009D2F13">
              <w:rPr>
                <w:bCs/>
                <w:iCs/>
              </w:rPr>
              <w:t>0</w:t>
            </w:r>
          </w:p>
        </w:tc>
        <w:tc>
          <w:tcPr>
            <w:tcW w:w="1337" w:type="dxa"/>
            <w:noWrap/>
            <w:vAlign w:val="center"/>
          </w:tcPr>
          <w:p w:rsidR="009D2F13" w:rsidRPr="009D2F13" w:rsidRDefault="009D2F13" w:rsidP="009D2F13">
            <w:pPr>
              <w:jc w:val="right"/>
              <w:rPr>
                <w:bCs/>
                <w:iCs/>
              </w:rPr>
            </w:pPr>
            <w:r w:rsidRPr="009D2F13">
              <w:rPr>
                <w:bCs/>
                <w:iCs/>
              </w:rPr>
              <w:t>0</w:t>
            </w:r>
          </w:p>
        </w:tc>
        <w:tc>
          <w:tcPr>
            <w:tcW w:w="1525" w:type="dxa"/>
            <w:noWrap/>
            <w:vAlign w:val="center"/>
          </w:tcPr>
          <w:p w:rsidR="009D2F13" w:rsidRPr="009D2F13" w:rsidRDefault="009D2F13" w:rsidP="009D2F13">
            <w:pPr>
              <w:jc w:val="right"/>
              <w:rPr>
                <w:bCs/>
                <w:iCs/>
              </w:rPr>
            </w:pPr>
            <w:r w:rsidRPr="009D2F13">
              <w:rPr>
                <w:bCs/>
                <w:iCs/>
              </w:rPr>
              <w:t>0</w:t>
            </w:r>
          </w:p>
        </w:tc>
        <w:tc>
          <w:tcPr>
            <w:tcW w:w="1310" w:type="dxa"/>
          </w:tcPr>
          <w:p w:rsidR="009D2F13" w:rsidRPr="009D2F13" w:rsidRDefault="009D2F13" w:rsidP="009D2F13">
            <w:pPr>
              <w:jc w:val="right"/>
              <w:rPr>
                <w:bCs/>
                <w:iCs/>
              </w:rPr>
            </w:pPr>
            <w:r w:rsidRPr="009D2F13">
              <w:rPr>
                <w:bCs/>
                <w:iCs/>
              </w:rPr>
              <w:t>0</w:t>
            </w:r>
          </w:p>
        </w:tc>
      </w:tr>
      <w:tr w:rsidR="009D2F13" w:rsidRPr="009D2F13" w:rsidTr="009D2F13">
        <w:trPr>
          <w:trHeight w:val="70"/>
          <w:jc w:val="center"/>
        </w:trPr>
        <w:tc>
          <w:tcPr>
            <w:tcW w:w="4661" w:type="dxa"/>
            <w:shd w:val="clear" w:color="auto" w:fill="BFBFBF"/>
            <w:noWrap/>
            <w:vAlign w:val="center"/>
          </w:tcPr>
          <w:p w:rsidR="009D2F13" w:rsidRPr="009D2F13" w:rsidRDefault="009D2F13" w:rsidP="009D2F13">
            <w:pPr>
              <w:rPr>
                <w:b/>
                <w:bCs/>
              </w:rPr>
            </w:pPr>
            <w:r w:rsidRPr="009D2F13">
              <w:rPr>
                <w:b/>
                <w:bCs/>
              </w:rPr>
              <w:t xml:space="preserve">Vplyv na počet zamestnancov </w:t>
            </w:r>
          </w:p>
        </w:tc>
        <w:tc>
          <w:tcPr>
            <w:tcW w:w="1197" w:type="dxa"/>
            <w:shd w:val="clear" w:color="auto" w:fill="BFBFBF"/>
            <w:noWrap/>
            <w:vAlign w:val="center"/>
          </w:tcPr>
          <w:p w:rsidR="009D2F13" w:rsidRPr="009D2F13" w:rsidRDefault="009D2F13" w:rsidP="009D2F13">
            <w:pPr>
              <w:jc w:val="right"/>
              <w:rPr>
                <w:b/>
                <w:bCs/>
              </w:rPr>
            </w:pPr>
            <w:r w:rsidRPr="009D2F13">
              <w:rPr>
                <w:b/>
                <w:bCs/>
              </w:rPr>
              <w:t>0</w:t>
            </w:r>
          </w:p>
        </w:tc>
        <w:tc>
          <w:tcPr>
            <w:tcW w:w="1337" w:type="dxa"/>
            <w:shd w:val="clear" w:color="auto" w:fill="BFBFBF"/>
            <w:noWrap/>
            <w:vAlign w:val="center"/>
          </w:tcPr>
          <w:p w:rsidR="009D2F13" w:rsidRPr="009D2F13" w:rsidRDefault="009D2F13" w:rsidP="009D2F13">
            <w:pPr>
              <w:jc w:val="right"/>
              <w:rPr>
                <w:b/>
                <w:bCs/>
              </w:rPr>
            </w:pPr>
            <w:r w:rsidRPr="009D2F13">
              <w:rPr>
                <w:b/>
                <w:bCs/>
              </w:rPr>
              <w:t>0</w:t>
            </w:r>
          </w:p>
        </w:tc>
        <w:tc>
          <w:tcPr>
            <w:tcW w:w="1525" w:type="dxa"/>
            <w:shd w:val="clear" w:color="auto" w:fill="BFBFBF"/>
            <w:noWrap/>
            <w:vAlign w:val="center"/>
          </w:tcPr>
          <w:p w:rsidR="009D2F13" w:rsidRPr="009D2F13" w:rsidRDefault="009D2F13" w:rsidP="009D2F13">
            <w:pPr>
              <w:jc w:val="right"/>
              <w:rPr>
                <w:b/>
                <w:bCs/>
              </w:rPr>
            </w:pPr>
            <w:r w:rsidRPr="009D2F13">
              <w:rPr>
                <w:b/>
                <w:bCs/>
              </w:rPr>
              <w:t>0</w:t>
            </w:r>
          </w:p>
        </w:tc>
        <w:tc>
          <w:tcPr>
            <w:tcW w:w="1310" w:type="dxa"/>
            <w:shd w:val="clear" w:color="auto" w:fill="BFBFBF"/>
          </w:tcPr>
          <w:p w:rsidR="009D2F13" w:rsidRPr="009D2F13" w:rsidRDefault="009D2F13" w:rsidP="009D2F13">
            <w:pPr>
              <w:jc w:val="right"/>
              <w:rPr>
                <w:b/>
                <w:bCs/>
              </w:rPr>
            </w:pPr>
            <w:r w:rsidRPr="009D2F13">
              <w:rPr>
                <w:b/>
                <w:bCs/>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ŠR</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obce</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vyššie územné celky</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ostatné subjekty verejnej správy</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D2F13">
        <w:trPr>
          <w:trHeight w:val="70"/>
          <w:jc w:val="center"/>
        </w:trPr>
        <w:tc>
          <w:tcPr>
            <w:tcW w:w="4661" w:type="dxa"/>
            <w:shd w:val="clear" w:color="auto" w:fill="BFBFBF"/>
            <w:noWrap/>
            <w:vAlign w:val="center"/>
          </w:tcPr>
          <w:p w:rsidR="009D2F13" w:rsidRPr="009D2F13" w:rsidRDefault="009D2F13" w:rsidP="009D2F13">
            <w:pPr>
              <w:rPr>
                <w:b/>
              </w:rPr>
            </w:pPr>
            <w:r w:rsidRPr="009D2F13">
              <w:rPr>
                <w:b/>
              </w:rPr>
              <w:t>Vplyv na mzdové výdavky</w:t>
            </w:r>
          </w:p>
        </w:tc>
        <w:tc>
          <w:tcPr>
            <w:tcW w:w="1197" w:type="dxa"/>
            <w:shd w:val="clear" w:color="auto" w:fill="BFBFBF"/>
            <w:noWrap/>
            <w:vAlign w:val="center"/>
          </w:tcPr>
          <w:p w:rsidR="009D2F13" w:rsidRPr="009D2F13" w:rsidRDefault="009D2F13" w:rsidP="009D2F13">
            <w:pPr>
              <w:jc w:val="right"/>
              <w:rPr>
                <w:b/>
              </w:rPr>
            </w:pPr>
            <w:r w:rsidRPr="009D2F13">
              <w:rPr>
                <w:b/>
              </w:rPr>
              <w:t>0</w:t>
            </w:r>
          </w:p>
        </w:tc>
        <w:tc>
          <w:tcPr>
            <w:tcW w:w="1337" w:type="dxa"/>
            <w:shd w:val="clear" w:color="auto" w:fill="BFBFBF"/>
            <w:noWrap/>
            <w:vAlign w:val="center"/>
          </w:tcPr>
          <w:p w:rsidR="009D2F13" w:rsidRPr="009D2F13" w:rsidRDefault="009D2F13" w:rsidP="009D2F13">
            <w:pPr>
              <w:jc w:val="right"/>
              <w:rPr>
                <w:b/>
              </w:rPr>
            </w:pPr>
            <w:r w:rsidRPr="009D2F13">
              <w:rPr>
                <w:b/>
              </w:rPr>
              <w:t>0</w:t>
            </w:r>
          </w:p>
        </w:tc>
        <w:tc>
          <w:tcPr>
            <w:tcW w:w="1525" w:type="dxa"/>
            <w:shd w:val="clear" w:color="auto" w:fill="BFBFBF"/>
            <w:noWrap/>
            <w:vAlign w:val="center"/>
          </w:tcPr>
          <w:p w:rsidR="009D2F13" w:rsidRPr="009D2F13" w:rsidRDefault="009D2F13" w:rsidP="009D2F13">
            <w:pPr>
              <w:jc w:val="right"/>
              <w:rPr>
                <w:b/>
              </w:rPr>
            </w:pPr>
            <w:r w:rsidRPr="009D2F13">
              <w:rPr>
                <w:b/>
              </w:rPr>
              <w:t>0</w:t>
            </w:r>
          </w:p>
        </w:tc>
        <w:tc>
          <w:tcPr>
            <w:tcW w:w="1310" w:type="dxa"/>
            <w:shd w:val="clear" w:color="auto" w:fill="BFBFBF"/>
          </w:tcPr>
          <w:p w:rsidR="009D2F13" w:rsidRPr="009D2F13" w:rsidRDefault="009D2F13" w:rsidP="009D2F13">
            <w:pPr>
              <w:jc w:val="right"/>
              <w:rPr>
                <w:b/>
              </w:rPr>
            </w:pPr>
            <w:r w:rsidRPr="009D2F13">
              <w:rPr>
                <w:b/>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ŠR</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obce</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70"/>
          <w:jc w:val="center"/>
        </w:trPr>
        <w:tc>
          <w:tcPr>
            <w:tcW w:w="4661" w:type="dxa"/>
            <w:noWrap/>
            <w:vAlign w:val="center"/>
          </w:tcPr>
          <w:p w:rsidR="009D2F13" w:rsidRPr="009D2F13" w:rsidRDefault="009D2F13" w:rsidP="009D2F13">
            <w:pPr>
              <w:rPr>
                <w:b/>
                <w:bCs/>
                <w:i/>
                <w:iCs/>
              </w:rPr>
            </w:pPr>
            <w:r w:rsidRPr="009D2F13">
              <w:rPr>
                <w:b/>
                <w:bCs/>
                <w:i/>
                <w:iCs/>
              </w:rPr>
              <w:t>- vplyv na vyššie územné celky</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70"/>
          <w:jc w:val="center"/>
        </w:trPr>
        <w:tc>
          <w:tcPr>
            <w:tcW w:w="4661" w:type="dxa"/>
            <w:noWrap/>
            <w:vAlign w:val="center"/>
          </w:tcPr>
          <w:p w:rsidR="009D2F13" w:rsidRPr="009D2F13" w:rsidRDefault="009D2F13" w:rsidP="009D2F13">
            <w:pPr>
              <w:rPr>
                <w:b/>
                <w:bCs/>
              </w:rPr>
            </w:pPr>
            <w:r w:rsidRPr="009D2F13">
              <w:rPr>
                <w:b/>
                <w:bCs/>
                <w:i/>
                <w:iCs/>
              </w:rPr>
              <w:t>- vplyv na ostatné subjekty verejnej správy</w:t>
            </w:r>
          </w:p>
        </w:tc>
        <w:tc>
          <w:tcPr>
            <w:tcW w:w="1197" w:type="dxa"/>
            <w:noWrap/>
            <w:vAlign w:val="center"/>
          </w:tcPr>
          <w:p w:rsidR="009D2F13" w:rsidRPr="009D2F13" w:rsidRDefault="009D2F13" w:rsidP="009D2F13">
            <w:pPr>
              <w:jc w:val="right"/>
              <w:rPr>
                <w:b/>
                <w:bCs/>
                <w:iCs/>
              </w:rPr>
            </w:pPr>
            <w:r w:rsidRPr="009D2F13">
              <w:rPr>
                <w:b/>
                <w:bCs/>
                <w:iCs/>
              </w:rPr>
              <w:t>0</w:t>
            </w:r>
          </w:p>
        </w:tc>
        <w:tc>
          <w:tcPr>
            <w:tcW w:w="1337" w:type="dxa"/>
            <w:noWrap/>
            <w:vAlign w:val="center"/>
          </w:tcPr>
          <w:p w:rsidR="009D2F13" w:rsidRPr="009D2F13" w:rsidRDefault="009D2F13" w:rsidP="009D2F13">
            <w:pPr>
              <w:jc w:val="right"/>
              <w:rPr>
                <w:b/>
                <w:bCs/>
                <w:iCs/>
              </w:rPr>
            </w:pPr>
            <w:r w:rsidRPr="009D2F13">
              <w:rPr>
                <w:b/>
                <w:bCs/>
                <w:iCs/>
              </w:rPr>
              <w:t>0</w:t>
            </w:r>
          </w:p>
        </w:tc>
        <w:tc>
          <w:tcPr>
            <w:tcW w:w="1525" w:type="dxa"/>
            <w:noWrap/>
            <w:vAlign w:val="center"/>
          </w:tcPr>
          <w:p w:rsidR="009D2F13" w:rsidRPr="009D2F13" w:rsidRDefault="009D2F13" w:rsidP="009D2F13">
            <w:pPr>
              <w:jc w:val="right"/>
              <w:rPr>
                <w:b/>
                <w:bCs/>
                <w:iCs/>
              </w:rPr>
            </w:pPr>
            <w:r w:rsidRPr="009D2F13">
              <w:rPr>
                <w:b/>
                <w:bCs/>
                <w:iCs/>
              </w:rPr>
              <w:t>0</w:t>
            </w:r>
          </w:p>
        </w:tc>
        <w:tc>
          <w:tcPr>
            <w:tcW w:w="1310" w:type="dxa"/>
          </w:tcPr>
          <w:p w:rsidR="009D2F13" w:rsidRPr="009D2F13" w:rsidRDefault="009D2F13" w:rsidP="009D2F13">
            <w:pPr>
              <w:jc w:val="right"/>
              <w:rPr>
                <w:b/>
                <w:bCs/>
                <w:iCs/>
              </w:rPr>
            </w:pPr>
            <w:r w:rsidRPr="009D2F13">
              <w:rPr>
                <w:b/>
                <w:bCs/>
                <w:iCs/>
              </w:rPr>
              <w:t>0</w:t>
            </w:r>
          </w:p>
        </w:tc>
      </w:tr>
      <w:tr w:rsidR="009D2F13" w:rsidRPr="009D2F13" w:rsidTr="0096653D">
        <w:trPr>
          <w:trHeight w:val="70"/>
          <w:jc w:val="center"/>
        </w:trPr>
        <w:tc>
          <w:tcPr>
            <w:tcW w:w="4661" w:type="dxa"/>
            <w:shd w:val="clear" w:color="auto" w:fill="C0C0C0"/>
            <w:noWrap/>
            <w:vAlign w:val="center"/>
          </w:tcPr>
          <w:p w:rsidR="009D2F13" w:rsidRPr="009D2F13" w:rsidRDefault="009D2F13" w:rsidP="009D2F13">
            <w:pPr>
              <w:rPr>
                <w:b/>
                <w:bCs/>
              </w:rPr>
            </w:pPr>
            <w:r w:rsidRPr="009D2F13">
              <w:rPr>
                <w:b/>
                <w:bCs/>
              </w:rPr>
              <w:t>Financovanie zabezpečené v rozpočte</w:t>
            </w:r>
          </w:p>
        </w:tc>
        <w:tc>
          <w:tcPr>
            <w:tcW w:w="1197" w:type="dxa"/>
            <w:noWrap/>
            <w:vAlign w:val="center"/>
          </w:tcPr>
          <w:p w:rsidR="009D2F13" w:rsidRPr="009D2F13" w:rsidRDefault="009D2F13" w:rsidP="009D2F13">
            <w:pPr>
              <w:jc w:val="right"/>
              <w:rPr>
                <w:b/>
                <w:bCs/>
                <w:iCs/>
              </w:rPr>
            </w:pPr>
            <w:r w:rsidRPr="009D2F13">
              <w:rPr>
                <w:b/>
                <w:bCs/>
                <w:iCs/>
              </w:rPr>
              <w:t>975.000</w:t>
            </w:r>
          </w:p>
        </w:tc>
        <w:tc>
          <w:tcPr>
            <w:tcW w:w="1337" w:type="dxa"/>
            <w:noWrap/>
            <w:vAlign w:val="center"/>
          </w:tcPr>
          <w:p w:rsidR="009D2F13" w:rsidRPr="009D2F13" w:rsidRDefault="009D2F13" w:rsidP="009D2F13">
            <w:pPr>
              <w:jc w:val="right"/>
              <w:rPr>
                <w:b/>
                <w:bCs/>
                <w:iCs/>
              </w:rPr>
            </w:pPr>
            <w:r w:rsidRPr="009D2F13">
              <w:rPr>
                <w:b/>
                <w:bCs/>
                <w:iCs/>
              </w:rPr>
              <w:t>250.000</w:t>
            </w:r>
          </w:p>
        </w:tc>
        <w:tc>
          <w:tcPr>
            <w:tcW w:w="1525" w:type="dxa"/>
            <w:noWrap/>
            <w:vAlign w:val="center"/>
          </w:tcPr>
          <w:p w:rsidR="009D2F13" w:rsidRPr="009D2F13" w:rsidRDefault="009D2F13" w:rsidP="009D2F13">
            <w:pPr>
              <w:jc w:val="right"/>
              <w:rPr>
                <w:b/>
                <w:bCs/>
                <w:iCs/>
              </w:rPr>
            </w:pPr>
            <w:r w:rsidRPr="009D2F13">
              <w:rPr>
                <w:b/>
                <w:bCs/>
                <w:iCs/>
              </w:rPr>
              <w:t>480.000</w:t>
            </w:r>
          </w:p>
        </w:tc>
        <w:tc>
          <w:tcPr>
            <w:tcW w:w="1310" w:type="dxa"/>
          </w:tcPr>
          <w:p w:rsidR="009D2F13" w:rsidRPr="009D2F13" w:rsidRDefault="009D2F13" w:rsidP="009D2F13">
            <w:pPr>
              <w:jc w:val="right"/>
              <w:rPr>
                <w:b/>
              </w:rPr>
            </w:pPr>
            <w:r w:rsidRPr="009D2F13">
              <w:rPr>
                <w:b/>
              </w:rPr>
              <w:t>480.000</w:t>
            </w:r>
          </w:p>
        </w:tc>
      </w:tr>
      <w:tr w:rsidR="009D2F13" w:rsidRPr="009D2F13" w:rsidTr="0096653D">
        <w:trPr>
          <w:trHeight w:val="552"/>
          <w:jc w:val="center"/>
        </w:trPr>
        <w:tc>
          <w:tcPr>
            <w:tcW w:w="4661" w:type="dxa"/>
            <w:noWrap/>
            <w:vAlign w:val="center"/>
          </w:tcPr>
          <w:p w:rsidR="009D2F13" w:rsidRPr="009D2F13" w:rsidRDefault="009D2F13" w:rsidP="009D2F13">
            <w:pPr>
              <w:rPr>
                <w:bCs/>
              </w:rPr>
            </w:pPr>
            <w:r w:rsidRPr="009D2F13">
              <w:rPr>
                <w:bCs/>
              </w:rPr>
              <w:t>v tom: Ministerstvo vnútra SR</w:t>
            </w:r>
          </w:p>
          <w:p w:rsidR="009D2F13" w:rsidRPr="009D2F13" w:rsidRDefault="009D2F13" w:rsidP="009D2F13">
            <w:r w:rsidRPr="009D2F13">
              <w:rPr>
                <w:bCs/>
              </w:rPr>
              <w:t xml:space="preserve"> </w:t>
            </w:r>
          </w:p>
        </w:tc>
        <w:tc>
          <w:tcPr>
            <w:tcW w:w="1197" w:type="dxa"/>
            <w:noWrap/>
            <w:vAlign w:val="center"/>
          </w:tcPr>
          <w:p w:rsidR="009D2F13" w:rsidRPr="009D2F13" w:rsidRDefault="009D2F13" w:rsidP="009D2F13">
            <w:pPr>
              <w:jc w:val="right"/>
              <w:rPr>
                <w:bCs/>
                <w:iCs/>
              </w:rPr>
            </w:pPr>
            <w:r w:rsidRPr="009D2F13">
              <w:rPr>
                <w:bCs/>
                <w:iCs/>
              </w:rPr>
              <w:t>975.000</w:t>
            </w:r>
          </w:p>
        </w:tc>
        <w:tc>
          <w:tcPr>
            <w:tcW w:w="1337" w:type="dxa"/>
            <w:noWrap/>
            <w:vAlign w:val="center"/>
          </w:tcPr>
          <w:p w:rsidR="009D2F13" w:rsidRPr="009D2F13" w:rsidRDefault="009D2F13" w:rsidP="009D2F13">
            <w:pPr>
              <w:jc w:val="right"/>
              <w:rPr>
                <w:bCs/>
                <w:iCs/>
              </w:rPr>
            </w:pPr>
            <w:r w:rsidRPr="009D2F13">
              <w:rPr>
                <w:bCs/>
                <w:iCs/>
              </w:rPr>
              <w:t>250.000</w:t>
            </w:r>
          </w:p>
        </w:tc>
        <w:tc>
          <w:tcPr>
            <w:tcW w:w="1525" w:type="dxa"/>
            <w:noWrap/>
            <w:vAlign w:val="center"/>
          </w:tcPr>
          <w:p w:rsidR="009D2F13" w:rsidRPr="009D2F13" w:rsidRDefault="009D2F13" w:rsidP="009D2F13">
            <w:pPr>
              <w:jc w:val="right"/>
              <w:rPr>
                <w:bCs/>
                <w:iCs/>
              </w:rPr>
            </w:pPr>
            <w:r w:rsidRPr="009D2F13">
              <w:rPr>
                <w:bCs/>
                <w:iCs/>
              </w:rPr>
              <w:t>480.000</w:t>
            </w:r>
          </w:p>
        </w:tc>
        <w:tc>
          <w:tcPr>
            <w:tcW w:w="1310" w:type="dxa"/>
            <w:vAlign w:val="center"/>
          </w:tcPr>
          <w:p w:rsidR="009D2F13" w:rsidRPr="009D2F13" w:rsidRDefault="009D2F13" w:rsidP="009D2F13">
            <w:pPr>
              <w:jc w:val="right"/>
            </w:pPr>
            <w:r w:rsidRPr="009D2F13">
              <w:t>480.000</w:t>
            </w:r>
          </w:p>
        </w:tc>
      </w:tr>
      <w:tr w:rsidR="009D2F13" w:rsidRPr="009D2F13" w:rsidTr="009D2F13">
        <w:trPr>
          <w:trHeight w:val="70"/>
          <w:jc w:val="center"/>
        </w:trPr>
        <w:tc>
          <w:tcPr>
            <w:tcW w:w="4661" w:type="dxa"/>
            <w:shd w:val="clear" w:color="auto" w:fill="BFBFBF"/>
            <w:noWrap/>
            <w:vAlign w:val="center"/>
          </w:tcPr>
          <w:p w:rsidR="009D2F13" w:rsidRPr="009D2F13" w:rsidRDefault="009D2F13" w:rsidP="009D2F13">
            <w:pPr>
              <w:rPr>
                <w:b/>
              </w:rPr>
            </w:pPr>
            <w:r w:rsidRPr="009D2F13">
              <w:rPr>
                <w:b/>
              </w:rPr>
              <w:t>Iné ako rozpočtové zdroje</w:t>
            </w:r>
          </w:p>
        </w:tc>
        <w:tc>
          <w:tcPr>
            <w:tcW w:w="1197" w:type="dxa"/>
            <w:shd w:val="clear" w:color="auto" w:fill="BFBFBF"/>
            <w:noWrap/>
            <w:vAlign w:val="center"/>
          </w:tcPr>
          <w:p w:rsidR="009D2F13" w:rsidRPr="009D2F13" w:rsidRDefault="009D2F13" w:rsidP="009D2F13">
            <w:pPr>
              <w:jc w:val="right"/>
              <w:rPr>
                <w:b/>
                <w:bCs/>
              </w:rPr>
            </w:pPr>
            <w:r w:rsidRPr="009D2F13">
              <w:rPr>
                <w:b/>
                <w:bCs/>
              </w:rPr>
              <w:t>0</w:t>
            </w:r>
          </w:p>
        </w:tc>
        <w:tc>
          <w:tcPr>
            <w:tcW w:w="1337" w:type="dxa"/>
            <w:shd w:val="clear" w:color="auto" w:fill="BFBFBF"/>
            <w:noWrap/>
            <w:vAlign w:val="center"/>
          </w:tcPr>
          <w:p w:rsidR="009D2F13" w:rsidRPr="009D2F13" w:rsidRDefault="009D2F13" w:rsidP="009D2F13">
            <w:pPr>
              <w:jc w:val="right"/>
              <w:rPr>
                <w:b/>
                <w:bCs/>
              </w:rPr>
            </w:pPr>
            <w:r w:rsidRPr="009D2F13">
              <w:rPr>
                <w:b/>
                <w:bCs/>
              </w:rPr>
              <w:t>0</w:t>
            </w:r>
          </w:p>
        </w:tc>
        <w:tc>
          <w:tcPr>
            <w:tcW w:w="1525" w:type="dxa"/>
            <w:shd w:val="clear" w:color="auto" w:fill="BFBFBF"/>
            <w:noWrap/>
            <w:vAlign w:val="center"/>
          </w:tcPr>
          <w:p w:rsidR="009D2F13" w:rsidRPr="009D2F13" w:rsidRDefault="009D2F13" w:rsidP="009D2F13">
            <w:pPr>
              <w:jc w:val="right"/>
              <w:rPr>
                <w:b/>
                <w:bCs/>
              </w:rPr>
            </w:pPr>
            <w:r w:rsidRPr="009D2F13">
              <w:rPr>
                <w:b/>
                <w:bCs/>
              </w:rPr>
              <w:t>0</w:t>
            </w:r>
          </w:p>
        </w:tc>
        <w:tc>
          <w:tcPr>
            <w:tcW w:w="1310" w:type="dxa"/>
            <w:shd w:val="clear" w:color="auto" w:fill="BFBFBF"/>
          </w:tcPr>
          <w:p w:rsidR="009D2F13" w:rsidRPr="009D2F13" w:rsidRDefault="009D2F13" w:rsidP="009D2F13">
            <w:pPr>
              <w:jc w:val="right"/>
              <w:rPr>
                <w:b/>
                <w:bCs/>
              </w:rPr>
            </w:pPr>
            <w:r w:rsidRPr="009D2F13">
              <w:rPr>
                <w:b/>
                <w:bCs/>
              </w:rPr>
              <w:t>0</w:t>
            </w:r>
          </w:p>
        </w:tc>
      </w:tr>
      <w:tr w:rsidR="009D2F13" w:rsidRPr="009D2F13" w:rsidTr="009D2F13">
        <w:trPr>
          <w:trHeight w:val="70"/>
          <w:jc w:val="center"/>
        </w:trPr>
        <w:tc>
          <w:tcPr>
            <w:tcW w:w="4661" w:type="dxa"/>
            <w:shd w:val="clear" w:color="auto" w:fill="A6A6A6"/>
            <w:noWrap/>
            <w:vAlign w:val="center"/>
          </w:tcPr>
          <w:p w:rsidR="009D2F13" w:rsidRPr="009D2F13" w:rsidRDefault="009D2F13" w:rsidP="009D2F13">
            <w:pPr>
              <w:rPr>
                <w:b/>
                <w:bCs/>
              </w:rPr>
            </w:pPr>
            <w:r w:rsidRPr="009D2F13">
              <w:rPr>
                <w:b/>
                <w:bCs/>
              </w:rPr>
              <w:t>Rozpočtovo nekrytý vplyv / úspora</w:t>
            </w:r>
          </w:p>
        </w:tc>
        <w:tc>
          <w:tcPr>
            <w:tcW w:w="1197" w:type="dxa"/>
            <w:shd w:val="clear" w:color="auto" w:fill="A6A6A6"/>
            <w:noWrap/>
            <w:vAlign w:val="center"/>
          </w:tcPr>
          <w:p w:rsidR="009D2F13" w:rsidRPr="009D2F13" w:rsidRDefault="009D2F13" w:rsidP="009D2F13">
            <w:pPr>
              <w:jc w:val="right"/>
              <w:rPr>
                <w:b/>
                <w:bCs/>
              </w:rPr>
            </w:pPr>
            <w:r w:rsidRPr="009D2F13">
              <w:rPr>
                <w:rFonts w:eastAsia="Calibri"/>
                <w:lang w:eastAsia="en-US"/>
              </w:rPr>
              <w:t>15.000</w:t>
            </w:r>
          </w:p>
        </w:tc>
        <w:tc>
          <w:tcPr>
            <w:tcW w:w="1337" w:type="dxa"/>
            <w:shd w:val="clear" w:color="auto" w:fill="A6A6A6"/>
            <w:noWrap/>
            <w:vAlign w:val="center"/>
          </w:tcPr>
          <w:p w:rsidR="009D2F13" w:rsidRPr="009D2F13" w:rsidRDefault="009D2F13" w:rsidP="009D2F13">
            <w:pPr>
              <w:jc w:val="right"/>
              <w:rPr>
                <w:b/>
                <w:bCs/>
              </w:rPr>
            </w:pPr>
            <w:r w:rsidRPr="009D2F13">
              <w:rPr>
                <w:rFonts w:eastAsia="Calibri"/>
                <w:lang w:eastAsia="en-US"/>
              </w:rPr>
              <w:t>0</w:t>
            </w:r>
          </w:p>
        </w:tc>
        <w:tc>
          <w:tcPr>
            <w:tcW w:w="1525" w:type="dxa"/>
            <w:shd w:val="clear" w:color="auto" w:fill="A6A6A6"/>
            <w:noWrap/>
            <w:vAlign w:val="center"/>
          </w:tcPr>
          <w:p w:rsidR="009D2F13" w:rsidRPr="009D2F13" w:rsidRDefault="009D2F13" w:rsidP="009D2F13">
            <w:pPr>
              <w:jc w:val="right"/>
              <w:rPr>
                <w:b/>
                <w:bCs/>
              </w:rPr>
            </w:pPr>
            <w:r w:rsidRPr="009D2F13">
              <w:rPr>
                <w:rFonts w:eastAsia="Calibri"/>
                <w:lang w:eastAsia="en-US"/>
              </w:rPr>
              <w:t>0</w:t>
            </w:r>
          </w:p>
        </w:tc>
        <w:tc>
          <w:tcPr>
            <w:tcW w:w="1310" w:type="dxa"/>
            <w:shd w:val="clear" w:color="auto" w:fill="A6A6A6"/>
          </w:tcPr>
          <w:p w:rsidR="009D2F13" w:rsidRPr="009D2F13" w:rsidRDefault="009D2F13" w:rsidP="009D2F13">
            <w:pPr>
              <w:jc w:val="right"/>
              <w:rPr>
                <w:b/>
              </w:rPr>
            </w:pPr>
            <w:r w:rsidRPr="009D2F13">
              <w:rPr>
                <w:b/>
              </w:rPr>
              <w:t>0</w:t>
            </w:r>
          </w:p>
        </w:tc>
      </w:tr>
      <w:tr w:rsidR="009D2F13" w:rsidRPr="009D2F13" w:rsidTr="0096653D">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F13" w:rsidRPr="009D2F13" w:rsidRDefault="009D2F13" w:rsidP="009D2F13">
            <w:pPr>
              <w:rPr>
                <w:rFonts w:eastAsia="Calibri"/>
              </w:rPr>
            </w:pPr>
            <w:r w:rsidRPr="009D2F13">
              <w:rPr>
                <w:bCs/>
              </w:rPr>
              <w:t xml:space="preserve">v tom: </w:t>
            </w:r>
            <w:r w:rsidRPr="009D2F13">
              <w:rPr>
                <w:rFonts w:eastAsia="Calibri"/>
              </w:rPr>
              <w:t>Ministerstvo školstva, vedy, výskumu a športu SR</w:t>
            </w:r>
          </w:p>
          <w:p w:rsidR="009D2F13" w:rsidRPr="009D2F13" w:rsidRDefault="009D2F13" w:rsidP="009D2F13">
            <w:pPr>
              <w:rPr>
                <w:bCs/>
              </w:rPr>
            </w:pPr>
          </w:p>
          <w:p w:rsidR="009D2F13" w:rsidRPr="009D2F13" w:rsidRDefault="009D2F13" w:rsidP="009D2F13">
            <w:pPr>
              <w:rPr>
                <w:bCs/>
              </w:rPr>
            </w:pPr>
            <w:r w:rsidRPr="009D2F13">
              <w:rPr>
                <w:bCs/>
              </w:rPr>
              <w:t xml:space="preserve">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F13" w:rsidRPr="009D2F13" w:rsidRDefault="009D2F13" w:rsidP="009D2F13">
            <w:pPr>
              <w:spacing w:after="200" w:line="276" w:lineRule="auto"/>
              <w:jc w:val="right"/>
              <w:rPr>
                <w:rFonts w:eastAsia="Calibri"/>
                <w:lang w:eastAsia="en-US"/>
              </w:rPr>
            </w:pPr>
            <w:r w:rsidRPr="009D2F13">
              <w:rPr>
                <w:rFonts w:eastAsia="Calibri"/>
                <w:lang w:eastAsia="en-US"/>
              </w:rPr>
              <w:t>15.000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F13" w:rsidRPr="009D2F13" w:rsidRDefault="009D2F13" w:rsidP="009D2F13">
            <w:pPr>
              <w:spacing w:after="200" w:line="276" w:lineRule="auto"/>
              <w:jc w:val="right"/>
              <w:rPr>
                <w:rFonts w:eastAsia="Calibri"/>
                <w:lang w:eastAsia="en-US"/>
              </w:rPr>
            </w:pPr>
            <w:r w:rsidRPr="009D2F13">
              <w:rPr>
                <w:rFonts w:eastAsia="Calibri"/>
                <w:lang w:eastAsia="en-US"/>
              </w:rPr>
              <w:t>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2F13" w:rsidRPr="009D2F13" w:rsidRDefault="009D2F13" w:rsidP="009D2F13">
            <w:pPr>
              <w:spacing w:after="200" w:line="276" w:lineRule="auto"/>
              <w:jc w:val="right"/>
              <w:rPr>
                <w:rFonts w:eastAsia="Calibri"/>
                <w:lang w:eastAsia="en-US"/>
              </w:rPr>
            </w:pPr>
            <w:r w:rsidRPr="009D2F13">
              <w:rPr>
                <w:rFonts w:eastAsia="Calibri"/>
                <w:lang w:eastAsia="en-US"/>
              </w:rPr>
              <w:t>0</w:t>
            </w:r>
          </w:p>
        </w:tc>
        <w:tc>
          <w:tcPr>
            <w:tcW w:w="1310" w:type="dxa"/>
            <w:tcBorders>
              <w:top w:val="single" w:sz="4" w:space="0" w:color="auto"/>
              <w:left w:val="single" w:sz="4" w:space="0" w:color="auto"/>
              <w:bottom w:val="single" w:sz="4" w:space="0" w:color="auto"/>
              <w:right w:val="single" w:sz="4" w:space="0" w:color="auto"/>
            </w:tcBorders>
            <w:vAlign w:val="center"/>
          </w:tcPr>
          <w:p w:rsidR="009D2F13" w:rsidRPr="009D2F13" w:rsidRDefault="009D2F13" w:rsidP="009D2F13">
            <w:pPr>
              <w:spacing w:after="200" w:line="276" w:lineRule="auto"/>
              <w:jc w:val="right"/>
              <w:rPr>
                <w:rFonts w:eastAsia="Calibri"/>
                <w:lang w:eastAsia="en-US"/>
              </w:rPr>
            </w:pPr>
            <w:r w:rsidRPr="009D2F13">
              <w:rPr>
                <w:rFonts w:eastAsia="Calibri"/>
                <w:lang w:eastAsia="en-US"/>
              </w:rPr>
              <w:t>0</w:t>
            </w:r>
          </w:p>
        </w:tc>
      </w:tr>
    </w:tbl>
    <w:p w:rsidR="009D2F13" w:rsidRPr="009D2F13" w:rsidRDefault="009D2F13" w:rsidP="009D2F13">
      <w:pPr>
        <w:spacing w:after="200" w:line="276" w:lineRule="auto"/>
        <w:rPr>
          <w:b/>
          <w:bCs/>
        </w:rPr>
      </w:pPr>
      <w:r w:rsidRPr="009D2F13">
        <w:rPr>
          <w:b/>
          <w:bCs/>
        </w:rPr>
        <w:br w:type="page"/>
      </w:r>
      <w:r w:rsidRPr="009D2F13">
        <w:rPr>
          <w:b/>
          <w:bCs/>
        </w:rPr>
        <w:lastRenderedPageBreak/>
        <w:t>2.1.1. Financovanie návrhu – Návrh na riešenie úbytku príjmov alebo zvýšených výdavkov podľa § 33 ods. 1 zákona č. 523/2004 Z. z. o rozpočtových pravidlách verejnej správy:</w:t>
      </w:r>
    </w:p>
    <w:p w:rsidR="009D2F13" w:rsidRPr="009D2F13" w:rsidRDefault="009D2F13" w:rsidP="009D2F13">
      <w:pPr>
        <w:jc w:val="both"/>
        <w:rPr>
          <w:b/>
          <w:bCs/>
          <w:sz w:val="12"/>
        </w:rPr>
      </w:pP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jc w:val="both"/>
        <w:rPr>
          <w:rFonts w:ascii="Times" w:hAnsi="Times" w:cs="Times"/>
        </w:rPr>
      </w:pPr>
      <w:r w:rsidRPr="009D2F13">
        <w:rPr>
          <w:rFonts w:ascii="Times" w:hAnsi="Times" w:cs="Times"/>
        </w:rPr>
        <w:t>Návrh zákona, ktorým sa mení a dopĺňa zákon č. 190/2003 Z. z. o strelných zbraniach a strelive a o zmene a doplnení niektorých zákonov v znení neskorších predpisov a ktorým sa menia a dopĺňajú niektoré zákony (ďalej len „návrh zákona“) predpokladá negatívny vplyv na rozpočet verejnej správy. Návrh zákona si vyžaduje zvýšenie limitu finančných prostriedkov, ktoré je potrebné zohľadniť v rozpočte kapitoly MV SR na rok 2021 a aj v návrhu rozpočtu verejnej správy na roky 2022 – 2024. Na základe uvedeného výdavky vypočítané v analýze vplyvov na rozpočet verejnej správy bude Ministerstvo vnútra  uplatňovať  prostredníctvom zvýšenia rozpočtu na rok 2022 - 2024 v rozpočtovej kapitole Ministerstva vnútra SR.</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jc w:val="both"/>
        <w:rPr>
          <w:rFonts w:ascii="Times" w:hAnsi="Times" w:cs="Times"/>
        </w:rPr>
      </w:pPr>
      <w:r w:rsidRPr="009D2F13">
        <w:rPr>
          <w:rFonts w:ascii="Times" w:hAnsi="Times" w:cs="Times"/>
        </w:rPr>
        <w:t xml:space="preserve">Návrh bude vyžadovať zvýšenie limitu finančných prostriedkov (o cca </w:t>
      </w:r>
      <w:r w:rsidRPr="009D2F13">
        <w:rPr>
          <w:rFonts w:eastAsia="Calibri"/>
        </w:rPr>
        <w:t>15.000 eur)</w:t>
      </w:r>
      <w:r w:rsidRPr="009D2F13">
        <w:rPr>
          <w:rFonts w:ascii="Times" w:hAnsi="Times" w:cs="Times"/>
        </w:rPr>
        <w:t>, ktoré nie sú zohľadnené v rozpočte kapitoly Ministerstva školstva, vedy, výskumu a športu SR (ďalej len MŠVVaŠ SR) na rok 2021 a ani v návrhu rozpočtu verejnej správy na roky 2021– 2024 a MŠVVaŠ SR nie je schopné zabezpečiť zvýšené výdavky v rámci vlastných rozpočtových zdrojov. Zvýšené náklady navrhovanej právnej úpravy tvorí vytvorenie API rozhrania na umožnenie čítania údajov informačného systému športu MV SR. Na základe uvedeného bude MŠVVaŠ SR uplatňovať výdavky spojené s vyššie uvedenými potrebami na MF SR formou zvýšeného rozpočtu rozpočtovej kapitoly MŠVVaŠ SR.</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rPr>
          <w:rFonts w:ascii="Times" w:hAnsi="Times" w:cs="Times"/>
        </w:rPr>
      </w:pP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jc w:val="both"/>
        <w:rPr>
          <w:rFonts w:ascii="Times" w:hAnsi="Times" w:cs="Times"/>
        </w:rPr>
      </w:pPr>
      <w:r w:rsidRPr="009D2F13">
        <w:rPr>
          <w:rFonts w:ascii="Times" w:hAnsi="Times" w:cs="Times"/>
        </w:rPr>
        <w:t>Vychádzajúc z negatívnych vplyvov na roky 2021, 2022, 2023 a 2024 vyplývajúcich z predloženého návrhu zákona bude potrebné zabezpečiť:</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jc w:val="both"/>
        <w:rPr>
          <w:bCs/>
        </w:rPr>
      </w:pPr>
      <w:r w:rsidRPr="009D2F13">
        <w:rPr>
          <w:rFonts w:ascii="Times" w:hAnsi="Times" w:cs="Times"/>
        </w:rPr>
        <w:t xml:space="preserve">- zmenu systému isvs_179: </w:t>
      </w:r>
      <w:r w:rsidRPr="009D2F13">
        <w:rPr>
          <w:b/>
          <w:bCs/>
        </w:rPr>
        <w:t xml:space="preserve"> </w:t>
      </w:r>
      <w:r w:rsidRPr="009D2F13">
        <w:rPr>
          <w:bCs/>
        </w:rPr>
        <w:t>Informačného systému zbraní streliva a strelníc</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jc w:val="both"/>
        <w:rPr>
          <w:bCs/>
        </w:rPr>
      </w:pPr>
      <w:r w:rsidRPr="009D2F13">
        <w:rPr>
          <w:bCs/>
        </w:rPr>
        <w:t>v dvoch etapách:</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rPr>
          <w:bCs/>
        </w:rPr>
      </w:pPr>
      <w:r w:rsidRPr="009D2F13">
        <w:rPr>
          <w:bCs/>
        </w:rPr>
        <w:t>I. etapa sa uskutoční v roku  2021 = 975.000,- eur</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rPr>
          <w:bCs/>
        </w:rPr>
      </w:pPr>
      <w:r w:rsidRPr="009D2F13">
        <w:rPr>
          <w:bCs/>
        </w:rPr>
        <w:t>II. etapa sa uskutoční v roku 2022 = 250.000,- eur</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rPr>
          <w:bCs/>
        </w:rPr>
      </w:pPr>
      <w:r w:rsidRPr="009D2F13">
        <w:rPr>
          <w:bCs/>
        </w:rPr>
        <w:t xml:space="preserve">                   v  rokoch 2023 - 2024 = 960.000,- eur</w:t>
      </w:r>
    </w:p>
    <w:p w:rsidR="009D2F13" w:rsidRPr="009D2F13" w:rsidRDefault="009D2F13" w:rsidP="009D2F13">
      <w:pPr>
        <w:pBdr>
          <w:top w:val="single" w:sz="4" w:space="1" w:color="auto"/>
          <w:left w:val="single" w:sz="4" w:space="4" w:color="auto"/>
          <w:bottom w:val="single" w:sz="4" w:space="0" w:color="auto"/>
          <w:right w:val="single" w:sz="4" w:space="4" w:color="auto"/>
        </w:pBdr>
        <w:spacing w:line="276" w:lineRule="auto"/>
        <w:jc w:val="both"/>
        <w:rPr>
          <w:bCs/>
        </w:rPr>
      </w:pPr>
      <w:r w:rsidRPr="009D2F13">
        <w:rPr>
          <w:bCs/>
        </w:rPr>
        <w:t>Odhad súm vyplýva z expertíznych odhadov požadovaných úprav a z porovnaní bežných cien potrebných na ich zavedenie. Podrobnejšie nie je možné jednotlivé úkony rozpísať nakoľko na každý jeden bod úprav sú potrebné aktivity uvedené nižšie. To znamená, že je potrebné v každom bode požiadavku na úpravu informačného systému po zaslaní špecifikácie analyzovať, následne prebieha vývoj a programovanie, nasadenie do testovacieho prostredia, testovanie. Ak je funkčnosť úprav v súlade s požiadavkami nasadzujú sa úpravy do produkčného prostredia. V prípade, že nie sú splnené požiadavky, posiela sa na prepracovanie dodávateľovi. Položka „Podpora produkcie“ zahŕňa nasadzovanie do produkčného prostredia, úvodnú podporu počas nábehu produkcie, dokumentáciu a riešenie vzniknutých aplikačných problémov. Niektoré z tých úprav sa prelínajú a preto nie je možné ich vyčísliť jednotlivo. Návrh zákona nepredpokladá zvýšené výdavky na zamestnanosť.</w:t>
      </w:r>
    </w:p>
    <w:p w:rsidR="009D2F13" w:rsidRPr="009D2F13" w:rsidRDefault="009D2F13" w:rsidP="009D2F13">
      <w:pPr>
        <w:pBdr>
          <w:top w:val="single" w:sz="4" w:space="1" w:color="auto"/>
          <w:left w:val="single" w:sz="4" w:space="4" w:color="auto"/>
          <w:bottom w:val="single" w:sz="4" w:space="0" w:color="auto"/>
          <w:right w:val="single" w:sz="4" w:space="4" w:color="auto"/>
        </w:pBdr>
        <w:jc w:val="both"/>
        <w:rPr>
          <w:bCs/>
        </w:rPr>
      </w:pPr>
    </w:p>
    <w:p w:rsidR="009D2F13" w:rsidRPr="009D2F13" w:rsidRDefault="009D2F13" w:rsidP="009D2F13">
      <w:pPr>
        <w:rPr>
          <w:bCs/>
        </w:rPr>
      </w:pPr>
    </w:p>
    <w:p w:rsidR="009D2F13" w:rsidRPr="009D2F13" w:rsidRDefault="009D2F13" w:rsidP="009D2F13">
      <w:pPr>
        <w:rPr>
          <w:b/>
          <w:bCs/>
        </w:rPr>
      </w:pPr>
      <w:r w:rsidRPr="009D2F13">
        <w:rPr>
          <w:b/>
          <w:bCs/>
        </w:rPr>
        <w:t>2.2. Popis a charakteristika návrhu</w:t>
      </w:r>
    </w:p>
    <w:p w:rsidR="009D2F13" w:rsidRPr="009D2F13" w:rsidRDefault="009D2F13" w:rsidP="009D2F13"/>
    <w:p w:rsidR="009D2F13" w:rsidRPr="009D2F13" w:rsidRDefault="009D2F13" w:rsidP="009D2F13">
      <w:pPr>
        <w:jc w:val="both"/>
        <w:rPr>
          <w:b/>
          <w:bCs/>
        </w:rPr>
      </w:pPr>
      <w:r w:rsidRPr="009D2F13">
        <w:rPr>
          <w:b/>
          <w:bCs/>
        </w:rPr>
        <w:t>2.2.1. Popis návrhu:</w:t>
      </w:r>
    </w:p>
    <w:p w:rsidR="009D2F13" w:rsidRPr="009D2F13" w:rsidRDefault="009D2F13" w:rsidP="009D2F13">
      <w:pPr>
        <w:jc w:val="both"/>
        <w:rPr>
          <w:b/>
          <w:bCs/>
        </w:rPr>
      </w:pPr>
    </w:p>
    <w:p w:rsidR="009D2F13" w:rsidRPr="009D2F13" w:rsidRDefault="009D2F13" w:rsidP="009D2F13">
      <w:pPr>
        <w:spacing w:line="276" w:lineRule="auto"/>
        <w:jc w:val="both"/>
        <w:rPr>
          <w:strike/>
        </w:rPr>
      </w:pPr>
      <w:r w:rsidRPr="009D2F13">
        <w:lastRenderedPageBreak/>
        <w:tab/>
        <w:t xml:space="preserve">Návrh zákona vypracovaný Ministerstvom vnútra Slovenskej republiky sa predkladá v súvislosti s transpozíciou smernice Európskeho Parlamentu a Rady (EÚ) 2017/853 zo 17. mája 2017, ktorou sa mení smernica Rady 91/477/EHS o kontrole získavania a vlastnenia zbraní (ďalej len „smernica“) a v súvislosti s prijatím vykonávacieho nariadenia Komisie (EÚ) 2018/337 z 5. marca 2018, ktorým sa mení vykonávacie nariadenie (EÚ) 2015/2403, ktorým sa stanovujú spoločné usmernenia pre normy a techniky na </w:t>
      </w:r>
      <w:proofErr w:type="spellStart"/>
      <w:r w:rsidRPr="009D2F13">
        <w:t>deaktiváciu</w:t>
      </w:r>
      <w:proofErr w:type="spellEnd"/>
      <w:r w:rsidRPr="009D2F13">
        <w:t xml:space="preserve"> na zabezpečenie trvalej nepoužiteľnosti deaktivovaných strelných zbraní (ďalej len „nariadenie“).</w:t>
      </w:r>
    </w:p>
    <w:p w:rsidR="009D2F13" w:rsidRPr="009D2F13" w:rsidRDefault="009D2F13" w:rsidP="009D2F13">
      <w:pPr>
        <w:spacing w:line="276" w:lineRule="auto"/>
        <w:jc w:val="both"/>
      </w:pPr>
    </w:p>
    <w:p w:rsidR="009D2F13" w:rsidRPr="009D2F13" w:rsidRDefault="009D2F13" w:rsidP="009D2F13">
      <w:pPr>
        <w:spacing w:line="276" w:lineRule="auto"/>
        <w:jc w:val="both"/>
      </w:pPr>
      <w:r w:rsidRPr="009D2F13">
        <w:tab/>
        <w:t>Návrh zákona predstavuje elektronizáciu spoločnosti, konkrétne elektronizáciu verejnej správy v rámci podnikateľského prostredia. Zároveň elektronizácia v oblasti zbraní a streliva vyplýva z čl. 4 ods. 4 smernice.  Za týmto účelom sa zavádza osobitná informačná povinnosť podnikateľov na úseku zbraní a streliva (držitelia zbrojných licencií), ktorí budú povinní viesť evidenciu zbraní a streliva prostredníctvom elektronickej služby zriadenej na tento účel. Zavedenie povinnosti vyplynulo zo smernice, ktorá ukladá členským štátom povinnosť zabezpečiť, aby podnikatelia v oblasti zbraní a streliva oznamovali transakcie zbraní a streliva príslušným orgánom prostredníctvom elektronického spojenia, a aby boli informačné systémy okamžite po prijatí týchto informácií aktualizované. V informačnom systéme bude potrebné vykonať zmeny a úpravy, ktoré zabezpečia oprávneným subjektom prístup do informačného systému, ktorý zaznamenáva všetky informácie týkajúce sa strelných zbraní, ktoré sú potrebné na ich vysledovanie a identifikáciu. Pozornosť sa venuje tiež zlepšeniu fungovania výmeny informácií medzi členskými štátmi.</w:t>
      </w:r>
    </w:p>
    <w:p w:rsidR="009D2F13" w:rsidRPr="009D2F13" w:rsidRDefault="009D2F13" w:rsidP="009D2F13">
      <w:pPr>
        <w:spacing w:line="276" w:lineRule="auto"/>
        <w:ind w:firstLine="708"/>
        <w:jc w:val="both"/>
        <w:rPr>
          <w:rFonts w:eastAsia="Calibri"/>
          <w:bCs/>
          <w:lang w:eastAsia="en-US"/>
        </w:rPr>
      </w:pPr>
      <w:r w:rsidRPr="009D2F13">
        <w:rPr>
          <w:rFonts w:eastAsia="Calibri"/>
          <w:bCs/>
          <w:lang w:eastAsia="en-US"/>
        </w:rPr>
        <w:t>Návrhom zákona sa v čl. III navrhuje zmena v sadzobníku správnych poplatkov v položkách 30 až 32 a navrhuje sa zrušenie položky 33. Zmeny sa týkajú najmä výšky správnych poplatkov, ktorá reflektuje na skutočné náklady orgánu, ktorý poskytuje poplatníkovi protihodnotu v podobe krytia podielu na personálnych nákladoch, materiálnych nákladoch a informačno-technologických nákladoch.</w:t>
      </w:r>
      <w:r w:rsidRPr="009D2F13">
        <w:rPr>
          <w:rFonts w:ascii="Calibri" w:eastAsia="Calibri" w:hAnsi="Calibri"/>
          <w:lang w:eastAsia="en-US"/>
        </w:rPr>
        <w:t xml:space="preserve"> </w:t>
      </w:r>
      <w:r w:rsidRPr="009D2F13">
        <w:rPr>
          <w:rFonts w:eastAsia="Calibri"/>
          <w:lang w:eastAsia="en-US"/>
        </w:rPr>
        <w:t>Vo vzťahu k oslobodeniu</w:t>
      </w:r>
      <w:r w:rsidRPr="009D2F13">
        <w:rPr>
          <w:rFonts w:ascii="Calibri" w:eastAsia="Calibri" w:hAnsi="Calibri"/>
          <w:lang w:eastAsia="en-US"/>
        </w:rPr>
        <w:t xml:space="preserve"> </w:t>
      </w:r>
      <w:r w:rsidRPr="009D2F13">
        <w:rPr>
          <w:rFonts w:eastAsia="Calibri"/>
          <w:bCs/>
          <w:lang w:eastAsia="en-US"/>
        </w:rPr>
        <w:t>a poznámkam v položkách 30 až 32 je potrebné z hľadiska zjednotenia jednotlivých písmen položiek ich celé prepracovať a aktualizovať. Pri úprave oslobodení boli upravené aj poznámky týkajúce sa zosúladenia s platnými právnymi predpismi. Vzhľadom na mnohé zmeny v návrhu zákona (napr. zmena kategórie zbraní, zmeny podmienok nadobúdania niektorých druhov zbraní, zavedenie evidencie niektorých druhov zbraní), pričom nie je zrejmý počet subjektov, ktorých sa tieto zmeny dotknú, nie je možné určiť ani približné príjmy do štátneho rozpočtu z vybraných správnych poplatkov.</w:t>
      </w:r>
    </w:p>
    <w:p w:rsidR="009D2F13" w:rsidRPr="009D2F13" w:rsidRDefault="009D2F13" w:rsidP="009D2F13">
      <w:pPr>
        <w:spacing w:line="276" w:lineRule="auto"/>
        <w:jc w:val="both"/>
      </w:pPr>
      <w:r w:rsidRPr="009D2F13">
        <w:t>.................................................................................................................................................</w:t>
      </w:r>
    </w:p>
    <w:p w:rsidR="009D2F13" w:rsidRPr="009D2F13" w:rsidRDefault="009D2F13" w:rsidP="009D2F13"/>
    <w:p w:rsidR="009D2F13" w:rsidRPr="009D2F13" w:rsidRDefault="009D2F13" w:rsidP="009D2F13">
      <w:pPr>
        <w:rPr>
          <w:b/>
          <w:bCs/>
        </w:rPr>
      </w:pPr>
      <w:r w:rsidRPr="009D2F13">
        <w:rPr>
          <w:b/>
          <w:bCs/>
        </w:rPr>
        <w:t>2.2.2. Charakteristika návrhu:</w:t>
      </w:r>
    </w:p>
    <w:p w:rsidR="009D2F13" w:rsidRPr="009D2F13" w:rsidRDefault="009D2F13" w:rsidP="009D2F13"/>
    <w:p w:rsidR="009D2F13" w:rsidRPr="009D2F13" w:rsidRDefault="009D2F13" w:rsidP="009D2F13">
      <w:r w:rsidRPr="009D2F13">
        <w:rPr>
          <w:b/>
          <w:bdr w:val="single" w:sz="4" w:space="0" w:color="auto"/>
        </w:rPr>
        <w:t xml:space="preserve">     </w:t>
      </w:r>
      <w:r w:rsidRPr="009D2F13">
        <w:rPr>
          <w:b/>
        </w:rPr>
        <w:t xml:space="preserve">  </w:t>
      </w:r>
      <w:r w:rsidRPr="009D2F13">
        <w:t>zmena sadzby</w:t>
      </w:r>
    </w:p>
    <w:p w:rsidR="009D2F13" w:rsidRPr="009D2F13" w:rsidRDefault="009D2F13" w:rsidP="009D2F13">
      <w:r w:rsidRPr="009D2F13">
        <w:rPr>
          <w:bdr w:val="single" w:sz="4" w:space="0" w:color="auto"/>
        </w:rPr>
        <w:t xml:space="preserve">     </w:t>
      </w:r>
      <w:r w:rsidRPr="009D2F13">
        <w:t xml:space="preserve">  zmena v nároku</w:t>
      </w:r>
    </w:p>
    <w:p w:rsidR="009D2F13" w:rsidRPr="009D2F13" w:rsidRDefault="009D2F13" w:rsidP="009D2F13">
      <w:r w:rsidRPr="009D2F13">
        <w:rPr>
          <w:bdr w:val="single" w:sz="4" w:space="0" w:color="auto"/>
        </w:rPr>
        <w:t xml:space="preserve">     </w:t>
      </w:r>
      <w:r w:rsidRPr="009D2F13">
        <w:t xml:space="preserve">  nová služba alebo nariadenie (alebo ich zrušenie)</w:t>
      </w:r>
    </w:p>
    <w:p w:rsidR="009D2F13" w:rsidRPr="009D2F13" w:rsidRDefault="009D2F13" w:rsidP="009D2F13">
      <w:r w:rsidRPr="009D2F13">
        <w:rPr>
          <w:bdr w:val="single" w:sz="4" w:space="0" w:color="auto"/>
        </w:rPr>
        <w:t xml:space="preserve"> x  </w:t>
      </w:r>
      <w:r w:rsidRPr="009D2F13">
        <w:t xml:space="preserve">  kombinovaný návrh</w:t>
      </w:r>
    </w:p>
    <w:p w:rsidR="009D2F13" w:rsidRPr="009D2F13" w:rsidRDefault="009D2F13" w:rsidP="009D2F13">
      <w:r w:rsidRPr="009D2F13">
        <w:rPr>
          <w:bdr w:val="single" w:sz="4" w:space="0" w:color="auto"/>
        </w:rPr>
        <w:t xml:space="preserve">     </w:t>
      </w:r>
      <w:r w:rsidRPr="009D2F13">
        <w:t xml:space="preserve">  iné </w:t>
      </w:r>
    </w:p>
    <w:p w:rsidR="009D2F13" w:rsidRPr="009D2F13" w:rsidRDefault="009D2F13" w:rsidP="009D2F13"/>
    <w:p w:rsidR="009D2F13" w:rsidRPr="009D2F13" w:rsidRDefault="009D2F13" w:rsidP="009D2F13"/>
    <w:p w:rsidR="009D2F13" w:rsidRPr="009D2F13" w:rsidRDefault="009D2F13" w:rsidP="009D2F13">
      <w:r w:rsidRPr="009D2F13">
        <w:rPr>
          <w:b/>
          <w:bCs/>
        </w:rPr>
        <w:t>2.2.3. Predpoklady vývoja objemu aktivít:</w:t>
      </w:r>
    </w:p>
    <w:p w:rsidR="009D2F13" w:rsidRPr="009D2F13" w:rsidRDefault="009D2F13" w:rsidP="009D2F13"/>
    <w:p w:rsidR="009D2F13" w:rsidRPr="009D2F13" w:rsidRDefault="009D2F13" w:rsidP="009D2F13">
      <w:pPr>
        <w:ind w:firstLine="708"/>
        <w:jc w:val="both"/>
      </w:pPr>
      <w:r w:rsidRPr="009D2F13">
        <w:lastRenderedPageBreak/>
        <w:t>Jasne popíšte, v prípade potreby použite nižšie uvedenú tabuľku. Uveďte aj odhady základov daní a/alebo poplatkov, ak sa ich táto zmena týka.</w:t>
      </w:r>
    </w:p>
    <w:p w:rsidR="009D2F13" w:rsidRPr="009D2F13" w:rsidRDefault="009D2F13" w:rsidP="009D2F13">
      <w:pPr>
        <w:spacing w:after="200" w:line="276" w:lineRule="auto"/>
        <w:jc w:val="right"/>
        <w:rPr>
          <w:rFonts w:eastAsia="Calibri"/>
          <w:sz w:val="20"/>
          <w:szCs w:val="20"/>
        </w:rPr>
      </w:pPr>
      <w:r w:rsidRPr="009D2F13">
        <w:rPr>
          <w:rFonts w:eastAsia="Calibri"/>
          <w:sz w:val="20"/>
          <w:szCs w:val="20"/>
        </w:rPr>
        <w:t xml:space="preserve">Tabuľka č. 2 </w:t>
      </w:r>
    </w:p>
    <w:tbl>
      <w:tblPr>
        <w:tblW w:w="0" w:type="auto"/>
        <w:tblInd w:w="78" w:type="dxa"/>
        <w:tblCellMar>
          <w:left w:w="0" w:type="dxa"/>
          <w:right w:w="0" w:type="dxa"/>
        </w:tblCellMar>
        <w:tblLook w:val="04A0" w:firstRow="1" w:lastRow="0" w:firstColumn="1" w:lastColumn="0" w:noHBand="0" w:noVBand="1"/>
      </w:tblPr>
      <w:tblGrid>
        <w:gridCol w:w="4283"/>
        <w:gridCol w:w="1381"/>
        <w:gridCol w:w="1134"/>
        <w:gridCol w:w="1134"/>
        <w:gridCol w:w="1134"/>
      </w:tblGrid>
      <w:tr w:rsidR="009D2F13" w:rsidRPr="009D2F13" w:rsidTr="0096653D">
        <w:trPr>
          <w:cantSplit/>
          <w:trHeight w:val="70"/>
        </w:trPr>
        <w:tc>
          <w:tcPr>
            <w:tcW w:w="4283"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9D2F13" w:rsidRPr="009D2F13" w:rsidRDefault="009D2F13" w:rsidP="009D2F13">
            <w:pPr>
              <w:autoSpaceDE w:val="0"/>
              <w:autoSpaceDN w:val="0"/>
              <w:spacing w:after="200" w:line="70" w:lineRule="atLeast"/>
              <w:jc w:val="center"/>
              <w:rPr>
                <w:rFonts w:eastAsia="Calibri"/>
                <w:b/>
                <w:bCs/>
              </w:rPr>
            </w:pPr>
            <w:r w:rsidRPr="009D2F13">
              <w:rPr>
                <w:rFonts w:eastAsia="Calibri"/>
                <w:b/>
                <w:bCs/>
              </w:rPr>
              <w:t>Objem aktivít</w:t>
            </w:r>
          </w:p>
        </w:tc>
        <w:tc>
          <w:tcPr>
            <w:tcW w:w="4783"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9D2F13" w:rsidRPr="009D2F13" w:rsidRDefault="009D2F13" w:rsidP="009D2F13">
            <w:pPr>
              <w:autoSpaceDE w:val="0"/>
              <w:autoSpaceDN w:val="0"/>
              <w:spacing w:after="200" w:line="70" w:lineRule="atLeast"/>
              <w:jc w:val="center"/>
              <w:rPr>
                <w:rFonts w:eastAsia="Calibri"/>
                <w:b/>
                <w:bCs/>
              </w:rPr>
            </w:pPr>
            <w:r w:rsidRPr="009D2F13">
              <w:rPr>
                <w:rFonts w:eastAsia="Calibri"/>
                <w:b/>
                <w:bCs/>
              </w:rPr>
              <w:t>Odhadované objemy</w:t>
            </w:r>
          </w:p>
        </w:tc>
      </w:tr>
      <w:tr w:rsidR="009D2F13" w:rsidRPr="009D2F13" w:rsidTr="0096653D">
        <w:trPr>
          <w:cantSplit/>
          <w:trHeight w:val="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9D2F13" w:rsidRPr="009D2F13" w:rsidRDefault="009D2F13" w:rsidP="009D2F13">
            <w:pPr>
              <w:spacing w:after="200" w:line="276" w:lineRule="auto"/>
              <w:rPr>
                <w:rFonts w:eastAsia="Calibri"/>
                <w:b/>
                <w:bCs/>
              </w:rPr>
            </w:pPr>
          </w:p>
        </w:tc>
        <w:tc>
          <w:tcPr>
            <w:tcW w:w="138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9D2F13" w:rsidRPr="009D2F13" w:rsidRDefault="009D2F13" w:rsidP="009D2F13">
            <w:pPr>
              <w:autoSpaceDE w:val="0"/>
              <w:autoSpaceDN w:val="0"/>
              <w:spacing w:after="200" w:line="70" w:lineRule="atLeast"/>
              <w:jc w:val="center"/>
              <w:rPr>
                <w:rFonts w:eastAsia="Calibri"/>
                <w:b/>
                <w:bCs/>
              </w:rPr>
            </w:pPr>
            <w:r w:rsidRPr="009D2F13">
              <w:rPr>
                <w:rFonts w:eastAsia="Calibri"/>
                <w:b/>
                <w:bCs/>
              </w:rPr>
              <w:t>r</w:t>
            </w:r>
          </w:p>
        </w:tc>
        <w:tc>
          <w:tcPr>
            <w:tcW w:w="113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9D2F13" w:rsidRPr="009D2F13" w:rsidRDefault="009D2F13" w:rsidP="009D2F13">
            <w:pPr>
              <w:autoSpaceDE w:val="0"/>
              <w:autoSpaceDN w:val="0"/>
              <w:spacing w:after="200" w:line="70" w:lineRule="atLeast"/>
              <w:jc w:val="center"/>
              <w:rPr>
                <w:rFonts w:eastAsia="Calibri"/>
                <w:b/>
                <w:bCs/>
              </w:rPr>
            </w:pPr>
            <w:r w:rsidRPr="009D2F13">
              <w:rPr>
                <w:rFonts w:eastAsia="Calibri"/>
                <w:b/>
                <w:bCs/>
              </w:rPr>
              <w:t>r + 1</w:t>
            </w:r>
          </w:p>
        </w:tc>
        <w:tc>
          <w:tcPr>
            <w:tcW w:w="113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9D2F13" w:rsidRPr="009D2F13" w:rsidRDefault="009D2F13" w:rsidP="009D2F13">
            <w:pPr>
              <w:autoSpaceDE w:val="0"/>
              <w:autoSpaceDN w:val="0"/>
              <w:spacing w:after="200" w:line="70" w:lineRule="atLeast"/>
              <w:jc w:val="center"/>
              <w:rPr>
                <w:rFonts w:eastAsia="Calibri"/>
                <w:b/>
                <w:bCs/>
              </w:rPr>
            </w:pPr>
            <w:r w:rsidRPr="009D2F13">
              <w:rPr>
                <w:rFonts w:eastAsia="Calibri"/>
                <w:b/>
                <w:bCs/>
              </w:rPr>
              <w:t>r + 2</w:t>
            </w:r>
          </w:p>
        </w:tc>
        <w:tc>
          <w:tcPr>
            <w:tcW w:w="113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9D2F13" w:rsidRPr="009D2F13" w:rsidRDefault="009D2F13" w:rsidP="009D2F13">
            <w:pPr>
              <w:autoSpaceDE w:val="0"/>
              <w:autoSpaceDN w:val="0"/>
              <w:spacing w:after="200" w:line="70" w:lineRule="atLeast"/>
              <w:jc w:val="center"/>
              <w:rPr>
                <w:rFonts w:eastAsia="Calibri"/>
                <w:b/>
                <w:bCs/>
              </w:rPr>
            </w:pPr>
            <w:r w:rsidRPr="009D2F13">
              <w:rPr>
                <w:rFonts w:eastAsia="Calibri"/>
                <w:b/>
                <w:bCs/>
              </w:rPr>
              <w:t>r + 3</w:t>
            </w:r>
          </w:p>
        </w:tc>
      </w:tr>
      <w:tr w:rsidR="009D2F13" w:rsidRPr="009D2F13" w:rsidTr="0096653D">
        <w:trPr>
          <w:trHeight w:val="70"/>
        </w:trPr>
        <w:tc>
          <w:tcPr>
            <w:tcW w:w="4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D2F13" w:rsidRPr="009D2F13" w:rsidRDefault="009D2F13" w:rsidP="009D2F13">
            <w:pPr>
              <w:autoSpaceDE w:val="0"/>
              <w:autoSpaceDN w:val="0"/>
              <w:spacing w:after="200" w:line="70" w:lineRule="atLeast"/>
              <w:rPr>
                <w:rFonts w:eastAsia="Calibri"/>
                <w:color w:val="000000"/>
              </w:rPr>
            </w:pPr>
            <w:r w:rsidRPr="009D2F13">
              <w:rPr>
                <w:rFonts w:eastAsia="Calibri"/>
                <w:color w:val="000000"/>
              </w:rPr>
              <w:t>Indikátor tovary a služby - software</w:t>
            </w:r>
          </w:p>
        </w:tc>
        <w:tc>
          <w:tcPr>
            <w:tcW w:w="1381" w:type="dxa"/>
            <w:tcBorders>
              <w:top w:val="nil"/>
              <w:left w:val="nil"/>
              <w:bottom w:val="single" w:sz="8" w:space="0" w:color="auto"/>
              <w:right w:val="single" w:sz="8" w:space="0" w:color="auto"/>
            </w:tcBorders>
            <w:tcMar>
              <w:top w:w="0" w:type="dxa"/>
              <w:left w:w="108" w:type="dxa"/>
              <w:bottom w:w="0" w:type="dxa"/>
              <w:right w:w="108" w:type="dxa"/>
            </w:tcMar>
            <w:hideMark/>
          </w:tcPr>
          <w:p w:rsidR="009D2F13" w:rsidRPr="009D2F13" w:rsidRDefault="009D2F13" w:rsidP="009D2F13">
            <w:pPr>
              <w:autoSpaceDE w:val="0"/>
              <w:autoSpaceDN w:val="0"/>
              <w:spacing w:after="200" w:line="70" w:lineRule="atLeast"/>
              <w:jc w:val="right"/>
              <w:rPr>
                <w:rFonts w:eastAsia="Calibri"/>
                <w:color w:val="000000"/>
              </w:rPr>
            </w:pPr>
            <w:r w:rsidRPr="009D2F13">
              <w:rPr>
                <w:rFonts w:eastAsia="Calibri"/>
                <w:color w:val="000000"/>
              </w:rPr>
              <w:t>990.000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D2F13" w:rsidRPr="009D2F13" w:rsidRDefault="009D2F13" w:rsidP="009D2F13">
            <w:pPr>
              <w:autoSpaceDE w:val="0"/>
              <w:autoSpaceDN w:val="0"/>
              <w:spacing w:after="200" w:line="70" w:lineRule="atLeast"/>
              <w:jc w:val="right"/>
              <w:rPr>
                <w:rFonts w:eastAsia="Calibri"/>
                <w:color w:val="000000"/>
              </w:rPr>
            </w:pPr>
            <w:r w:rsidRPr="009D2F13">
              <w:rPr>
                <w:rFonts w:eastAsia="Calibri"/>
                <w:color w:val="000000"/>
              </w:rPr>
              <w:t>250.000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D2F13" w:rsidRPr="009D2F13" w:rsidRDefault="009D2F13" w:rsidP="009D2F13">
            <w:pPr>
              <w:autoSpaceDE w:val="0"/>
              <w:autoSpaceDN w:val="0"/>
              <w:spacing w:after="200" w:line="70" w:lineRule="atLeast"/>
              <w:jc w:val="right"/>
              <w:rPr>
                <w:rFonts w:eastAsia="Calibri"/>
                <w:color w:val="000000"/>
              </w:rPr>
            </w:pPr>
            <w:r w:rsidRPr="009D2F13">
              <w:rPr>
                <w:rFonts w:eastAsia="Calibri"/>
                <w:color w:val="000000"/>
              </w:rPr>
              <w:t>480.000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D2F13" w:rsidRPr="009D2F13" w:rsidRDefault="009D2F13" w:rsidP="009D2F13">
            <w:pPr>
              <w:autoSpaceDE w:val="0"/>
              <w:autoSpaceDN w:val="0"/>
              <w:spacing w:after="200" w:line="70" w:lineRule="atLeast"/>
              <w:jc w:val="right"/>
              <w:rPr>
                <w:rFonts w:eastAsia="Calibri"/>
                <w:color w:val="000000"/>
              </w:rPr>
            </w:pPr>
            <w:r w:rsidRPr="009D2F13">
              <w:rPr>
                <w:rFonts w:eastAsia="Calibri"/>
                <w:color w:val="000000"/>
              </w:rPr>
              <w:t>480.000</w:t>
            </w:r>
          </w:p>
        </w:tc>
      </w:tr>
    </w:tbl>
    <w:p w:rsidR="009D2F13" w:rsidRPr="009D2F13" w:rsidRDefault="009D2F13" w:rsidP="009D2F13">
      <w:pPr>
        <w:spacing w:after="200" w:line="276" w:lineRule="auto"/>
        <w:rPr>
          <w:rFonts w:eastAsia="Calibri"/>
        </w:rPr>
      </w:pPr>
    </w:p>
    <w:p w:rsidR="009D2F13" w:rsidRPr="009D2F13" w:rsidRDefault="009D2F13" w:rsidP="009D2F13">
      <w:pPr>
        <w:spacing w:after="200" w:line="276" w:lineRule="auto"/>
        <w:rPr>
          <w:rFonts w:eastAsia="Calibri"/>
          <w:b/>
          <w:bCs/>
        </w:rPr>
      </w:pPr>
      <w:r w:rsidRPr="009D2F13">
        <w:rPr>
          <w:rFonts w:eastAsia="Calibri"/>
          <w:b/>
          <w:bCs/>
        </w:rPr>
        <w:t>2.2.4. Výpočty vplyvov na verejné financie</w:t>
      </w:r>
    </w:p>
    <w:p w:rsidR="009D2F13" w:rsidRPr="009D2F13" w:rsidRDefault="009D2F13" w:rsidP="009D2F13">
      <w:pPr>
        <w:spacing w:after="200" w:line="276" w:lineRule="auto"/>
        <w:jc w:val="both"/>
        <w:rPr>
          <w:rFonts w:eastAsia="Calibri"/>
        </w:rPr>
      </w:pPr>
      <w:r w:rsidRPr="009D2F13">
        <w:rPr>
          <w:rFonts w:eastAsia="Calibri"/>
        </w:rPr>
        <w:t>Uvedené ceny sú odhadované a vychádzajú z poznania požadovaných úprav a bežných cien potrebných pre ich zavedenie. Podrobnejšie nie je možné jednotlivé úkony rozpísať nakoľko na každý jeden bod úprav sú potrebné aktivity: Analýza, Implementácia, Test a Podpora produkcie. To znamená, že je potrebné v každom bode požiadavku na úpravu informačného systému po zaslaní špecifikácie analyzovať, následne prebieha vývoj a programovanie, nasadenie do testovacieho prostredia, testovanie. Ak je funkčnosť úprav v súlade s požiadavkami nasadzujú sa úpravy do produkčného prostredia. V prípade, že nie sú splnené požiadavky, posiela sa na prepracovanie dodávateľovi. Položka „Podpora produkcie“ zahŕňa nasadzovanie do produkčného prostredia, úvodnú podporu počas nábehu produkcie, dokumentáciu a riešenie vzniknutých aplikačných problémov. Niektoré z tých úprav sa prelínajú a preto nie je možné ich vyčísliť jednotlivo.</w:t>
      </w:r>
    </w:p>
    <w:p w:rsidR="009D2F13" w:rsidRPr="009D2F13" w:rsidRDefault="009D2F13" w:rsidP="009D2F13">
      <w:pPr>
        <w:tabs>
          <w:tab w:val="num" w:pos="1080"/>
        </w:tabs>
        <w:spacing w:line="276" w:lineRule="auto"/>
        <w:jc w:val="both"/>
        <w:rPr>
          <w:bCs/>
          <w:strike/>
        </w:rPr>
      </w:pPr>
    </w:p>
    <w:p w:rsidR="009D2F13" w:rsidRPr="009D2F13" w:rsidRDefault="009D2F13" w:rsidP="009D2F13">
      <w:pPr>
        <w:tabs>
          <w:tab w:val="num" w:pos="1080"/>
        </w:tabs>
        <w:spacing w:line="276" w:lineRule="auto"/>
        <w:jc w:val="both"/>
        <w:rPr>
          <w:bCs/>
        </w:rPr>
      </w:pPr>
      <w:r w:rsidRPr="009D2F13">
        <w:rPr>
          <w:bCs/>
        </w:rPr>
        <w:t>I. etapa</w:t>
      </w:r>
    </w:p>
    <w:p w:rsidR="009D2F13" w:rsidRPr="009D2F13" w:rsidRDefault="009D2F13" w:rsidP="009D2F13">
      <w:pPr>
        <w:tabs>
          <w:tab w:val="num" w:pos="1080"/>
        </w:tabs>
        <w:spacing w:line="276" w:lineRule="auto"/>
        <w:jc w:val="both"/>
        <w:rPr>
          <w:bCs/>
        </w:rPr>
      </w:pPr>
    </w:p>
    <w:p w:rsidR="009D2F13" w:rsidRPr="009D2F13" w:rsidRDefault="009D2F13" w:rsidP="009D2F13">
      <w:pPr>
        <w:tabs>
          <w:tab w:val="num" w:pos="1080"/>
        </w:tabs>
        <w:spacing w:line="276" w:lineRule="auto"/>
        <w:jc w:val="both"/>
        <w:rPr>
          <w:bCs/>
        </w:rPr>
      </w:pPr>
      <w:r w:rsidRPr="009D2F13">
        <w:rPr>
          <w:bCs/>
        </w:rPr>
        <w:t>Pri výpočte nákladov na zmenu a zriadenie IS sa vychádza z činností, ktoré bude potrebné zabezpečiť:</w:t>
      </w:r>
    </w:p>
    <w:p w:rsidR="009D2F13" w:rsidRPr="009D2F13" w:rsidRDefault="009D2F13" w:rsidP="009D2F13">
      <w:pPr>
        <w:spacing w:line="276" w:lineRule="auto"/>
        <w:jc w:val="both"/>
        <w:rPr>
          <w:rFonts w:eastAsia="Calibri"/>
          <w:lang w:eastAsia="en-US"/>
        </w:rPr>
      </w:pPr>
      <w:r w:rsidRPr="009D2F13">
        <w:rPr>
          <w:rFonts w:eastAsia="Calibri"/>
          <w:lang w:eastAsia="en-US"/>
        </w:rPr>
        <w:t xml:space="preserve">1. Prístup do IS EZP držiteľom zbrojných licencií v súvislosti s vedením evidencie strelných zbraní bezodkladne po jej výrobe a najneskôr pred jej uvedením na trh alebo bezodkladne po dovoze do EÚ a ktoré prijali alebo ktoré vydali spolu s údajmi, ktoré umožňujú identifikáciu a sledovanie strelných zbraní (overenie platného dokladu držiteľa zbrojného preukazu, udelenej výnimky na nadobudnutie vlastníctva a držanie zbrane kategórie „A“, držiteľa zbrojnej licencie, zodpovednej osoby držiteľa zbrojnej licencie. Zabezpečenie prístupov by malo byť prostredníctvom  elektronickej služby, databázy alebo iného registra (napr. cez IČO - identifikátor, zriadením PIN-u a hesla prostredníctvom stránky </w:t>
      </w:r>
      <w:hyperlink r:id="rId8" w:history="1">
        <w:r w:rsidRPr="009D2F13">
          <w:rPr>
            <w:rFonts w:eastAsia="Calibri"/>
            <w:color w:val="0000FF"/>
            <w:u w:val="single"/>
            <w:lang w:eastAsia="en-US"/>
          </w:rPr>
          <w:t>www.slovensko.sk</w:t>
        </w:r>
      </w:hyperlink>
      <w:r w:rsidRPr="009D2F13">
        <w:rPr>
          <w:rFonts w:eastAsia="Calibri"/>
          <w:lang w:eastAsia="en-US"/>
        </w:rPr>
        <w:t xml:space="preserve">, atď.). </w:t>
      </w:r>
    </w:p>
    <w:p w:rsidR="009D2F13" w:rsidRPr="009D2F13" w:rsidRDefault="009D2F13" w:rsidP="009D2F13">
      <w:pPr>
        <w:spacing w:line="276" w:lineRule="auto"/>
        <w:jc w:val="both"/>
        <w:rPr>
          <w:rFonts w:eastAsia="Calibri"/>
          <w:lang w:eastAsia="en-US"/>
        </w:rPr>
      </w:pPr>
      <w:r w:rsidRPr="009D2F13">
        <w:rPr>
          <w:rFonts w:eastAsia="Calibri"/>
          <w:lang w:eastAsia="en-US"/>
        </w:rPr>
        <w:t>2. Verifikáciu údajov s IS EZP (verifikácia bude spočívať v overení predloženého dokladu osobou, ktorá napr. chce kúpiť strelnú zbraň u držiteľa zbrojnej licencie, atď.). Zriadenie a údržbu počítačového informačného systému údajov, či už centralizovaného alebo decentralizovaného, ktorý zabezpečí oprávneným orgánom prístup do informačných systémov údajov, v ktorých sa zaeviduje každá strelná zbraň, na ktorú sa vzťahuje smernica.</w:t>
      </w:r>
    </w:p>
    <w:p w:rsidR="009D2F13" w:rsidRPr="009D2F13" w:rsidRDefault="009D2F13" w:rsidP="009D2F13">
      <w:pPr>
        <w:spacing w:line="276" w:lineRule="auto"/>
        <w:jc w:val="both"/>
        <w:rPr>
          <w:rFonts w:eastAsia="Calibri"/>
          <w:lang w:eastAsia="en-US"/>
        </w:rPr>
      </w:pPr>
      <w:r w:rsidRPr="009D2F13">
        <w:rPr>
          <w:rFonts w:eastAsia="Calibri"/>
          <w:lang w:eastAsia="en-US"/>
        </w:rPr>
        <w:t xml:space="preserve">3. Kontrolu osobnej a profesijnej bezúhonnosti a spoľahlivosti žiadateľa alebo držiteľa zbrojného preukazu, príslušnej spôsobilosti podnikateľa v oblasti strelných zbraní a to prepojením s </w:t>
      </w:r>
      <w:proofErr w:type="spellStart"/>
      <w:r w:rsidRPr="009D2F13">
        <w:rPr>
          <w:rFonts w:eastAsia="Calibri"/>
          <w:lang w:eastAsia="en-US"/>
        </w:rPr>
        <w:t>ostanými</w:t>
      </w:r>
      <w:proofErr w:type="spellEnd"/>
      <w:r w:rsidRPr="009D2F13">
        <w:rPr>
          <w:rFonts w:eastAsia="Calibri"/>
          <w:lang w:eastAsia="en-US"/>
        </w:rPr>
        <w:t xml:space="preserve"> </w:t>
      </w:r>
      <w:r w:rsidRPr="009D2F13">
        <w:rPr>
          <w:rFonts w:eastAsia="Calibri"/>
          <w:lang w:eastAsia="en-US"/>
        </w:rPr>
        <w:lastRenderedPageBreak/>
        <w:t xml:space="preserve">informačnými systémami v pôsobnosti Ministerstva vnútra Slovenskej republiky a Ministerstva spravodlivosti Slovenskej republiky (napr. RT, REGOB, </w:t>
      </w:r>
      <w:proofErr w:type="spellStart"/>
      <w:r w:rsidRPr="009D2F13">
        <w:rPr>
          <w:rFonts w:eastAsia="Calibri"/>
          <w:lang w:eastAsia="en-US"/>
        </w:rPr>
        <w:t>CESDaP</w:t>
      </w:r>
      <w:proofErr w:type="spellEnd"/>
      <w:r w:rsidRPr="009D2F13">
        <w:rPr>
          <w:rFonts w:eastAsia="Calibri"/>
          <w:lang w:eastAsia="en-US"/>
        </w:rPr>
        <w:t xml:space="preserve">, PATROS, CLK). </w:t>
      </w:r>
    </w:p>
    <w:p w:rsidR="009D2F13" w:rsidRPr="009D2F13" w:rsidRDefault="009D2F13" w:rsidP="009D2F13">
      <w:pPr>
        <w:spacing w:line="276" w:lineRule="auto"/>
        <w:jc w:val="both"/>
        <w:rPr>
          <w:rFonts w:eastAsia="Calibri"/>
          <w:lang w:eastAsia="en-US"/>
        </w:rPr>
      </w:pPr>
      <w:r w:rsidRPr="009D2F13">
        <w:rPr>
          <w:rFonts w:eastAsia="Calibri"/>
          <w:lang w:eastAsia="en-US"/>
        </w:rPr>
        <w:t>4. Notifikáciu a verifikáciu v súvislosti s vydanými poľovnými lístkami prostredníctvom Slovenskej poľovníckej komory. Notifikácia bude spočívať v poskytnutí údajov, resp. v sprístupnení informácií  o vydaných a o odňatých poľovných lístkoch.</w:t>
      </w:r>
    </w:p>
    <w:p w:rsidR="009D2F13" w:rsidRPr="009D2F13" w:rsidRDefault="009D2F13" w:rsidP="009D2F13">
      <w:pPr>
        <w:spacing w:line="276" w:lineRule="auto"/>
        <w:jc w:val="both"/>
        <w:rPr>
          <w:rFonts w:eastAsia="Calibri"/>
          <w:i/>
          <w:iCs/>
          <w:lang w:eastAsia="en-US"/>
        </w:rPr>
      </w:pPr>
      <w:r w:rsidRPr="009D2F13">
        <w:rPr>
          <w:rFonts w:eastAsia="Calibri"/>
          <w:lang w:eastAsia="en-US"/>
        </w:rPr>
        <w:t>5. Notifikáciu a verifikáciu v súvislosti s potvrdením o vykonaní o športovej činnosti [zákon č. 440/2015 Z. z. o športe a o zmene a doplnení niektorých zákonov v znení neskorších predpisov (ďalej len „zákon o športe“) - športová organizácia]. Notifikácia bude spočívať v poskytnutí údajov, resp. v sprístupnení informácií  o vzniku alebo zániku členstva športovej organizácie podľa zákona o športe. Verifikácia bude spočívať v overení, či žiadateľ alebo držiteľ zbrojného preukazu je členom športového klubu alebo organizácie.</w:t>
      </w:r>
    </w:p>
    <w:p w:rsidR="009D2F13" w:rsidRPr="009D2F13" w:rsidRDefault="009D2F13" w:rsidP="009D2F13">
      <w:pPr>
        <w:spacing w:line="276" w:lineRule="auto"/>
        <w:jc w:val="both"/>
        <w:rPr>
          <w:rFonts w:eastAsia="Calibri"/>
          <w:lang w:eastAsia="en-US"/>
        </w:rPr>
      </w:pPr>
      <w:r w:rsidRPr="009D2F13">
        <w:rPr>
          <w:rFonts w:eastAsia="Calibri"/>
          <w:lang w:eastAsia="en-US"/>
        </w:rPr>
        <w:t>6. Oznamovanie nebezpečnej transakcie týkajúcej sa streliva podnikateľom na úseku zbraní a streliva prostredníctvom elektronickej služby, databázy alebo iného registra.</w:t>
      </w:r>
    </w:p>
    <w:p w:rsidR="009D2F13" w:rsidRPr="009D2F13" w:rsidRDefault="009D2F13" w:rsidP="009D2F13">
      <w:pPr>
        <w:spacing w:line="276" w:lineRule="auto"/>
        <w:jc w:val="both"/>
        <w:rPr>
          <w:rFonts w:eastAsia="Calibri"/>
          <w:lang w:eastAsia="en-US"/>
        </w:rPr>
      </w:pPr>
    </w:p>
    <w:p w:rsidR="009D2F13" w:rsidRPr="009D2F13" w:rsidRDefault="009D2F13" w:rsidP="009D2F13">
      <w:pPr>
        <w:spacing w:line="276" w:lineRule="auto"/>
        <w:jc w:val="both"/>
        <w:rPr>
          <w:rFonts w:eastAsia="Calibri"/>
          <w:lang w:eastAsia="en-US"/>
        </w:rPr>
      </w:pPr>
      <w:r w:rsidRPr="009D2F13">
        <w:rPr>
          <w:rFonts w:eastAsia="Calibri"/>
          <w:lang w:eastAsia="en-US"/>
        </w:rPr>
        <w:t>II. etapa</w:t>
      </w:r>
    </w:p>
    <w:p w:rsidR="009D2F13" w:rsidRPr="009D2F13" w:rsidRDefault="009D2F13" w:rsidP="009D2F13">
      <w:pPr>
        <w:spacing w:line="276" w:lineRule="auto"/>
        <w:jc w:val="both"/>
        <w:rPr>
          <w:rFonts w:eastAsia="Calibri"/>
          <w:lang w:eastAsia="en-US"/>
        </w:rPr>
      </w:pPr>
    </w:p>
    <w:p w:rsidR="009D2F13" w:rsidRPr="009D2F13" w:rsidRDefault="009D2F13" w:rsidP="009D2F13">
      <w:pPr>
        <w:spacing w:line="276" w:lineRule="auto"/>
        <w:jc w:val="both"/>
        <w:rPr>
          <w:rFonts w:eastAsia="Calibri"/>
          <w:lang w:eastAsia="en-US"/>
        </w:rPr>
      </w:pPr>
      <w:r w:rsidRPr="009D2F13">
        <w:rPr>
          <w:rFonts w:eastAsia="Calibri"/>
          <w:lang w:eastAsia="en-US"/>
        </w:rPr>
        <w:t>7. Notifikáciu alebo verifikáciu v súvislosti s vydanými povoleniami podľa osobitného predpisu Ministerstva hospodárstva Slovenskej republiky (napr. zákon č. 392/2011 Z. z. o obchodovaní s výrobkami obranného priemyslu a o zmene a doplnení niektorých zákonov v znení neskorších predpisov), ktoré sú podkladom pre vydávanie povolení na prepravu strelných zbraní a streliva podnikateľom. Umožniť podnikateľom na úseku strelných zbraní a streliva zaslať oznámenie o preprave prostredníctvom elektronickej služby, databázy alebo iného registra.</w:t>
      </w:r>
    </w:p>
    <w:p w:rsidR="009D2F13" w:rsidRPr="009D2F13" w:rsidRDefault="009D2F13" w:rsidP="009D2F13">
      <w:pPr>
        <w:spacing w:line="276" w:lineRule="auto"/>
        <w:jc w:val="both"/>
        <w:rPr>
          <w:rFonts w:eastAsia="Calibri"/>
          <w:lang w:eastAsia="en-US"/>
        </w:rPr>
      </w:pPr>
    </w:p>
    <w:p w:rsidR="009D2F13" w:rsidRPr="009D2F13" w:rsidRDefault="009D2F13" w:rsidP="009D2F13">
      <w:pPr>
        <w:tabs>
          <w:tab w:val="num" w:pos="1080"/>
        </w:tabs>
        <w:spacing w:line="276" w:lineRule="auto"/>
        <w:jc w:val="both"/>
        <w:rPr>
          <w:bCs/>
        </w:rPr>
      </w:pPr>
      <w:r w:rsidRPr="009D2F13">
        <w:rPr>
          <w:bCs/>
        </w:rPr>
        <w:t>Pri výpočte nákladov na zmenu IS sa vychádza z činností, ktoré bude potrebné zabezpečiť:</w:t>
      </w:r>
    </w:p>
    <w:p w:rsidR="009D2F13" w:rsidRPr="009D2F13" w:rsidRDefault="009D2F13" w:rsidP="009D2F13">
      <w:pPr>
        <w:spacing w:line="276" w:lineRule="auto"/>
        <w:jc w:val="both"/>
        <w:rPr>
          <w:rFonts w:eastAsia="Calibri"/>
          <w:lang w:eastAsia="en-US"/>
        </w:rPr>
      </w:pPr>
      <w:r w:rsidRPr="009D2F13">
        <w:rPr>
          <w:rFonts w:eastAsia="Calibri"/>
          <w:lang w:eastAsia="en-US"/>
        </w:rPr>
        <w:t xml:space="preserve">1. Možnosť podnikateľov v oblasti strelných zbraní a streliva odmietnuť realizáciu akejkoľvek podozrivej transakcie týkajúce sa streliva (napr. nezvyčajné množstvo). Umožniť nahlásiť, resp. notifikovať daný údaj o takejto podozrivej transakcii príslušným orgánom. </w:t>
      </w:r>
    </w:p>
    <w:p w:rsidR="009D2F13" w:rsidRPr="009D2F13" w:rsidRDefault="009D2F13" w:rsidP="009D2F13">
      <w:pPr>
        <w:spacing w:line="276" w:lineRule="auto"/>
        <w:jc w:val="both"/>
        <w:rPr>
          <w:rFonts w:eastAsia="Calibri"/>
          <w:lang w:eastAsia="en-US"/>
        </w:rPr>
      </w:pPr>
      <w:r w:rsidRPr="009D2F13">
        <w:rPr>
          <w:rFonts w:eastAsia="Calibri"/>
          <w:lang w:eastAsia="en-US"/>
        </w:rPr>
        <w:t xml:space="preserve">2. Možnosť prístupu cez IS EZP do systému IMI zriadeného nariadením Európskeho parlamentu a Rady (EÚ) č. 1024/2012 z  25. októbra 2012 o administratívnej spolupráci prostredníctvom informačného systému o vnútornom trhu a o zrušení rozhodnutia Komisie 2008/49/ES („nariadenie o IMI“), ktorý bol osobitne upravený pre strelné zbrane (prístup do registru trestov osoby na základe rámcového rozhodnutia rady 2009/315/SVV). </w:t>
      </w:r>
    </w:p>
    <w:p w:rsidR="009D2F13" w:rsidRPr="009D2F13" w:rsidRDefault="009D2F13" w:rsidP="009D2F13">
      <w:pPr>
        <w:spacing w:line="276" w:lineRule="auto"/>
        <w:jc w:val="both"/>
        <w:rPr>
          <w:rFonts w:eastAsia="Calibri"/>
          <w:lang w:eastAsia="en-US"/>
        </w:rPr>
      </w:pPr>
      <w:r w:rsidRPr="009D2F13">
        <w:rPr>
          <w:rFonts w:eastAsia="Calibri"/>
          <w:lang w:eastAsia="en-US"/>
        </w:rPr>
        <w:t xml:space="preserve">3. Náležitú elektronickú výmenu informácií medzi členskými štátmi o udelených a zamietnutých povoleniach na prepravu strelných zbraní a streliva do iného členského štátu. </w:t>
      </w:r>
    </w:p>
    <w:p w:rsidR="009D2F13" w:rsidRPr="009D2F13" w:rsidRDefault="009D2F13" w:rsidP="009D2F13">
      <w:pPr>
        <w:spacing w:line="276" w:lineRule="auto"/>
        <w:jc w:val="both"/>
        <w:rPr>
          <w:rFonts w:eastAsia="Calibri"/>
          <w:lang w:eastAsia="en-US"/>
        </w:rPr>
      </w:pPr>
      <w:r w:rsidRPr="009D2F13">
        <w:rPr>
          <w:rFonts w:eastAsia="Calibri"/>
          <w:lang w:eastAsia="en-US"/>
        </w:rPr>
        <w:t>4. Zavedenie monitorovacieho systému s cieľom zabezpečiť podmienky povoľovania strelných zbraní počas ich platnosti, pričom súčasťou by mali byť aj predbežné lekárske alebo psychologické vyšetrenia - rozhodnutie členského štátu.</w:t>
      </w:r>
    </w:p>
    <w:p w:rsidR="009D2F13" w:rsidRPr="009D2F13" w:rsidRDefault="009D2F13" w:rsidP="009D2F13">
      <w:pPr>
        <w:spacing w:line="276" w:lineRule="auto"/>
        <w:jc w:val="both"/>
        <w:rPr>
          <w:rFonts w:eastAsia="Calibri"/>
          <w:lang w:eastAsia="en-US"/>
        </w:rPr>
      </w:pPr>
      <w:r w:rsidRPr="009D2F13">
        <w:rPr>
          <w:rFonts w:eastAsia="Calibri"/>
          <w:lang w:eastAsia="en-US"/>
        </w:rPr>
        <w:t>5. Overenie totožnosti, prípadne povolenia na nadobudnutie strelných zbraní a hlavných častí alebo streliva najneskôr pri dodaní oprávnenou osobou.</w:t>
      </w:r>
    </w:p>
    <w:p w:rsidR="009D2F13" w:rsidRPr="009D2F13" w:rsidRDefault="009D2F13" w:rsidP="009D2F13">
      <w:pPr>
        <w:spacing w:line="276" w:lineRule="auto"/>
        <w:jc w:val="both"/>
        <w:rPr>
          <w:rFonts w:eastAsia="Calibri"/>
          <w:lang w:eastAsia="en-US"/>
        </w:rPr>
      </w:pPr>
      <w:r w:rsidRPr="009D2F13">
        <w:rPr>
          <w:rFonts w:eastAsia="Calibri"/>
          <w:lang w:eastAsia="en-US"/>
        </w:rPr>
        <w:t>6. Notifikáciu a verifikáciu v súvislosti s potvrdením o vykonaní o športovej činnosti, ktorá si vyžaduje úpravu informačného systému športu.</w:t>
      </w:r>
      <w:r w:rsidRPr="009D2F13">
        <w:rPr>
          <w:rFonts w:ascii="Calibri" w:eastAsia="Calibri" w:hAnsi="Calibri"/>
          <w:sz w:val="22"/>
          <w:szCs w:val="22"/>
          <w:lang w:eastAsia="en-US"/>
        </w:rPr>
        <w:t xml:space="preserve"> </w:t>
      </w:r>
      <w:r w:rsidRPr="009D2F13">
        <w:rPr>
          <w:rFonts w:eastAsia="Calibri"/>
          <w:lang w:eastAsia="en-US"/>
        </w:rPr>
        <w:t xml:space="preserve">Notifikácia bude spočívať v poskytnutí údajov, resp. v sprístupnení informácií o potvrdeniach z registra fyzických osôb v športe, či má žiadateľ zbrojného preukazu na skupinu E príslušnosť k športovej organizácii alebo medzinárodnej </w:t>
      </w:r>
      <w:r w:rsidRPr="009D2F13">
        <w:rPr>
          <w:rFonts w:eastAsia="Calibri"/>
          <w:lang w:eastAsia="en-US"/>
        </w:rPr>
        <w:lastRenderedPageBreak/>
        <w:t>športovej organizácii, ktorej predmetom činnosti alebo cieľom činnosti je športová streľba a potvrdeniach z registra právnických osôb v športe.</w:t>
      </w:r>
    </w:p>
    <w:p w:rsidR="009D2F13" w:rsidRPr="009D2F13" w:rsidRDefault="009D2F13" w:rsidP="009D2F13">
      <w:pPr>
        <w:spacing w:line="276" w:lineRule="auto"/>
        <w:jc w:val="both"/>
        <w:rPr>
          <w:bCs/>
        </w:rPr>
      </w:pPr>
    </w:p>
    <w:p w:rsidR="009D2F13" w:rsidRPr="009D2F13" w:rsidRDefault="009D2F13" w:rsidP="009D2F13">
      <w:pPr>
        <w:spacing w:line="276" w:lineRule="auto"/>
        <w:jc w:val="both"/>
        <w:rPr>
          <w:rFonts w:eastAsia="Calibri"/>
          <w:lang w:eastAsia="en-US"/>
        </w:rPr>
      </w:pPr>
      <w:r w:rsidRPr="009D2F13">
        <w:rPr>
          <w:bCs/>
        </w:rPr>
        <w:t>Ročná prevádzka a údržba IS na úseku strelných zbraní a streliva obsahuje:</w:t>
      </w:r>
    </w:p>
    <w:p w:rsidR="009D2F13" w:rsidRPr="009D2F13" w:rsidRDefault="009D2F13" w:rsidP="009D2F13">
      <w:pPr>
        <w:spacing w:line="276" w:lineRule="auto"/>
        <w:jc w:val="both"/>
        <w:rPr>
          <w:bCs/>
        </w:rPr>
      </w:pPr>
      <w:r w:rsidRPr="009D2F13">
        <w:rPr>
          <w:bCs/>
        </w:rPr>
        <w:t>1. Softvérová údržba spojená najmä s riešením problémov/chýb SW a neštandardného správania sa inštalácií upgrade, update a </w:t>
      </w:r>
      <w:proofErr w:type="spellStart"/>
      <w:r w:rsidRPr="009D2F13">
        <w:rPr>
          <w:bCs/>
        </w:rPr>
        <w:t>patchov</w:t>
      </w:r>
      <w:proofErr w:type="spellEnd"/>
      <w:r w:rsidRPr="009D2F13">
        <w:rPr>
          <w:bCs/>
        </w:rPr>
        <w:t xml:space="preserve"> do registra.</w:t>
      </w:r>
    </w:p>
    <w:p w:rsidR="009D2F13" w:rsidRPr="009D2F13" w:rsidRDefault="009D2F13" w:rsidP="009D2F13">
      <w:pPr>
        <w:spacing w:line="276" w:lineRule="auto"/>
        <w:jc w:val="both"/>
        <w:rPr>
          <w:bCs/>
        </w:rPr>
      </w:pPr>
      <w:r w:rsidRPr="009D2F13">
        <w:rPr>
          <w:bCs/>
        </w:rPr>
        <w:t>2. Pravidelná údržba profylaktického rázu s cieľom predchádzania HW a SW chybám v registri, zálohovanie databázy.</w:t>
      </w:r>
    </w:p>
    <w:p w:rsidR="009D2F13" w:rsidRPr="009D2F13" w:rsidRDefault="009D2F13" w:rsidP="009D2F13">
      <w:pPr>
        <w:spacing w:line="276" w:lineRule="auto"/>
        <w:jc w:val="both"/>
        <w:rPr>
          <w:bCs/>
        </w:rPr>
      </w:pPr>
      <w:r w:rsidRPr="009D2F13">
        <w:rPr>
          <w:bCs/>
        </w:rPr>
        <w:t>3. Hot-</w:t>
      </w:r>
      <w:proofErr w:type="spellStart"/>
      <w:r w:rsidRPr="009D2F13">
        <w:rPr>
          <w:bCs/>
        </w:rPr>
        <w:t>line</w:t>
      </w:r>
      <w:proofErr w:type="spellEnd"/>
      <w:r w:rsidRPr="009D2F13">
        <w:rPr>
          <w:bCs/>
        </w:rPr>
        <w:t xml:space="preserve"> – telefonická, príp. e-mailová konzultačná služba.</w:t>
      </w:r>
    </w:p>
    <w:p w:rsidR="009D2F13" w:rsidRPr="009D2F13" w:rsidRDefault="009D2F13" w:rsidP="009D2F13">
      <w:pPr>
        <w:spacing w:line="276" w:lineRule="auto"/>
        <w:jc w:val="both"/>
        <w:rPr>
          <w:bCs/>
        </w:rPr>
      </w:pPr>
      <w:r w:rsidRPr="009D2F13">
        <w:rPr>
          <w:bCs/>
        </w:rPr>
        <w:t xml:space="preserve">4. </w:t>
      </w:r>
      <w:proofErr w:type="spellStart"/>
      <w:r w:rsidRPr="009D2F13">
        <w:rPr>
          <w:bCs/>
        </w:rPr>
        <w:t>Help-desk</w:t>
      </w:r>
      <w:proofErr w:type="spellEnd"/>
      <w:r w:rsidRPr="009D2F13">
        <w:rPr>
          <w:bCs/>
        </w:rPr>
        <w:t xml:space="preserve"> pre vybraných používateľov objednávateľa.</w:t>
      </w:r>
    </w:p>
    <w:p w:rsidR="009D2F13" w:rsidRPr="009D2F13" w:rsidRDefault="009D2F13" w:rsidP="009D2F13">
      <w:pPr>
        <w:spacing w:line="276" w:lineRule="auto"/>
        <w:jc w:val="both"/>
        <w:rPr>
          <w:bCs/>
        </w:rPr>
      </w:pPr>
      <w:r w:rsidRPr="009D2F13">
        <w:rPr>
          <w:bCs/>
        </w:rPr>
        <w:t>5. Aktualizácia SW, poskytovanie nových verzií SW, ktoré spravidla riešia dodanie ďalších funkcionalít.</w:t>
      </w:r>
    </w:p>
    <w:p w:rsidR="009D2F13" w:rsidRPr="009D2F13" w:rsidRDefault="009D2F13" w:rsidP="009D2F13">
      <w:pPr>
        <w:spacing w:line="276" w:lineRule="auto"/>
        <w:jc w:val="both"/>
        <w:rPr>
          <w:bCs/>
        </w:rPr>
      </w:pPr>
      <w:r w:rsidRPr="009D2F13">
        <w:rPr>
          <w:bCs/>
        </w:rPr>
        <w:t>6. Stanovenie lehôt pre odstránenie chýb SW do obnovenia funkcionality systému.</w:t>
      </w:r>
    </w:p>
    <w:p w:rsidR="009D2F13" w:rsidRPr="009D2F13" w:rsidRDefault="009D2F13" w:rsidP="009D2F13">
      <w:pPr>
        <w:spacing w:line="276" w:lineRule="auto"/>
        <w:jc w:val="both"/>
        <w:rPr>
          <w:bCs/>
        </w:rPr>
      </w:pPr>
      <w:r w:rsidRPr="009D2F13">
        <w:rPr>
          <w:bCs/>
        </w:rPr>
        <w:t>7.  Update SW – vyššia verzia SW, ktorá spravidla rieši väčšie množstvo problémov.</w:t>
      </w:r>
    </w:p>
    <w:p w:rsidR="009D2F13" w:rsidRPr="009D2F13" w:rsidRDefault="009D2F13" w:rsidP="009D2F13">
      <w:pPr>
        <w:spacing w:line="276" w:lineRule="auto"/>
        <w:jc w:val="both"/>
        <w:rPr>
          <w:bCs/>
        </w:rPr>
      </w:pPr>
      <w:r w:rsidRPr="009D2F13">
        <w:rPr>
          <w:bCs/>
        </w:rPr>
        <w:t xml:space="preserve">8. </w:t>
      </w:r>
      <w:proofErr w:type="spellStart"/>
      <w:r w:rsidRPr="009D2F13">
        <w:rPr>
          <w:bCs/>
        </w:rPr>
        <w:t>Patch</w:t>
      </w:r>
      <w:proofErr w:type="spellEnd"/>
      <w:r w:rsidRPr="009D2F13">
        <w:rPr>
          <w:bCs/>
        </w:rPr>
        <w:t xml:space="preserve"> – opravná verzia (jednorazová verzia SW), ktorá rieši čiastkový problém – podpora pri legislatívnych zmenách a podpora užívateľov a administrátorov pri prevádzke registra.</w:t>
      </w:r>
    </w:p>
    <w:p w:rsidR="009D2F13" w:rsidRPr="009D2F13" w:rsidRDefault="009D2F13" w:rsidP="009D2F13">
      <w:pPr>
        <w:spacing w:line="276" w:lineRule="auto"/>
        <w:jc w:val="both"/>
        <w:rPr>
          <w:bCs/>
        </w:rPr>
      </w:pPr>
      <w:r w:rsidRPr="009D2F13">
        <w:rPr>
          <w:bCs/>
        </w:rPr>
        <w:t>9.  Konfigurácia SW špecifickým potrebám objednávateľa.</w:t>
      </w:r>
    </w:p>
    <w:p w:rsidR="009D2F13" w:rsidRPr="009D2F13" w:rsidRDefault="009D2F13" w:rsidP="009D2F13">
      <w:pPr>
        <w:spacing w:line="276" w:lineRule="auto"/>
        <w:jc w:val="both"/>
        <w:rPr>
          <w:bCs/>
        </w:rPr>
      </w:pPr>
      <w:r w:rsidRPr="009D2F13">
        <w:rPr>
          <w:bCs/>
        </w:rPr>
        <w:t>10. Zakúpenie potrebného hardvérového a softvérového vybavenia.</w:t>
      </w:r>
    </w:p>
    <w:p w:rsidR="009D2F13" w:rsidRPr="009D2F13" w:rsidRDefault="009D2F13" w:rsidP="009D2F13">
      <w:pPr>
        <w:spacing w:line="276" w:lineRule="auto"/>
        <w:jc w:val="both"/>
        <w:rPr>
          <w:bCs/>
        </w:rPr>
      </w:pPr>
      <w:r w:rsidRPr="009D2F13">
        <w:rPr>
          <w:bCs/>
        </w:rPr>
        <w:t>11. Zakúpenie licenčných modulov alebo licenčných kľúčov k aplikácii.</w:t>
      </w:r>
    </w:p>
    <w:p w:rsidR="009D2F13" w:rsidRPr="009D2F13" w:rsidRDefault="009D2F13" w:rsidP="009D2F13">
      <w:pPr>
        <w:spacing w:line="276" w:lineRule="auto"/>
        <w:ind w:left="720"/>
        <w:jc w:val="both"/>
        <w:rPr>
          <w:bCs/>
        </w:rPr>
      </w:pPr>
    </w:p>
    <w:p w:rsidR="009D2F13" w:rsidRPr="009D2F13" w:rsidRDefault="009D2F13" w:rsidP="009D2F13">
      <w:pPr>
        <w:tabs>
          <w:tab w:val="num" w:pos="1080"/>
        </w:tabs>
        <w:spacing w:line="276" w:lineRule="auto"/>
        <w:jc w:val="both"/>
        <w:rPr>
          <w:bCs/>
          <w:szCs w:val="20"/>
        </w:rPr>
      </w:pPr>
    </w:p>
    <w:p w:rsidR="009D2F13" w:rsidRPr="009D2F13" w:rsidRDefault="009D2F13" w:rsidP="009D2F13">
      <w:pPr>
        <w:spacing w:after="200" w:line="276" w:lineRule="auto"/>
        <w:rPr>
          <w:szCs w:val="20"/>
        </w:rPr>
      </w:pPr>
    </w:p>
    <w:p w:rsidR="009D2F13" w:rsidRPr="009D2F13" w:rsidRDefault="009D2F13" w:rsidP="009D2F13">
      <w:pPr>
        <w:spacing w:after="200" w:line="276" w:lineRule="auto"/>
        <w:rPr>
          <w:szCs w:val="20"/>
        </w:rPr>
        <w:sectPr w:rsidR="009D2F13" w:rsidRPr="009D2F13" w:rsidSect="00F570A4">
          <w:headerReference w:type="even" r:id="rId9"/>
          <w:footerReference w:type="even" r:id="rId10"/>
          <w:headerReference w:type="first" r:id="rId11"/>
          <w:footerReference w:type="first" r:id="rId12"/>
          <w:pgSz w:w="11906" w:h="16838"/>
          <w:pgMar w:top="1417" w:right="991" w:bottom="1276" w:left="1417" w:header="708" w:footer="708" w:gutter="0"/>
          <w:pgNumType w:start="1"/>
          <w:cols w:space="708"/>
          <w:docGrid w:linePitch="360"/>
        </w:sectPr>
      </w:pPr>
    </w:p>
    <w:p w:rsidR="009D2F13" w:rsidRPr="009D2F13" w:rsidRDefault="009D2F13" w:rsidP="009D2F13">
      <w:pPr>
        <w:tabs>
          <w:tab w:val="num" w:pos="1080"/>
        </w:tabs>
        <w:jc w:val="right"/>
        <w:rPr>
          <w:bCs/>
        </w:rPr>
      </w:pPr>
      <w:r w:rsidRPr="009D2F13">
        <w:rPr>
          <w:bCs/>
        </w:rPr>
        <w:lastRenderedPageBreak/>
        <w:t xml:space="preserve">Tabuľka č. 3 </w:t>
      </w:r>
    </w:p>
    <w:p w:rsidR="009D2F13" w:rsidRPr="009D2F13" w:rsidRDefault="009D2F13" w:rsidP="009D2F13">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D2F13" w:rsidRPr="009D2F13" w:rsidTr="009D2F1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D2F13" w:rsidRPr="009D2F13" w:rsidRDefault="009D2F13" w:rsidP="009D2F13">
            <w:pPr>
              <w:jc w:val="center"/>
              <w:rPr>
                <w:b/>
                <w:bCs/>
              </w:rPr>
            </w:pPr>
            <w:r w:rsidRPr="009D2F13">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9D2F13" w:rsidRPr="009D2F13" w:rsidRDefault="009D2F13" w:rsidP="009D2F13">
            <w:pPr>
              <w:jc w:val="center"/>
              <w:rPr>
                <w:b/>
                <w:bCs/>
              </w:rPr>
            </w:pPr>
            <w:r w:rsidRPr="009D2F13">
              <w:rPr>
                <w:b/>
                <w:bCs/>
              </w:rPr>
              <w:t>poznámka</w:t>
            </w:r>
          </w:p>
        </w:tc>
      </w:tr>
      <w:tr w:rsidR="009D2F13" w:rsidRPr="009D2F13" w:rsidTr="009D2F1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D2F13" w:rsidRPr="009D2F13" w:rsidRDefault="009D2F13" w:rsidP="009D2F13">
            <w:pPr>
              <w:rPr>
                <w:b/>
                <w:bCs/>
                <w:color w:val="FFFFFF"/>
              </w:rPr>
            </w:pP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w:t>
            </w: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 + 1</w:t>
            </w: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 + 2</w:t>
            </w: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9D2F13" w:rsidRPr="009D2F13" w:rsidRDefault="009D2F13" w:rsidP="009D2F13">
            <w:pPr>
              <w:rPr>
                <w:b/>
                <w:bCs/>
                <w:color w:val="FFFFFF"/>
              </w:rPr>
            </w:pPr>
          </w:p>
        </w:tc>
      </w:tr>
      <w:tr w:rsidR="009D2F13" w:rsidRPr="009D2F13" w:rsidTr="0096653D">
        <w:trPr>
          <w:trHeight w:val="255"/>
        </w:trPr>
        <w:tc>
          <w:tcPr>
            <w:tcW w:w="4950" w:type="dxa"/>
            <w:tcBorders>
              <w:top w:val="nil"/>
              <w:left w:val="single" w:sz="4" w:space="0" w:color="auto"/>
              <w:bottom w:val="single" w:sz="4" w:space="0" w:color="auto"/>
              <w:right w:val="single" w:sz="4" w:space="0" w:color="auto"/>
            </w:tcBorders>
          </w:tcPr>
          <w:p w:rsidR="009D2F13" w:rsidRPr="009D2F13" w:rsidRDefault="009D2F13" w:rsidP="009D2F13">
            <w:pPr>
              <w:rPr>
                <w:b/>
                <w:bCs/>
                <w:vertAlign w:val="superscript"/>
              </w:rPr>
            </w:pPr>
            <w:r w:rsidRPr="009D2F13">
              <w:rPr>
                <w:b/>
                <w:bCs/>
              </w:rPr>
              <w:t>Daňové príjmy (100)</w:t>
            </w:r>
            <w:r w:rsidRPr="009D2F13">
              <w:rPr>
                <w:b/>
                <w:bCs/>
                <w:vertAlign w:val="superscript"/>
              </w:rPr>
              <w:t>1</w:t>
            </w: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300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4950"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Nedaňové príjmy (200)</w:t>
            </w:r>
            <w:r w:rsidRPr="009D2F13">
              <w:rPr>
                <w:b/>
                <w:bCs/>
                <w:vertAlign w:val="superscript"/>
              </w:rPr>
              <w:t>1</w:t>
            </w: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300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4950"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Granty a transfery (300)</w:t>
            </w:r>
            <w:r w:rsidRPr="009D2F13">
              <w:rPr>
                <w:b/>
                <w:bCs/>
                <w:vertAlign w:val="superscript"/>
              </w:rPr>
              <w:t>1</w:t>
            </w: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500"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300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4950"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300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4950"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1500" w:type="dxa"/>
            <w:tcBorders>
              <w:top w:val="nil"/>
              <w:left w:val="nil"/>
              <w:bottom w:val="single" w:sz="4" w:space="0" w:color="auto"/>
              <w:right w:val="single" w:sz="4" w:space="0" w:color="auto"/>
            </w:tcBorders>
            <w:shd w:val="clear" w:color="auto" w:fill="FFFF99"/>
          </w:tcPr>
          <w:p w:rsidR="009D2F13" w:rsidRPr="009D2F13" w:rsidRDefault="009D2F13" w:rsidP="009D2F13">
            <w:pPr>
              <w:jc w:val="center"/>
              <w:rPr>
                <w:b/>
                <w:bCs/>
              </w:rPr>
            </w:pPr>
            <w:r w:rsidRPr="009D2F13">
              <w:rPr>
                <w:b/>
                <w:bCs/>
              </w:rPr>
              <w:t> </w:t>
            </w:r>
          </w:p>
        </w:tc>
        <w:tc>
          <w:tcPr>
            <w:tcW w:w="300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D2F13">
        <w:trPr>
          <w:trHeight w:val="255"/>
        </w:trPr>
        <w:tc>
          <w:tcPr>
            <w:tcW w:w="4950" w:type="dxa"/>
            <w:tcBorders>
              <w:top w:val="nil"/>
              <w:left w:val="single" w:sz="4" w:space="0" w:color="auto"/>
              <w:bottom w:val="single" w:sz="4" w:space="0" w:color="auto"/>
              <w:right w:val="single" w:sz="4" w:space="0" w:color="auto"/>
            </w:tcBorders>
            <w:shd w:val="clear" w:color="auto" w:fill="BFBFBF"/>
          </w:tcPr>
          <w:p w:rsidR="009D2F13" w:rsidRPr="009D2F13" w:rsidRDefault="009D2F13" w:rsidP="009D2F13">
            <w:pPr>
              <w:rPr>
                <w:b/>
                <w:bCs/>
              </w:rPr>
            </w:pPr>
            <w:r w:rsidRPr="009D2F13">
              <w:rPr>
                <w:b/>
                <w:bCs/>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150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3000" w:type="dxa"/>
            <w:tcBorders>
              <w:top w:val="nil"/>
              <w:left w:val="nil"/>
              <w:bottom w:val="single" w:sz="4" w:space="0" w:color="auto"/>
              <w:right w:val="single" w:sz="4" w:space="0" w:color="auto"/>
            </w:tcBorders>
            <w:shd w:val="clear" w:color="auto" w:fill="BFBFBF"/>
            <w:noWrap/>
            <w:vAlign w:val="bottom"/>
          </w:tcPr>
          <w:p w:rsidR="009D2F13" w:rsidRPr="009D2F13" w:rsidRDefault="009D2F13" w:rsidP="009D2F13">
            <w:r w:rsidRPr="009D2F13">
              <w:t> </w:t>
            </w:r>
          </w:p>
        </w:tc>
      </w:tr>
    </w:tbl>
    <w:p w:rsidR="009D2F13" w:rsidRPr="009D2F13" w:rsidRDefault="009D2F13" w:rsidP="009D2F13">
      <w:pPr>
        <w:tabs>
          <w:tab w:val="num" w:pos="1080"/>
        </w:tabs>
        <w:jc w:val="both"/>
        <w:rPr>
          <w:bCs/>
          <w:sz w:val="20"/>
          <w:szCs w:val="20"/>
        </w:rPr>
      </w:pPr>
      <w:r w:rsidRPr="009D2F13">
        <w:rPr>
          <w:bCs/>
          <w:sz w:val="20"/>
          <w:szCs w:val="20"/>
        </w:rPr>
        <w:t>1 –  príjmy rozpísať až do položiek platnej ekonomickej klasifikácie</w:t>
      </w:r>
    </w:p>
    <w:p w:rsidR="009D2F13" w:rsidRPr="009D2F13" w:rsidRDefault="009D2F13" w:rsidP="009D2F13">
      <w:pPr>
        <w:tabs>
          <w:tab w:val="num" w:pos="1080"/>
        </w:tabs>
        <w:jc w:val="both"/>
        <w:rPr>
          <w:bCs/>
          <w:szCs w:val="20"/>
        </w:rPr>
      </w:pPr>
    </w:p>
    <w:p w:rsidR="009D2F13" w:rsidRPr="009D2F13" w:rsidRDefault="009D2F13" w:rsidP="009D2F13">
      <w:pPr>
        <w:tabs>
          <w:tab w:val="num" w:pos="1080"/>
        </w:tabs>
        <w:jc w:val="both"/>
        <w:rPr>
          <w:b/>
          <w:bCs/>
          <w:szCs w:val="20"/>
        </w:rPr>
      </w:pPr>
      <w:r w:rsidRPr="009D2F13">
        <w:rPr>
          <w:b/>
          <w:bCs/>
          <w:szCs w:val="20"/>
        </w:rPr>
        <w:t>Poznámka:</w:t>
      </w:r>
    </w:p>
    <w:p w:rsidR="009D2F13" w:rsidRPr="009D2F13" w:rsidRDefault="009D2F13" w:rsidP="009D2F13">
      <w:pPr>
        <w:tabs>
          <w:tab w:val="num" w:pos="1080"/>
        </w:tabs>
        <w:jc w:val="both"/>
        <w:rPr>
          <w:bCs/>
          <w:szCs w:val="20"/>
        </w:rPr>
      </w:pPr>
      <w:r w:rsidRPr="009D2F13">
        <w:rPr>
          <w:bCs/>
          <w:szCs w:val="20"/>
        </w:rPr>
        <w:t>Ak sa vplyv týka viacerých subjektov verejnej správy, vypĺňa sa samostatná tabuľka za každý subjekt.</w:t>
      </w:r>
    </w:p>
    <w:p w:rsidR="009D2F13" w:rsidRPr="009D2F13" w:rsidRDefault="009D2F13" w:rsidP="009D2F13">
      <w:pPr>
        <w:tabs>
          <w:tab w:val="num" w:pos="1080"/>
        </w:tabs>
        <w:ind w:right="-578"/>
        <w:jc w:val="right"/>
        <w:rPr>
          <w:bCs/>
        </w:rPr>
      </w:pPr>
      <w:r w:rsidRPr="009D2F13">
        <w:rPr>
          <w:bCs/>
        </w:rPr>
        <w:t xml:space="preserve"> </w:t>
      </w: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578"/>
        <w:jc w:val="right"/>
        <w:rPr>
          <w:bCs/>
        </w:rPr>
      </w:pPr>
    </w:p>
    <w:p w:rsidR="009D2F13" w:rsidRPr="009D2F13" w:rsidRDefault="009D2F13" w:rsidP="009D2F13">
      <w:pPr>
        <w:tabs>
          <w:tab w:val="num" w:pos="1080"/>
        </w:tabs>
        <w:ind w:right="-32"/>
        <w:jc w:val="right"/>
        <w:rPr>
          <w:bCs/>
        </w:rPr>
      </w:pPr>
      <w:r w:rsidRPr="009D2F13">
        <w:rPr>
          <w:bCs/>
        </w:rPr>
        <w:lastRenderedPageBreak/>
        <w:t xml:space="preserve">Tabuľka č. 4 </w:t>
      </w:r>
    </w:p>
    <w:p w:rsidR="009D2F13" w:rsidRPr="009D2F13" w:rsidRDefault="009D2F13" w:rsidP="009D2F13">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D2F13" w:rsidRPr="009D2F13" w:rsidTr="009D2F13">
        <w:trPr>
          <w:cantSplit/>
          <w:trHeight w:val="416"/>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9D2F13" w:rsidRPr="009D2F13" w:rsidRDefault="009D2F13" w:rsidP="009D2F13">
            <w:pPr>
              <w:jc w:val="center"/>
              <w:rPr>
                <w:b/>
                <w:bCs/>
                <w:sz w:val="20"/>
                <w:szCs w:val="20"/>
              </w:rPr>
            </w:pPr>
            <w:r w:rsidRPr="009D2F13">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9D2F13" w:rsidRPr="009D2F13" w:rsidRDefault="009D2F13" w:rsidP="009D2F13">
            <w:pPr>
              <w:jc w:val="center"/>
              <w:rPr>
                <w:b/>
                <w:bCs/>
                <w:sz w:val="20"/>
                <w:szCs w:val="20"/>
              </w:rPr>
            </w:pPr>
            <w:r w:rsidRPr="009D2F13">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9D2F13" w:rsidRPr="009D2F13" w:rsidRDefault="009D2F13" w:rsidP="009D2F13">
            <w:pPr>
              <w:jc w:val="center"/>
              <w:rPr>
                <w:b/>
                <w:bCs/>
              </w:rPr>
            </w:pPr>
            <w:r w:rsidRPr="009D2F13">
              <w:rPr>
                <w:b/>
                <w:bCs/>
              </w:rPr>
              <w:t>poznámka</w:t>
            </w:r>
          </w:p>
        </w:tc>
      </w:tr>
      <w:tr w:rsidR="009D2F13" w:rsidRPr="009D2F13" w:rsidTr="009D2F1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9D2F13" w:rsidRPr="009D2F13" w:rsidRDefault="009D2F13" w:rsidP="009D2F13">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sz w:val="20"/>
                <w:szCs w:val="20"/>
              </w:rPr>
            </w:pPr>
            <w:r w:rsidRPr="009D2F13">
              <w:rPr>
                <w:b/>
                <w:bCs/>
                <w:sz w:val="20"/>
                <w:szCs w:val="20"/>
              </w:rPr>
              <w:t>2021</w:t>
            </w:r>
          </w:p>
        </w:tc>
        <w:tc>
          <w:tcPr>
            <w:tcW w:w="154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sz w:val="20"/>
                <w:szCs w:val="20"/>
              </w:rPr>
            </w:pPr>
            <w:r w:rsidRPr="009D2F13">
              <w:rPr>
                <w:b/>
                <w:bCs/>
                <w:sz w:val="20"/>
                <w:szCs w:val="20"/>
              </w:rPr>
              <w:t>2022</w:t>
            </w:r>
          </w:p>
        </w:tc>
        <w:tc>
          <w:tcPr>
            <w:tcW w:w="154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sz w:val="20"/>
                <w:szCs w:val="20"/>
              </w:rPr>
            </w:pPr>
            <w:r w:rsidRPr="009D2F13">
              <w:rPr>
                <w:b/>
                <w:bCs/>
                <w:sz w:val="20"/>
                <w:szCs w:val="20"/>
              </w:rPr>
              <w:t>2023</w:t>
            </w:r>
          </w:p>
        </w:tc>
        <w:tc>
          <w:tcPr>
            <w:tcW w:w="1540"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sz w:val="20"/>
                <w:szCs w:val="20"/>
              </w:rPr>
            </w:pPr>
            <w:r w:rsidRPr="009D2F13">
              <w:rPr>
                <w:b/>
                <w:bCs/>
                <w:sz w:val="20"/>
                <w:szCs w:val="20"/>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9D2F13" w:rsidRPr="009D2F13" w:rsidRDefault="009D2F13" w:rsidP="009D2F13">
            <w:pPr>
              <w:rPr>
                <w:b/>
                <w:bCs/>
                <w:color w:val="FFFFFF"/>
              </w:rPr>
            </w:pP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b/>
                <w:bCs/>
                <w:sz w:val="20"/>
                <w:szCs w:val="20"/>
              </w:rPr>
            </w:pPr>
            <w:r w:rsidRPr="009D2F13">
              <w:rPr>
                <w:b/>
                <w:bCs/>
                <w:sz w:val="20"/>
                <w:szCs w:val="20"/>
              </w:rPr>
              <w:t>Bežné výdavky (600)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r w:rsidRPr="009D2F13">
              <w:rPr>
                <w:b/>
                <w:bCs/>
                <w:sz w:val="20"/>
                <w:szCs w:val="20"/>
              </w:rPr>
              <w:t>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r w:rsidRPr="009D2F13">
              <w:rPr>
                <w:b/>
                <w:bCs/>
                <w:sz w:val="20"/>
                <w:szCs w:val="20"/>
              </w:rPr>
              <w:t>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r w:rsidRPr="009D2F13">
              <w:rPr>
                <w:b/>
                <w:bCs/>
                <w:sz w:val="20"/>
                <w:szCs w:val="20"/>
              </w:rPr>
              <w:t>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r w:rsidRPr="009D2F13">
              <w:rPr>
                <w:b/>
                <w:bCs/>
                <w:sz w:val="20"/>
                <w:szCs w:val="20"/>
              </w:rPr>
              <w:t>0</w:t>
            </w: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sz w:val="20"/>
                <w:szCs w:val="20"/>
              </w:rPr>
            </w:pPr>
            <w:r w:rsidRPr="009D2F13">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sz w:val="20"/>
                <w:szCs w:val="20"/>
                <w:vertAlign w:val="superscript"/>
              </w:rPr>
            </w:pPr>
            <w:r w:rsidRPr="009D2F13">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sz w:val="20"/>
                <w:szCs w:val="20"/>
                <w:vertAlign w:val="superscript"/>
              </w:rPr>
            </w:pPr>
            <w:r w:rsidRPr="009D2F13">
              <w:rPr>
                <w:sz w:val="20"/>
                <w:szCs w:val="20"/>
              </w:rPr>
              <w:t xml:space="preserve">  Tovary a služby (630)</w:t>
            </w:r>
            <w:r w:rsidRPr="009D2F13">
              <w:rPr>
                <w:sz w:val="20"/>
                <w:szCs w:val="20"/>
                <w:vertAlign w:val="superscript"/>
              </w:rPr>
              <w:t>2</w:t>
            </w:r>
          </w:p>
          <w:p w:rsidR="009D2F13" w:rsidRPr="009D2F13" w:rsidRDefault="009D2F13" w:rsidP="009D2F13">
            <w:pPr>
              <w:rPr>
                <w:sz w:val="20"/>
                <w:szCs w:val="20"/>
              </w:rPr>
            </w:pPr>
            <w:r w:rsidRPr="009D2F13">
              <w:rPr>
                <w:sz w:val="20"/>
                <w:szCs w:val="20"/>
              </w:rPr>
              <w:t>635009 Softvéru</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sz w:val="20"/>
                <w:szCs w:val="20"/>
              </w:rPr>
            </w:pPr>
            <w:r w:rsidRPr="009D2F13">
              <w:rPr>
                <w:sz w:val="20"/>
                <w:szCs w:val="20"/>
              </w:rPr>
              <w:t xml:space="preserve">  Bežné transfery (640)</w:t>
            </w:r>
            <w:r w:rsidRPr="009D2F13">
              <w:rPr>
                <w:sz w:val="20"/>
                <w:szCs w:val="20"/>
                <w:vertAlign w:val="superscript"/>
              </w:rPr>
              <w:t>2</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vAlign w:val="center"/>
          </w:tcPr>
          <w:p w:rsidR="009D2F13" w:rsidRPr="009D2F13" w:rsidRDefault="009D2F13" w:rsidP="009D2F13">
            <w:pPr>
              <w:rPr>
                <w:sz w:val="20"/>
                <w:szCs w:val="20"/>
              </w:rPr>
            </w:pPr>
            <w:r w:rsidRPr="009D2F13">
              <w:rPr>
                <w:sz w:val="20"/>
                <w:szCs w:val="20"/>
              </w:rPr>
              <w:t xml:space="preserve">  Splácanie úrokov a ostatné platby súvisiace s </w:t>
            </w:r>
            <w:r w:rsidRPr="009D2F13">
              <w:rPr>
                <w:rFonts w:ascii="Calibri" w:eastAsia="Calibri" w:hAnsi="Calibri"/>
                <w:sz w:val="22"/>
                <w:szCs w:val="22"/>
                <w:lang w:eastAsia="en-US"/>
              </w:rPr>
              <w:t xml:space="preserve"> </w:t>
            </w:r>
            <w:r w:rsidRPr="009D2F13">
              <w:rPr>
                <w:sz w:val="20"/>
                <w:szCs w:val="20"/>
              </w:rPr>
              <w:t>úverom, pôžičkou, návratnou finančnou výpomocou a finančným prenájmom (650)</w:t>
            </w:r>
            <w:r w:rsidRPr="009D2F13">
              <w:rPr>
                <w:sz w:val="20"/>
                <w:szCs w:val="20"/>
                <w:vertAlign w:val="superscript"/>
              </w:rPr>
              <w:t>2</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tc>
      </w:tr>
      <w:tr w:rsidR="009D2F13" w:rsidRPr="009D2F13" w:rsidTr="0096653D">
        <w:trPr>
          <w:trHeight w:val="70"/>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b/>
                <w:bCs/>
                <w:sz w:val="20"/>
                <w:szCs w:val="20"/>
              </w:rPr>
            </w:pPr>
            <w:r w:rsidRPr="009D2F13">
              <w:rPr>
                <w:b/>
                <w:bCs/>
                <w:sz w:val="20"/>
                <w:szCs w:val="20"/>
              </w:rPr>
              <w:t>Kapitálové výdavky (700)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1540" w:type="dxa"/>
            <w:tcBorders>
              <w:top w:val="nil"/>
              <w:left w:val="nil"/>
              <w:bottom w:val="single" w:sz="4" w:space="0" w:color="auto"/>
              <w:right w:val="single" w:sz="4" w:space="0" w:color="auto"/>
            </w:tcBorders>
          </w:tcPr>
          <w:p w:rsidR="009D2F13" w:rsidRPr="009D2F13" w:rsidRDefault="009D2F13" w:rsidP="009D2F13">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sz w:val="20"/>
                <w:szCs w:val="20"/>
                <w:vertAlign w:val="superscript"/>
              </w:rPr>
            </w:pPr>
            <w:r w:rsidRPr="009D2F13">
              <w:rPr>
                <w:sz w:val="20"/>
                <w:szCs w:val="20"/>
              </w:rPr>
              <w:t xml:space="preserve">  Obstarávanie kapitálových aktív (710)</w:t>
            </w:r>
            <w:r w:rsidRPr="009D2F13">
              <w:rPr>
                <w:sz w:val="20"/>
                <w:szCs w:val="20"/>
                <w:vertAlign w:val="superscript"/>
              </w:rPr>
              <w:t>2</w:t>
            </w:r>
          </w:p>
          <w:p w:rsidR="009D2F13" w:rsidRPr="009D2F13" w:rsidRDefault="009D2F13" w:rsidP="009D2F13">
            <w:pPr>
              <w:rPr>
                <w:sz w:val="20"/>
                <w:szCs w:val="20"/>
              </w:rPr>
            </w:pPr>
            <w:r w:rsidRPr="009D2F13">
              <w:rPr>
                <w:sz w:val="20"/>
                <w:szCs w:val="20"/>
              </w:rPr>
              <w:t>718006 Softvéru</w:t>
            </w:r>
          </w:p>
          <w:p w:rsidR="009D2F13" w:rsidRPr="009D2F13" w:rsidRDefault="009D2F13" w:rsidP="009D2F13">
            <w:pPr>
              <w:rPr>
                <w:sz w:val="20"/>
                <w:szCs w:val="20"/>
              </w:rPr>
            </w:pPr>
            <w:r w:rsidRPr="009D2F13">
              <w:rPr>
                <w:sz w:val="20"/>
                <w:szCs w:val="20"/>
              </w:rPr>
              <w:t>718002 Výpočtová technika rekonštrukcia a modernizácia</w:t>
            </w:r>
          </w:p>
        </w:tc>
        <w:tc>
          <w:tcPr>
            <w:tcW w:w="1540" w:type="dxa"/>
            <w:tcBorders>
              <w:top w:val="nil"/>
              <w:left w:val="nil"/>
              <w:bottom w:val="single" w:sz="4" w:space="0" w:color="auto"/>
              <w:right w:val="single" w:sz="4" w:space="0" w:color="auto"/>
            </w:tcBorders>
          </w:tcPr>
          <w:p w:rsidR="009D2F13" w:rsidRPr="009D2F13" w:rsidRDefault="009D2F13" w:rsidP="009D2F13">
            <w:pPr>
              <w:spacing w:after="200" w:line="276" w:lineRule="auto"/>
              <w:jc w:val="center"/>
              <w:rPr>
                <w:rFonts w:eastAsia="Calibri"/>
                <w:lang w:eastAsia="en-US"/>
              </w:rPr>
            </w:pPr>
            <w:r w:rsidRPr="009D2F13">
              <w:rPr>
                <w:rFonts w:eastAsia="Calibri"/>
                <w:lang w:eastAsia="en-US"/>
              </w:rPr>
              <w:t>990.000</w:t>
            </w:r>
          </w:p>
        </w:tc>
        <w:tc>
          <w:tcPr>
            <w:tcW w:w="1540" w:type="dxa"/>
            <w:tcBorders>
              <w:top w:val="nil"/>
              <w:left w:val="nil"/>
              <w:bottom w:val="single" w:sz="4" w:space="0" w:color="auto"/>
              <w:right w:val="single" w:sz="4" w:space="0" w:color="auto"/>
            </w:tcBorders>
          </w:tcPr>
          <w:p w:rsidR="009D2F13" w:rsidRPr="009D2F13" w:rsidRDefault="009D2F13" w:rsidP="009D2F13">
            <w:pPr>
              <w:spacing w:after="200" w:line="276" w:lineRule="auto"/>
              <w:jc w:val="center"/>
              <w:rPr>
                <w:rFonts w:eastAsia="Calibri"/>
                <w:lang w:eastAsia="en-US"/>
              </w:rPr>
            </w:pPr>
            <w:r w:rsidRPr="009D2F13">
              <w:rPr>
                <w:rFonts w:eastAsia="Calibri"/>
                <w:lang w:eastAsia="en-US"/>
              </w:rPr>
              <w:t>250.000</w:t>
            </w:r>
          </w:p>
        </w:tc>
        <w:tc>
          <w:tcPr>
            <w:tcW w:w="1540" w:type="dxa"/>
            <w:tcBorders>
              <w:top w:val="nil"/>
              <w:left w:val="nil"/>
              <w:bottom w:val="single" w:sz="4" w:space="0" w:color="auto"/>
              <w:right w:val="single" w:sz="4" w:space="0" w:color="auto"/>
            </w:tcBorders>
          </w:tcPr>
          <w:p w:rsidR="009D2F13" w:rsidRPr="009D2F13" w:rsidRDefault="009D2F13" w:rsidP="009D2F13">
            <w:pPr>
              <w:spacing w:after="200" w:line="276" w:lineRule="auto"/>
              <w:jc w:val="center"/>
              <w:rPr>
                <w:rFonts w:eastAsia="Calibri"/>
                <w:lang w:eastAsia="en-US"/>
              </w:rPr>
            </w:pPr>
            <w:r w:rsidRPr="009D2F13">
              <w:rPr>
                <w:rFonts w:eastAsia="Calibri"/>
                <w:lang w:eastAsia="en-US"/>
              </w:rPr>
              <w:t>480.000</w:t>
            </w:r>
          </w:p>
        </w:tc>
        <w:tc>
          <w:tcPr>
            <w:tcW w:w="1540" w:type="dxa"/>
            <w:tcBorders>
              <w:top w:val="nil"/>
              <w:left w:val="nil"/>
              <w:bottom w:val="single" w:sz="4" w:space="0" w:color="auto"/>
              <w:right w:val="single" w:sz="4" w:space="0" w:color="auto"/>
            </w:tcBorders>
          </w:tcPr>
          <w:p w:rsidR="009D2F13" w:rsidRPr="009D2F13" w:rsidRDefault="009D2F13" w:rsidP="009D2F13">
            <w:pPr>
              <w:spacing w:after="200" w:line="276" w:lineRule="auto"/>
              <w:jc w:val="center"/>
              <w:rPr>
                <w:rFonts w:eastAsia="Calibri"/>
                <w:lang w:eastAsia="en-US"/>
              </w:rPr>
            </w:pPr>
            <w:r w:rsidRPr="009D2F13">
              <w:rPr>
                <w:rFonts w:eastAsia="Calibri"/>
                <w:lang w:eastAsia="en-US"/>
              </w:rPr>
              <w:t>480.000</w:t>
            </w: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sz w:val="20"/>
                <w:szCs w:val="20"/>
              </w:rPr>
            </w:pPr>
            <w:r w:rsidRPr="009D2F13">
              <w:rPr>
                <w:sz w:val="20"/>
                <w:szCs w:val="20"/>
              </w:rPr>
              <w:t xml:space="preserve">  Kapitálové transfery (720)</w:t>
            </w:r>
            <w:r w:rsidRPr="009D2F13">
              <w:rPr>
                <w:sz w:val="20"/>
                <w:szCs w:val="20"/>
                <w:vertAlign w:val="superscript"/>
              </w:rPr>
              <w:t>2</w:t>
            </w:r>
          </w:p>
        </w:tc>
        <w:tc>
          <w:tcPr>
            <w:tcW w:w="1540" w:type="dxa"/>
            <w:tcBorders>
              <w:top w:val="nil"/>
              <w:left w:val="nil"/>
              <w:bottom w:val="single" w:sz="4" w:space="0" w:color="auto"/>
              <w:right w:val="single" w:sz="4" w:space="0" w:color="auto"/>
            </w:tcBorders>
          </w:tcPr>
          <w:p w:rsidR="009D2F13" w:rsidRPr="009D2F13" w:rsidRDefault="009D2F13" w:rsidP="009D2F13">
            <w:pPr>
              <w:jc w:val="center"/>
            </w:pPr>
            <w:r w:rsidRPr="009D2F13">
              <w:t>0</w:t>
            </w:r>
          </w:p>
        </w:tc>
        <w:tc>
          <w:tcPr>
            <w:tcW w:w="1540" w:type="dxa"/>
            <w:tcBorders>
              <w:top w:val="nil"/>
              <w:left w:val="nil"/>
              <w:bottom w:val="single" w:sz="4" w:space="0" w:color="auto"/>
              <w:right w:val="single" w:sz="4" w:space="0" w:color="auto"/>
            </w:tcBorders>
          </w:tcPr>
          <w:p w:rsidR="009D2F13" w:rsidRPr="009D2F13" w:rsidRDefault="009D2F13" w:rsidP="009D2F13">
            <w:pPr>
              <w:jc w:val="center"/>
            </w:pPr>
            <w:r w:rsidRPr="009D2F13">
              <w:t>0</w:t>
            </w:r>
          </w:p>
        </w:tc>
        <w:tc>
          <w:tcPr>
            <w:tcW w:w="1540" w:type="dxa"/>
            <w:tcBorders>
              <w:top w:val="nil"/>
              <w:left w:val="nil"/>
              <w:bottom w:val="single" w:sz="4" w:space="0" w:color="auto"/>
              <w:right w:val="single" w:sz="4" w:space="0" w:color="auto"/>
            </w:tcBorders>
          </w:tcPr>
          <w:p w:rsidR="009D2F13" w:rsidRPr="009D2F13" w:rsidRDefault="009D2F13" w:rsidP="009D2F13">
            <w:pPr>
              <w:jc w:val="center"/>
            </w:pPr>
            <w:r w:rsidRPr="009D2F13">
              <w:rPr>
                <w:bCs/>
              </w:rPr>
              <w:t>0</w:t>
            </w:r>
          </w:p>
        </w:tc>
        <w:tc>
          <w:tcPr>
            <w:tcW w:w="1540" w:type="dxa"/>
            <w:tcBorders>
              <w:top w:val="nil"/>
              <w:left w:val="nil"/>
              <w:bottom w:val="single" w:sz="4" w:space="0" w:color="auto"/>
              <w:right w:val="single" w:sz="4" w:space="0" w:color="auto"/>
            </w:tcBorders>
          </w:tcPr>
          <w:p w:rsidR="009D2F13" w:rsidRPr="009D2F13" w:rsidRDefault="009D2F13" w:rsidP="009D2F13">
            <w:pPr>
              <w:jc w:val="center"/>
              <w:rPr>
                <w:bCs/>
              </w:rPr>
            </w:pPr>
            <w:r w:rsidRPr="009D2F13">
              <w:rPr>
                <w:bCs/>
              </w:rPr>
              <w:t>0</w:t>
            </w: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7070" w:type="dxa"/>
            <w:tcBorders>
              <w:top w:val="nil"/>
              <w:left w:val="single" w:sz="4" w:space="0" w:color="auto"/>
              <w:bottom w:val="single" w:sz="4" w:space="0" w:color="auto"/>
              <w:right w:val="single" w:sz="4" w:space="0" w:color="auto"/>
            </w:tcBorders>
          </w:tcPr>
          <w:p w:rsidR="009D2F13" w:rsidRPr="009D2F13" w:rsidRDefault="009D2F13" w:rsidP="009D2F13">
            <w:pPr>
              <w:rPr>
                <w:b/>
                <w:bCs/>
                <w:sz w:val="20"/>
                <w:szCs w:val="20"/>
              </w:rPr>
            </w:pPr>
            <w:r w:rsidRPr="009D2F13">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auto"/>
          </w:tcPr>
          <w:p w:rsidR="009D2F13" w:rsidRPr="009D2F13" w:rsidRDefault="009D2F13" w:rsidP="009D2F13">
            <w:pPr>
              <w:jc w:val="center"/>
              <w:rPr>
                <w:b/>
                <w:bCs/>
              </w:rPr>
            </w:pPr>
            <w:r w:rsidRPr="009D2F13">
              <w:rPr>
                <w:b/>
                <w:bCs/>
              </w:rPr>
              <w:t>0</w:t>
            </w:r>
          </w:p>
        </w:tc>
        <w:tc>
          <w:tcPr>
            <w:tcW w:w="1540" w:type="dxa"/>
            <w:tcBorders>
              <w:top w:val="nil"/>
              <w:left w:val="nil"/>
              <w:bottom w:val="single" w:sz="4" w:space="0" w:color="auto"/>
              <w:right w:val="single" w:sz="4" w:space="0" w:color="auto"/>
            </w:tcBorders>
            <w:shd w:val="clear" w:color="auto" w:fill="auto"/>
          </w:tcPr>
          <w:p w:rsidR="009D2F13" w:rsidRPr="009D2F13" w:rsidRDefault="009D2F13" w:rsidP="009D2F13">
            <w:pPr>
              <w:jc w:val="center"/>
              <w:rPr>
                <w:b/>
                <w:bCs/>
              </w:rPr>
            </w:pPr>
            <w:r w:rsidRPr="009D2F13">
              <w:rPr>
                <w:b/>
                <w:bCs/>
              </w:rPr>
              <w:t>0</w:t>
            </w:r>
          </w:p>
        </w:tc>
        <w:tc>
          <w:tcPr>
            <w:tcW w:w="1540" w:type="dxa"/>
            <w:tcBorders>
              <w:top w:val="nil"/>
              <w:left w:val="nil"/>
              <w:bottom w:val="single" w:sz="4" w:space="0" w:color="auto"/>
              <w:right w:val="single" w:sz="4" w:space="0" w:color="auto"/>
            </w:tcBorders>
            <w:shd w:val="clear" w:color="auto" w:fill="auto"/>
          </w:tcPr>
          <w:p w:rsidR="009D2F13" w:rsidRPr="009D2F13" w:rsidRDefault="009D2F13" w:rsidP="009D2F13">
            <w:pPr>
              <w:jc w:val="center"/>
              <w:rPr>
                <w:b/>
                <w:bCs/>
              </w:rPr>
            </w:pPr>
            <w:r w:rsidRPr="009D2F13">
              <w:rPr>
                <w:b/>
                <w:bCs/>
              </w:rPr>
              <w:t>0</w:t>
            </w:r>
          </w:p>
        </w:tc>
        <w:tc>
          <w:tcPr>
            <w:tcW w:w="1540" w:type="dxa"/>
            <w:tcBorders>
              <w:top w:val="nil"/>
              <w:left w:val="nil"/>
              <w:bottom w:val="single" w:sz="4" w:space="0" w:color="auto"/>
              <w:right w:val="single" w:sz="4" w:space="0" w:color="auto"/>
            </w:tcBorders>
            <w:shd w:val="clear" w:color="auto" w:fill="auto"/>
          </w:tcPr>
          <w:p w:rsidR="009D2F13" w:rsidRPr="009D2F13" w:rsidRDefault="009D2F13" w:rsidP="009D2F13">
            <w:pPr>
              <w:jc w:val="center"/>
              <w:rPr>
                <w:b/>
                <w:bCs/>
              </w:rPr>
            </w:pPr>
            <w:r w:rsidRPr="009D2F13">
              <w:rPr>
                <w:b/>
                <w:bCs/>
              </w:rPr>
              <w:t>0</w:t>
            </w:r>
          </w:p>
        </w:tc>
        <w:tc>
          <w:tcPr>
            <w:tcW w:w="2220" w:type="dxa"/>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D2F1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9D2F13" w:rsidRPr="009D2F13" w:rsidRDefault="009D2F13" w:rsidP="009D2F13">
            <w:pPr>
              <w:rPr>
                <w:b/>
                <w:bCs/>
                <w:sz w:val="20"/>
                <w:szCs w:val="20"/>
              </w:rPr>
            </w:pPr>
            <w:r w:rsidRPr="009D2F13">
              <w:rPr>
                <w:b/>
                <w:bCs/>
                <w:sz w:val="20"/>
                <w:szCs w:val="20"/>
              </w:rPr>
              <w:t>Dopad na výdavky verejnej správy celkom ( MV SR)</w:t>
            </w:r>
          </w:p>
        </w:tc>
        <w:tc>
          <w:tcPr>
            <w:tcW w:w="1540" w:type="dxa"/>
            <w:tcBorders>
              <w:top w:val="single" w:sz="4" w:space="0" w:color="auto"/>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rFonts w:eastAsia="Calibri"/>
                <w:b/>
                <w:bCs/>
                <w:lang w:eastAsia="en-US"/>
              </w:rPr>
              <w:t>990.000</w:t>
            </w:r>
          </w:p>
        </w:tc>
        <w:tc>
          <w:tcPr>
            <w:tcW w:w="1540" w:type="dxa"/>
            <w:tcBorders>
              <w:top w:val="single" w:sz="4" w:space="0" w:color="auto"/>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rFonts w:eastAsia="Calibri"/>
                <w:b/>
                <w:bCs/>
                <w:lang w:eastAsia="en-US"/>
              </w:rPr>
              <w:t>250.000</w:t>
            </w:r>
          </w:p>
        </w:tc>
        <w:tc>
          <w:tcPr>
            <w:tcW w:w="1540" w:type="dxa"/>
            <w:tcBorders>
              <w:top w:val="single" w:sz="4" w:space="0" w:color="auto"/>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rFonts w:eastAsia="Calibri"/>
                <w:b/>
                <w:bCs/>
                <w:lang w:eastAsia="en-US"/>
              </w:rPr>
              <w:t>480.000</w:t>
            </w:r>
          </w:p>
        </w:tc>
        <w:tc>
          <w:tcPr>
            <w:tcW w:w="1540" w:type="dxa"/>
            <w:tcBorders>
              <w:top w:val="single" w:sz="4" w:space="0" w:color="auto"/>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rFonts w:eastAsia="Calibri"/>
                <w:b/>
                <w:bCs/>
                <w:lang w:eastAsia="en-US"/>
              </w:rPr>
              <w:t>480.000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9D2F13" w:rsidRPr="009D2F13" w:rsidRDefault="009D2F13" w:rsidP="009D2F13">
            <w:r w:rsidRPr="009D2F13">
              <w:t> </w:t>
            </w:r>
          </w:p>
        </w:tc>
      </w:tr>
    </w:tbl>
    <w:p w:rsidR="009D2F13" w:rsidRPr="009D2F13" w:rsidRDefault="009D2F13" w:rsidP="009D2F13">
      <w:pPr>
        <w:tabs>
          <w:tab w:val="num" w:pos="1080"/>
        </w:tabs>
        <w:ind w:left="-900"/>
        <w:jc w:val="both"/>
        <w:rPr>
          <w:bCs/>
          <w:sz w:val="20"/>
          <w:szCs w:val="20"/>
        </w:rPr>
      </w:pPr>
      <w:r w:rsidRPr="009D2F13">
        <w:rPr>
          <w:bCs/>
          <w:sz w:val="20"/>
          <w:szCs w:val="20"/>
        </w:rPr>
        <w:t>2 –  výdavky rozpísať až do položiek platnej ekonomickej klasifikácie</w:t>
      </w:r>
    </w:p>
    <w:p w:rsidR="009D2F13" w:rsidRPr="009D2F13" w:rsidRDefault="009D2F13" w:rsidP="009D2F13">
      <w:pPr>
        <w:tabs>
          <w:tab w:val="num" w:pos="1080"/>
        </w:tabs>
        <w:ind w:left="-900"/>
        <w:jc w:val="both"/>
        <w:rPr>
          <w:bCs/>
          <w:szCs w:val="20"/>
        </w:rPr>
      </w:pPr>
    </w:p>
    <w:p w:rsidR="009D2F13" w:rsidRPr="009D2F13" w:rsidRDefault="009D2F13" w:rsidP="009D2F13">
      <w:pPr>
        <w:tabs>
          <w:tab w:val="num" w:pos="1080"/>
        </w:tabs>
        <w:ind w:left="-900"/>
        <w:jc w:val="both"/>
        <w:rPr>
          <w:b/>
          <w:bCs/>
          <w:sz w:val="20"/>
          <w:szCs w:val="20"/>
        </w:rPr>
      </w:pPr>
      <w:r w:rsidRPr="009D2F13">
        <w:rPr>
          <w:b/>
          <w:bCs/>
          <w:szCs w:val="20"/>
        </w:rPr>
        <w:t>Poznámka:</w:t>
      </w:r>
    </w:p>
    <w:p w:rsidR="009D2F13" w:rsidRPr="009D2F13" w:rsidRDefault="009D2F13" w:rsidP="009D2F13">
      <w:pPr>
        <w:tabs>
          <w:tab w:val="num" w:pos="1080"/>
        </w:tabs>
        <w:ind w:left="-900"/>
        <w:jc w:val="both"/>
        <w:rPr>
          <w:bCs/>
          <w:sz w:val="20"/>
          <w:szCs w:val="20"/>
        </w:rPr>
      </w:pPr>
      <w:r w:rsidRPr="009D2F13">
        <w:rPr>
          <w:bCs/>
          <w:szCs w:val="20"/>
        </w:rPr>
        <w:t>Ak sa vplyv týka viacerých subjektov verejnej správy, vypĺňa sa samostatná tabuľka za každý subjekt.</w:t>
      </w: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ind w:left="-900"/>
        <w:jc w:val="both"/>
        <w:rPr>
          <w:bCs/>
          <w:sz w:val="20"/>
          <w:szCs w:val="20"/>
        </w:rPr>
      </w:pPr>
    </w:p>
    <w:p w:rsidR="009D2F13" w:rsidRPr="009D2F13" w:rsidRDefault="009D2F13" w:rsidP="009D2F13">
      <w:pPr>
        <w:tabs>
          <w:tab w:val="num" w:pos="1080"/>
        </w:tabs>
        <w:jc w:val="right"/>
        <w:rPr>
          <w:bCs/>
        </w:rPr>
      </w:pPr>
      <w:r w:rsidRPr="009D2F13">
        <w:rPr>
          <w:bCs/>
        </w:rPr>
        <w:t xml:space="preserve">                 Tabuľka č. 5 </w:t>
      </w:r>
    </w:p>
    <w:p w:rsidR="009D2F13" w:rsidRPr="009D2F13" w:rsidRDefault="009D2F13" w:rsidP="009D2F13">
      <w:pPr>
        <w:tabs>
          <w:tab w:val="num" w:pos="1080"/>
        </w:tabs>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D2F13" w:rsidRPr="009D2F13" w:rsidTr="009D2F1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D2F13" w:rsidRPr="009D2F13" w:rsidRDefault="009D2F13" w:rsidP="009D2F13">
            <w:pPr>
              <w:jc w:val="center"/>
              <w:rPr>
                <w:b/>
                <w:bCs/>
              </w:rPr>
            </w:pPr>
            <w:r w:rsidRPr="009D2F13">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9D2F13" w:rsidRPr="009D2F13" w:rsidRDefault="009D2F13" w:rsidP="009D2F13">
            <w:pPr>
              <w:jc w:val="center"/>
              <w:rPr>
                <w:b/>
                <w:bCs/>
              </w:rPr>
            </w:pPr>
            <w:r w:rsidRPr="009D2F13">
              <w:rPr>
                <w:b/>
                <w:bCs/>
              </w:rPr>
              <w:t>poznámka</w:t>
            </w:r>
          </w:p>
        </w:tc>
      </w:tr>
      <w:tr w:rsidR="009D2F13" w:rsidRPr="009D2F13" w:rsidTr="009D2F1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D2F13" w:rsidRPr="009D2F13" w:rsidRDefault="009D2F13" w:rsidP="009D2F13">
            <w:pPr>
              <w:rPr>
                <w:b/>
                <w:bCs/>
              </w:rPr>
            </w:pPr>
          </w:p>
        </w:tc>
        <w:tc>
          <w:tcPr>
            <w:tcW w:w="1698"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w:t>
            </w:r>
          </w:p>
        </w:tc>
        <w:tc>
          <w:tcPr>
            <w:tcW w:w="1788"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 + 1</w:t>
            </w:r>
          </w:p>
        </w:tc>
        <w:tc>
          <w:tcPr>
            <w:tcW w:w="2418" w:type="dxa"/>
            <w:gridSpan w:val="2"/>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 + 2</w:t>
            </w:r>
          </w:p>
        </w:tc>
        <w:tc>
          <w:tcPr>
            <w:tcW w:w="1722"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9D2F13" w:rsidRPr="009D2F13" w:rsidRDefault="009D2F13" w:rsidP="009D2F13">
            <w:pPr>
              <w:rPr>
                <w:b/>
                <w:bCs/>
                <w:color w:val="FFFFFF"/>
              </w:rPr>
            </w:pPr>
          </w:p>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Počet zamestnancov celkom</w:t>
            </w:r>
          </w:p>
        </w:tc>
        <w:tc>
          <w:tcPr>
            <w:tcW w:w="1698"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788"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2418" w:type="dxa"/>
            <w:gridSpan w:val="2"/>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722"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1788" w:type="dxa"/>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2418" w:type="dxa"/>
            <w:gridSpan w:val="2"/>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1722" w:type="dxa"/>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1788" w:type="dxa"/>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2418" w:type="dxa"/>
            <w:gridSpan w:val="2"/>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1722" w:type="dxa"/>
            <w:tcBorders>
              <w:top w:val="single" w:sz="4" w:space="0" w:color="auto"/>
              <w:left w:val="nil"/>
              <w:bottom w:val="single" w:sz="4" w:space="0" w:color="auto"/>
              <w:right w:val="single" w:sz="4" w:space="0" w:color="auto"/>
            </w:tcBorders>
          </w:tcPr>
          <w:p w:rsidR="009D2F13" w:rsidRPr="009D2F13" w:rsidRDefault="009D2F13" w:rsidP="009D2F13">
            <w:pPr>
              <w:jc w:val="center"/>
              <w:rPr>
                <w:b/>
                <w:bCs/>
              </w:rPr>
            </w:pP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r w:rsidRPr="009D2F13">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9D2F13" w:rsidRPr="009D2F13" w:rsidRDefault="009D2F13" w:rsidP="009D2F13">
            <w:pPr>
              <w:jc w:val="center"/>
            </w:pPr>
            <w:r w:rsidRPr="009D2F13">
              <w:t> </w:t>
            </w:r>
          </w:p>
        </w:tc>
        <w:tc>
          <w:tcPr>
            <w:tcW w:w="1788" w:type="dxa"/>
            <w:tcBorders>
              <w:top w:val="single" w:sz="4" w:space="0" w:color="auto"/>
              <w:left w:val="nil"/>
              <w:bottom w:val="single" w:sz="4" w:space="0" w:color="auto"/>
              <w:right w:val="single" w:sz="4" w:space="0" w:color="auto"/>
            </w:tcBorders>
          </w:tcPr>
          <w:p w:rsidR="009D2F13" w:rsidRPr="009D2F13" w:rsidRDefault="009D2F13" w:rsidP="009D2F13">
            <w:pPr>
              <w:jc w:val="center"/>
            </w:pPr>
            <w:r w:rsidRPr="009D2F13">
              <w:t> </w:t>
            </w:r>
          </w:p>
        </w:tc>
        <w:tc>
          <w:tcPr>
            <w:tcW w:w="2418" w:type="dxa"/>
            <w:gridSpan w:val="2"/>
            <w:tcBorders>
              <w:top w:val="single" w:sz="4" w:space="0" w:color="auto"/>
              <w:left w:val="nil"/>
              <w:bottom w:val="single" w:sz="4" w:space="0" w:color="auto"/>
              <w:right w:val="single" w:sz="4" w:space="0" w:color="auto"/>
            </w:tcBorders>
          </w:tcPr>
          <w:p w:rsidR="009D2F13" w:rsidRPr="009D2F13" w:rsidRDefault="009D2F13" w:rsidP="009D2F13">
            <w:pPr>
              <w:jc w:val="center"/>
            </w:pPr>
            <w:r w:rsidRPr="009D2F13">
              <w:t> </w:t>
            </w:r>
          </w:p>
        </w:tc>
        <w:tc>
          <w:tcPr>
            <w:tcW w:w="1722" w:type="dxa"/>
            <w:tcBorders>
              <w:top w:val="single" w:sz="4" w:space="0" w:color="auto"/>
              <w:left w:val="nil"/>
              <w:bottom w:val="single" w:sz="4" w:space="0" w:color="auto"/>
              <w:right w:val="single" w:sz="4" w:space="0" w:color="auto"/>
            </w:tcBorders>
          </w:tcPr>
          <w:p w:rsidR="009D2F13" w:rsidRPr="009D2F13" w:rsidRDefault="009D2F13" w:rsidP="009D2F13">
            <w:pPr>
              <w:jc w:val="center"/>
            </w:pPr>
            <w:r w:rsidRPr="009D2F13">
              <w:t> </w:t>
            </w: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D2F13">
        <w:trPr>
          <w:trHeight w:val="255"/>
        </w:trPr>
        <w:tc>
          <w:tcPr>
            <w:tcW w:w="6188" w:type="dxa"/>
            <w:tcBorders>
              <w:top w:val="nil"/>
              <w:left w:val="single" w:sz="4" w:space="0" w:color="auto"/>
              <w:bottom w:val="single" w:sz="4" w:space="0" w:color="auto"/>
              <w:right w:val="single" w:sz="4" w:space="0" w:color="auto"/>
            </w:tcBorders>
            <w:shd w:val="clear" w:color="auto" w:fill="BFBFBF"/>
          </w:tcPr>
          <w:p w:rsidR="009D2F13" w:rsidRPr="009D2F13" w:rsidRDefault="009D2F13" w:rsidP="009D2F13">
            <w:pPr>
              <w:rPr>
                <w:b/>
                <w:bCs/>
              </w:rPr>
            </w:pPr>
            <w:r w:rsidRPr="009D2F13">
              <w:rPr>
                <w:b/>
                <w:bCs/>
              </w:rPr>
              <w:t>Osobné výdavky celkom (v eurách)</w:t>
            </w:r>
          </w:p>
        </w:tc>
        <w:tc>
          <w:tcPr>
            <w:tcW w:w="1698"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1788"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2418" w:type="dxa"/>
            <w:gridSpan w:val="2"/>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1722" w:type="dxa"/>
            <w:tcBorders>
              <w:top w:val="nil"/>
              <w:left w:val="nil"/>
              <w:bottom w:val="single" w:sz="4" w:space="0" w:color="auto"/>
              <w:right w:val="single" w:sz="4" w:space="0" w:color="auto"/>
            </w:tcBorders>
            <w:shd w:val="clear" w:color="auto" w:fill="BFBFBF"/>
          </w:tcPr>
          <w:p w:rsidR="009D2F13" w:rsidRPr="009D2F13" w:rsidRDefault="009D2F13" w:rsidP="009D2F13">
            <w:pPr>
              <w:jc w:val="center"/>
              <w:rPr>
                <w:b/>
                <w:bCs/>
              </w:rPr>
            </w:pPr>
            <w:r w:rsidRPr="009D2F13">
              <w:rPr>
                <w:b/>
                <w:bCs/>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9D2F13" w:rsidRPr="009D2F13" w:rsidRDefault="009D2F13" w:rsidP="009D2F13">
            <w:pPr>
              <w:rPr>
                <w:b/>
                <w:bCs/>
              </w:rPr>
            </w:pPr>
            <w:r w:rsidRPr="009D2F13">
              <w:rPr>
                <w:b/>
                <w:bCs/>
              </w:rPr>
              <w:t> </w:t>
            </w:r>
          </w:p>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Mzdy, platy, služobné príjmy a ostatné osobné vyrovnania (610)</w:t>
            </w:r>
          </w:p>
        </w:tc>
        <w:tc>
          <w:tcPr>
            <w:tcW w:w="1698"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788"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2418" w:type="dxa"/>
            <w:gridSpan w:val="2"/>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722"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pPr>
              <w:rPr>
                <w:b/>
                <w:bCs/>
              </w:rPr>
            </w:pPr>
            <w:r w:rsidRPr="009D2F13">
              <w:rPr>
                <w:b/>
                <w:bCs/>
              </w:rPr>
              <w:t> </w:t>
            </w:r>
          </w:p>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r w:rsidRPr="009D2F13">
              <w:rPr>
                <w:b/>
                <w:bCs/>
              </w:rPr>
              <w:t xml:space="preserve">   z toho vplyv na ŠR</w:t>
            </w:r>
          </w:p>
        </w:tc>
        <w:tc>
          <w:tcPr>
            <w:tcW w:w="1698" w:type="dxa"/>
            <w:tcBorders>
              <w:top w:val="nil"/>
              <w:left w:val="nil"/>
              <w:bottom w:val="single" w:sz="4" w:space="0" w:color="auto"/>
              <w:right w:val="single" w:sz="4" w:space="0" w:color="auto"/>
            </w:tcBorders>
          </w:tcPr>
          <w:p w:rsidR="009D2F13" w:rsidRPr="009D2F13" w:rsidRDefault="009D2F13" w:rsidP="009D2F13">
            <w:pPr>
              <w:jc w:val="center"/>
            </w:pPr>
          </w:p>
        </w:tc>
        <w:tc>
          <w:tcPr>
            <w:tcW w:w="1788" w:type="dxa"/>
            <w:tcBorders>
              <w:top w:val="nil"/>
              <w:left w:val="nil"/>
              <w:bottom w:val="single" w:sz="4" w:space="0" w:color="auto"/>
              <w:right w:val="single" w:sz="4" w:space="0" w:color="auto"/>
            </w:tcBorders>
          </w:tcPr>
          <w:p w:rsidR="009D2F13" w:rsidRPr="009D2F13" w:rsidRDefault="009D2F13" w:rsidP="009D2F13">
            <w:pPr>
              <w:jc w:val="center"/>
            </w:pPr>
          </w:p>
        </w:tc>
        <w:tc>
          <w:tcPr>
            <w:tcW w:w="2418" w:type="dxa"/>
            <w:gridSpan w:val="2"/>
            <w:tcBorders>
              <w:top w:val="nil"/>
              <w:left w:val="nil"/>
              <w:bottom w:val="single" w:sz="4" w:space="0" w:color="auto"/>
              <w:right w:val="single" w:sz="4" w:space="0" w:color="auto"/>
            </w:tcBorders>
          </w:tcPr>
          <w:p w:rsidR="009D2F13" w:rsidRPr="009D2F13" w:rsidRDefault="009D2F13" w:rsidP="009D2F13">
            <w:pPr>
              <w:jc w:val="center"/>
            </w:pPr>
          </w:p>
        </w:tc>
        <w:tc>
          <w:tcPr>
            <w:tcW w:w="1722" w:type="dxa"/>
            <w:tcBorders>
              <w:top w:val="nil"/>
              <w:left w:val="nil"/>
              <w:bottom w:val="single" w:sz="4" w:space="0" w:color="auto"/>
              <w:right w:val="single" w:sz="4" w:space="0" w:color="auto"/>
            </w:tcBorders>
          </w:tcPr>
          <w:p w:rsidR="009D2F13" w:rsidRPr="009D2F13" w:rsidRDefault="009D2F13" w:rsidP="009D2F13">
            <w:pPr>
              <w:jc w:val="center"/>
            </w:pP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pPr>
              <w:rPr>
                <w:b/>
                <w:bCs/>
              </w:rPr>
            </w:pPr>
            <w:r w:rsidRPr="009D2F13">
              <w:rPr>
                <w:b/>
                <w:bCs/>
              </w:rPr>
              <w:t>Poistné a príspevok do poisťovní (620)</w:t>
            </w:r>
          </w:p>
        </w:tc>
        <w:tc>
          <w:tcPr>
            <w:tcW w:w="1698"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788"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2418" w:type="dxa"/>
            <w:gridSpan w:val="2"/>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722" w:type="dxa"/>
            <w:tcBorders>
              <w:top w:val="nil"/>
              <w:left w:val="nil"/>
              <w:bottom w:val="single" w:sz="4" w:space="0" w:color="auto"/>
              <w:right w:val="single" w:sz="4" w:space="0" w:color="auto"/>
            </w:tcBorders>
          </w:tcPr>
          <w:p w:rsidR="009D2F13" w:rsidRPr="009D2F13" w:rsidRDefault="009D2F13" w:rsidP="009D2F13">
            <w:pPr>
              <w:jc w:val="center"/>
              <w:rPr>
                <w:b/>
                <w:bCs/>
              </w:rPr>
            </w:pP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pPr>
              <w:rPr>
                <w:b/>
                <w:bCs/>
              </w:rPr>
            </w:pPr>
            <w:r w:rsidRPr="009D2F13">
              <w:rPr>
                <w:b/>
                <w:bCs/>
              </w:rPr>
              <w:t> </w:t>
            </w:r>
          </w:p>
        </w:tc>
      </w:tr>
      <w:tr w:rsidR="009D2F13" w:rsidRPr="009D2F13" w:rsidTr="0096653D">
        <w:trPr>
          <w:trHeight w:val="255"/>
        </w:trPr>
        <w:tc>
          <w:tcPr>
            <w:tcW w:w="6188" w:type="dxa"/>
            <w:tcBorders>
              <w:top w:val="nil"/>
              <w:left w:val="single" w:sz="4" w:space="0" w:color="auto"/>
              <w:bottom w:val="single" w:sz="4" w:space="0" w:color="auto"/>
              <w:right w:val="single" w:sz="4" w:space="0" w:color="auto"/>
            </w:tcBorders>
          </w:tcPr>
          <w:p w:rsidR="009D2F13" w:rsidRPr="009D2F13" w:rsidRDefault="009D2F13" w:rsidP="009D2F13">
            <w:r w:rsidRPr="009D2F13">
              <w:rPr>
                <w:b/>
                <w:bCs/>
              </w:rPr>
              <w:t xml:space="preserve">   z toho vplyv na ŠR</w:t>
            </w:r>
          </w:p>
        </w:tc>
        <w:tc>
          <w:tcPr>
            <w:tcW w:w="1698" w:type="dxa"/>
            <w:tcBorders>
              <w:top w:val="nil"/>
              <w:left w:val="nil"/>
              <w:bottom w:val="single" w:sz="4" w:space="0" w:color="auto"/>
              <w:right w:val="single" w:sz="4" w:space="0" w:color="auto"/>
            </w:tcBorders>
          </w:tcPr>
          <w:p w:rsidR="009D2F13" w:rsidRPr="009D2F13" w:rsidRDefault="009D2F13" w:rsidP="009D2F13">
            <w:pPr>
              <w:jc w:val="center"/>
            </w:pPr>
          </w:p>
        </w:tc>
        <w:tc>
          <w:tcPr>
            <w:tcW w:w="1788" w:type="dxa"/>
            <w:tcBorders>
              <w:top w:val="nil"/>
              <w:left w:val="nil"/>
              <w:bottom w:val="single" w:sz="4" w:space="0" w:color="auto"/>
              <w:right w:val="single" w:sz="4" w:space="0" w:color="auto"/>
            </w:tcBorders>
          </w:tcPr>
          <w:p w:rsidR="009D2F13" w:rsidRPr="009D2F13" w:rsidRDefault="009D2F13" w:rsidP="009D2F13">
            <w:pPr>
              <w:jc w:val="center"/>
            </w:pPr>
          </w:p>
        </w:tc>
        <w:tc>
          <w:tcPr>
            <w:tcW w:w="2418" w:type="dxa"/>
            <w:gridSpan w:val="2"/>
            <w:tcBorders>
              <w:top w:val="nil"/>
              <w:left w:val="nil"/>
              <w:bottom w:val="single" w:sz="4" w:space="0" w:color="auto"/>
              <w:right w:val="single" w:sz="4" w:space="0" w:color="auto"/>
            </w:tcBorders>
          </w:tcPr>
          <w:p w:rsidR="009D2F13" w:rsidRPr="009D2F13" w:rsidRDefault="009D2F13" w:rsidP="009D2F13">
            <w:pPr>
              <w:jc w:val="center"/>
            </w:pPr>
          </w:p>
        </w:tc>
        <w:tc>
          <w:tcPr>
            <w:tcW w:w="1722" w:type="dxa"/>
            <w:tcBorders>
              <w:top w:val="nil"/>
              <w:left w:val="nil"/>
              <w:bottom w:val="single" w:sz="4" w:space="0" w:color="auto"/>
              <w:right w:val="single" w:sz="4" w:space="0" w:color="auto"/>
            </w:tcBorders>
          </w:tcPr>
          <w:p w:rsidR="009D2F13" w:rsidRPr="009D2F13" w:rsidRDefault="009D2F13" w:rsidP="009D2F13">
            <w:pPr>
              <w:jc w:val="center"/>
            </w:pPr>
          </w:p>
        </w:tc>
        <w:tc>
          <w:tcPr>
            <w:tcW w:w="1620" w:type="dxa"/>
            <w:gridSpan w:val="2"/>
            <w:tcBorders>
              <w:top w:val="nil"/>
              <w:left w:val="nil"/>
              <w:bottom w:val="single" w:sz="4" w:space="0" w:color="auto"/>
              <w:right w:val="single" w:sz="4" w:space="0" w:color="auto"/>
            </w:tcBorders>
            <w:noWrap/>
            <w:vAlign w:val="bottom"/>
          </w:tcPr>
          <w:p w:rsidR="009D2F13" w:rsidRPr="009D2F13" w:rsidRDefault="009D2F13" w:rsidP="009D2F13">
            <w:r w:rsidRPr="009D2F13">
              <w:t> </w:t>
            </w:r>
          </w:p>
        </w:tc>
      </w:tr>
      <w:tr w:rsidR="009D2F13" w:rsidRPr="009D2F13" w:rsidTr="0096653D">
        <w:trPr>
          <w:trHeight w:val="255"/>
        </w:trPr>
        <w:tc>
          <w:tcPr>
            <w:tcW w:w="6188" w:type="dxa"/>
            <w:tcBorders>
              <w:top w:val="nil"/>
              <w:left w:val="nil"/>
              <w:bottom w:val="nil"/>
              <w:right w:val="nil"/>
            </w:tcBorders>
            <w:noWrap/>
            <w:vAlign w:val="bottom"/>
          </w:tcPr>
          <w:p w:rsidR="009D2F13" w:rsidRPr="009D2F13" w:rsidRDefault="009D2F13" w:rsidP="009D2F13"/>
        </w:tc>
        <w:tc>
          <w:tcPr>
            <w:tcW w:w="1698" w:type="dxa"/>
            <w:tcBorders>
              <w:top w:val="nil"/>
              <w:left w:val="nil"/>
              <w:bottom w:val="nil"/>
              <w:right w:val="nil"/>
            </w:tcBorders>
            <w:noWrap/>
            <w:vAlign w:val="bottom"/>
          </w:tcPr>
          <w:p w:rsidR="009D2F13" w:rsidRPr="009D2F13" w:rsidRDefault="009D2F13" w:rsidP="009D2F13"/>
        </w:tc>
        <w:tc>
          <w:tcPr>
            <w:tcW w:w="1788" w:type="dxa"/>
            <w:tcBorders>
              <w:top w:val="nil"/>
              <w:left w:val="nil"/>
              <w:bottom w:val="nil"/>
              <w:right w:val="nil"/>
            </w:tcBorders>
            <w:noWrap/>
            <w:vAlign w:val="bottom"/>
          </w:tcPr>
          <w:p w:rsidR="009D2F13" w:rsidRPr="009D2F13" w:rsidRDefault="009D2F13" w:rsidP="009D2F13"/>
        </w:tc>
        <w:tc>
          <w:tcPr>
            <w:tcW w:w="2418" w:type="dxa"/>
            <w:gridSpan w:val="2"/>
            <w:tcBorders>
              <w:top w:val="nil"/>
              <w:left w:val="nil"/>
              <w:bottom w:val="nil"/>
              <w:right w:val="nil"/>
            </w:tcBorders>
            <w:noWrap/>
            <w:vAlign w:val="bottom"/>
          </w:tcPr>
          <w:p w:rsidR="009D2F13" w:rsidRPr="009D2F13" w:rsidRDefault="009D2F13" w:rsidP="009D2F13"/>
        </w:tc>
        <w:tc>
          <w:tcPr>
            <w:tcW w:w="1722" w:type="dxa"/>
            <w:tcBorders>
              <w:top w:val="nil"/>
              <w:left w:val="nil"/>
              <w:bottom w:val="nil"/>
              <w:right w:val="nil"/>
            </w:tcBorders>
            <w:noWrap/>
            <w:vAlign w:val="bottom"/>
          </w:tcPr>
          <w:p w:rsidR="009D2F13" w:rsidRPr="009D2F13" w:rsidRDefault="009D2F13" w:rsidP="009D2F13"/>
        </w:tc>
        <w:tc>
          <w:tcPr>
            <w:tcW w:w="1620" w:type="dxa"/>
            <w:gridSpan w:val="2"/>
            <w:tcBorders>
              <w:top w:val="nil"/>
              <w:left w:val="nil"/>
              <w:bottom w:val="nil"/>
              <w:right w:val="nil"/>
            </w:tcBorders>
            <w:noWrap/>
            <w:vAlign w:val="bottom"/>
          </w:tcPr>
          <w:p w:rsidR="009D2F13" w:rsidRPr="009D2F13" w:rsidRDefault="009D2F13" w:rsidP="009D2F13"/>
        </w:tc>
      </w:tr>
      <w:tr w:rsidR="009D2F13" w:rsidRPr="009D2F13" w:rsidTr="0096653D">
        <w:trPr>
          <w:trHeight w:val="255"/>
        </w:trPr>
        <w:tc>
          <w:tcPr>
            <w:tcW w:w="6188" w:type="dxa"/>
            <w:tcBorders>
              <w:top w:val="nil"/>
              <w:left w:val="nil"/>
              <w:bottom w:val="nil"/>
              <w:right w:val="nil"/>
            </w:tcBorders>
          </w:tcPr>
          <w:p w:rsidR="009D2F13" w:rsidRPr="009D2F13" w:rsidRDefault="009D2F13" w:rsidP="009D2F13">
            <w:pPr>
              <w:rPr>
                <w:b/>
                <w:bCs/>
              </w:rPr>
            </w:pPr>
            <w:r w:rsidRPr="009D2F13">
              <w:rPr>
                <w:b/>
                <w:bCs/>
              </w:rPr>
              <w:t>Poznámky:</w:t>
            </w:r>
          </w:p>
        </w:tc>
        <w:tc>
          <w:tcPr>
            <w:tcW w:w="1698" w:type="dxa"/>
            <w:tcBorders>
              <w:top w:val="nil"/>
              <w:left w:val="nil"/>
              <w:bottom w:val="nil"/>
              <w:right w:val="nil"/>
            </w:tcBorders>
            <w:noWrap/>
            <w:vAlign w:val="bottom"/>
          </w:tcPr>
          <w:p w:rsidR="009D2F13" w:rsidRPr="009D2F13" w:rsidRDefault="009D2F13" w:rsidP="009D2F13"/>
        </w:tc>
        <w:tc>
          <w:tcPr>
            <w:tcW w:w="1788" w:type="dxa"/>
            <w:tcBorders>
              <w:top w:val="nil"/>
              <w:left w:val="nil"/>
              <w:bottom w:val="nil"/>
              <w:right w:val="nil"/>
            </w:tcBorders>
            <w:noWrap/>
            <w:vAlign w:val="bottom"/>
          </w:tcPr>
          <w:p w:rsidR="009D2F13" w:rsidRPr="009D2F13" w:rsidRDefault="009D2F13" w:rsidP="009D2F13"/>
        </w:tc>
        <w:tc>
          <w:tcPr>
            <w:tcW w:w="2418" w:type="dxa"/>
            <w:gridSpan w:val="2"/>
            <w:tcBorders>
              <w:top w:val="nil"/>
              <w:left w:val="nil"/>
              <w:bottom w:val="nil"/>
              <w:right w:val="nil"/>
            </w:tcBorders>
            <w:noWrap/>
            <w:vAlign w:val="bottom"/>
          </w:tcPr>
          <w:p w:rsidR="009D2F13" w:rsidRPr="009D2F13" w:rsidRDefault="009D2F13" w:rsidP="009D2F13"/>
        </w:tc>
        <w:tc>
          <w:tcPr>
            <w:tcW w:w="1722" w:type="dxa"/>
            <w:tcBorders>
              <w:top w:val="nil"/>
              <w:left w:val="nil"/>
              <w:bottom w:val="nil"/>
              <w:right w:val="nil"/>
            </w:tcBorders>
            <w:noWrap/>
            <w:vAlign w:val="bottom"/>
          </w:tcPr>
          <w:p w:rsidR="009D2F13" w:rsidRPr="009D2F13" w:rsidRDefault="009D2F13" w:rsidP="009D2F13"/>
        </w:tc>
        <w:tc>
          <w:tcPr>
            <w:tcW w:w="1620" w:type="dxa"/>
            <w:gridSpan w:val="2"/>
            <w:tcBorders>
              <w:top w:val="nil"/>
              <w:left w:val="nil"/>
              <w:bottom w:val="nil"/>
              <w:right w:val="nil"/>
            </w:tcBorders>
            <w:noWrap/>
            <w:vAlign w:val="bottom"/>
          </w:tcPr>
          <w:p w:rsidR="009D2F13" w:rsidRPr="009D2F13" w:rsidRDefault="009D2F13" w:rsidP="009D2F13"/>
        </w:tc>
      </w:tr>
      <w:tr w:rsidR="009D2F13" w:rsidRPr="009D2F13" w:rsidTr="0096653D">
        <w:trPr>
          <w:trHeight w:val="255"/>
        </w:trPr>
        <w:tc>
          <w:tcPr>
            <w:tcW w:w="13814" w:type="dxa"/>
            <w:gridSpan w:val="6"/>
            <w:tcBorders>
              <w:top w:val="nil"/>
              <w:left w:val="nil"/>
              <w:bottom w:val="nil"/>
              <w:right w:val="nil"/>
            </w:tcBorders>
            <w:noWrap/>
          </w:tcPr>
          <w:p w:rsidR="009D2F13" w:rsidRPr="009D2F13" w:rsidRDefault="009D2F13" w:rsidP="009D2F13">
            <w:pPr>
              <w:tabs>
                <w:tab w:val="num" w:pos="1080"/>
              </w:tabs>
              <w:jc w:val="both"/>
              <w:rPr>
                <w:bCs/>
                <w:szCs w:val="20"/>
              </w:rPr>
            </w:pPr>
            <w:r w:rsidRPr="009D2F13">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D2F13" w:rsidRPr="009D2F13" w:rsidRDefault="009D2F13" w:rsidP="009D2F13">
            <w:r w:rsidRPr="009D2F13">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9D2F13" w:rsidRPr="009D2F13" w:rsidRDefault="009D2F13" w:rsidP="009D2F13"/>
        </w:tc>
      </w:tr>
      <w:tr w:rsidR="009D2F13" w:rsidRPr="009D2F13" w:rsidTr="0096653D">
        <w:trPr>
          <w:trHeight w:val="255"/>
        </w:trPr>
        <w:tc>
          <w:tcPr>
            <w:tcW w:w="10394" w:type="dxa"/>
            <w:gridSpan w:val="4"/>
            <w:tcBorders>
              <w:top w:val="nil"/>
              <w:left w:val="nil"/>
              <w:bottom w:val="nil"/>
              <w:right w:val="nil"/>
            </w:tcBorders>
            <w:noWrap/>
            <w:vAlign w:val="bottom"/>
          </w:tcPr>
          <w:p w:rsidR="009D2F13" w:rsidRPr="009D2F13" w:rsidRDefault="009D2F13" w:rsidP="009D2F13">
            <w:r w:rsidRPr="009D2F13">
              <w:t>Kategórie 610 a 620 sú z tejto prílohy prenášané do príslušných kategórií prílohy „výdavky“.</w:t>
            </w:r>
          </w:p>
        </w:tc>
        <w:tc>
          <w:tcPr>
            <w:tcW w:w="1698" w:type="dxa"/>
            <w:tcBorders>
              <w:top w:val="nil"/>
              <w:left w:val="nil"/>
              <w:bottom w:val="nil"/>
              <w:right w:val="nil"/>
            </w:tcBorders>
            <w:noWrap/>
            <w:vAlign w:val="bottom"/>
          </w:tcPr>
          <w:p w:rsidR="009D2F13" w:rsidRPr="009D2F13" w:rsidRDefault="009D2F13" w:rsidP="009D2F13"/>
        </w:tc>
        <w:tc>
          <w:tcPr>
            <w:tcW w:w="2352" w:type="dxa"/>
            <w:gridSpan w:val="2"/>
            <w:tcBorders>
              <w:top w:val="nil"/>
              <w:left w:val="nil"/>
              <w:bottom w:val="nil"/>
              <w:right w:val="nil"/>
            </w:tcBorders>
            <w:noWrap/>
            <w:vAlign w:val="bottom"/>
          </w:tcPr>
          <w:p w:rsidR="009D2F13" w:rsidRPr="009D2F13" w:rsidRDefault="009D2F13" w:rsidP="009D2F13"/>
        </w:tc>
        <w:tc>
          <w:tcPr>
            <w:tcW w:w="990" w:type="dxa"/>
            <w:tcBorders>
              <w:top w:val="nil"/>
              <w:left w:val="nil"/>
              <w:bottom w:val="nil"/>
              <w:right w:val="nil"/>
            </w:tcBorders>
            <w:noWrap/>
            <w:vAlign w:val="bottom"/>
          </w:tcPr>
          <w:p w:rsidR="009D2F13" w:rsidRPr="009D2F13" w:rsidRDefault="009D2F13" w:rsidP="009D2F13"/>
        </w:tc>
      </w:tr>
    </w:tbl>
    <w:p w:rsidR="009D2F13" w:rsidRPr="009D2F13" w:rsidRDefault="009D2F13" w:rsidP="009D2F13">
      <w:pPr>
        <w:rPr>
          <w:b/>
          <w:bCs/>
        </w:rPr>
      </w:pPr>
    </w:p>
    <w:p w:rsidR="009D2F13" w:rsidRPr="009D2F13" w:rsidRDefault="009D2F13" w:rsidP="009D2F13">
      <w:pPr>
        <w:spacing w:after="200" w:line="276" w:lineRule="auto"/>
      </w:pPr>
    </w:p>
    <w:p w:rsidR="009D2F13" w:rsidRPr="009D2F13" w:rsidRDefault="009D2F13" w:rsidP="009D2F13">
      <w:pPr>
        <w:spacing w:after="200" w:line="276" w:lineRule="auto"/>
      </w:pPr>
    </w:p>
    <w:p w:rsidR="009D2F13" w:rsidRPr="009D2F13" w:rsidRDefault="009D2F13" w:rsidP="009D2F13">
      <w:pPr>
        <w:tabs>
          <w:tab w:val="left" w:pos="2175"/>
        </w:tabs>
        <w:spacing w:after="200" w:line="276" w:lineRule="auto"/>
        <w:sectPr w:rsidR="009D2F13" w:rsidRPr="009D2F13">
          <w:pgSz w:w="16838" w:h="11906" w:orient="landscape"/>
          <w:pgMar w:top="1418" w:right="1418" w:bottom="1418" w:left="1418" w:header="709" w:footer="709" w:gutter="0"/>
          <w:cols w:space="708"/>
          <w:docGrid w:linePitch="360"/>
        </w:sectPr>
      </w:pPr>
    </w:p>
    <w:p w:rsidR="009D2F13" w:rsidRPr="009D2F13" w:rsidRDefault="009D2F13" w:rsidP="009D2F13">
      <w:pPr>
        <w:rPr>
          <w:rFonts w:ascii="Calibri" w:eastAsia="Calibri" w:hAnsi="Calibri"/>
          <w:sz w:val="22"/>
          <w:szCs w:val="22"/>
          <w:lang w:eastAsia="en-US"/>
        </w:rPr>
      </w:pPr>
    </w:p>
    <w:tbl>
      <w:tblPr>
        <w:tblStyle w:val="Mriekatabuky1"/>
        <w:tblW w:w="0" w:type="auto"/>
        <w:tblLook w:val="04A0" w:firstRow="1" w:lastRow="0" w:firstColumn="1" w:lastColumn="0" w:noHBand="0" w:noVBand="1"/>
      </w:tblPr>
      <w:tblGrid>
        <w:gridCol w:w="9212"/>
      </w:tblGrid>
      <w:tr w:rsidR="009D2F13" w:rsidRPr="009D2F13" w:rsidTr="009D2F13">
        <w:trPr>
          <w:trHeight w:val="567"/>
        </w:trPr>
        <w:tc>
          <w:tcPr>
            <w:tcW w:w="9212" w:type="dxa"/>
            <w:shd w:val="clear" w:color="auto" w:fill="D9D9D9"/>
          </w:tcPr>
          <w:p w:rsidR="009D2F13" w:rsidRPr="009D2F13" w:rsidRDefault="009D2F13" w:rsidP="009D2F13">
            <w:pPr>
              <w:jc w:val="center"/>
              <w:rPr>
                <w:rFonts w:ascii="Times New Roman" w:hAnsi="Times New Roman"/>
                <w:b/>
                <w:szCs w:val="20"/>
              </w:rPr>
            </w:pPr>
            <w:r w:rsidRPr="009D2F13">
              <w:rPr>
                <w:rFonts w:ascii="Times New Roman" w:hAnsi="Times New Roman"/>
                <w:b/>
                <w:sz w:val="28"/>
                <w:szCs w:val="20"/>
              </w:rPr>
              <w:t xml:space="preserve">Analýza vplyvov na podnikateľské prostredie </w:t>
            </w:r>
          </w:p>
          <w:p w:rsidR="009D2F13" w:rsidRPr="009D2F13" w:rsidRDefault="009D2F13" w:rsidP="009D2F13">
            <w:pPr>
              <w:jc w:val="center"/>
              <w:rPr>
                <w:rFonts w:ascii="Times New Roman" w:hAnsi="Times New Roman"/>
                <w:b/>
                <w:sz w:val="20"/>
                <w:szCs w:val="20"/>
              </w:rPr>
            </w:pPr>
            <w:r w:rsidRPr="009D2F13">
              <w:rPr>
                <w:rFonts w:ascii="Times New Roman" w:hAnsi="Times New Roman"/>
                <w:b/>
                <w:szCs w:val="20"/>
              </w:rPr>
              <w:t>(vrátane testu MSP)</w:t>
            </w:r>
          </w:p>
        </w:tc>
      </w:tr>
      <w:tr w:rsidR="009D2F13" w:rsidRPr="009D2F13" w:rsidTr="009D2F13">
        <w:trPr>
          <w:trHeight w:val="567"/>
        </w:trPr>
        <w:tc>
          <w:tcPr>
            <w:tcW w:w="9212" w:type="dxa"/>
            <w:shd w:val="clear" w:color="auto" w:fill="D9D9D9"/>
          </w:tcPr>
          <w:p w:rsidR="009D2F13" w:rsidRPr="009D2F13" w:rsidRDefault="009D2F13" w:rsidP="009D2F13">
            <w:pPr>
              <w:rPr>
                <w:rFonts w:ascii="Times New Roman" w:hAnsi="Times New Roman"/>
                <w:b/>
                <w:szCs w:val="20"/>
              </w:rPr>
            </w:pPr>
            <w:r w:rsidRPr="009D2F13">
              <w:rPr>
                <w:rFonts w:ascii="Times New Roman" w:hAnsi="Times New Roman"/>
                <w:b/>
                <w:szCs w:val="20"/>
              </w:rPr>
              <w:t>Materiál bude mať vplyv s ohľadom na veľkostnú kategóriu podnikov:</w:t>
            </w:r>
          </w:p>
        </w:tc>
      </w:tr>
      <w:tr w:rsidR="009D2F13" w:rsidRPr="009D2F13" w:rsidTr="0096653D">
        <w:trPr>
          <w:trHeight w:val="567"/>
        </w:trPr>
        <w:tc>
          <w:tcPr>
            <w:tcW w:w="9212" w:type="dxa"/>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D2F13" w:rsidRPr="009D2F13" w:rsidTr="0096653D">
              <w:tc>
                <w:tcPr>
                  <w:tcW w:w="436" w:type="dxa"/>
                  <w:tcBorders>
                    <w:top w:val="nil"/>
                    <w:left w:val="nil"/>
                    <w:bottom w:val="nil"/>
                    <w:right w:val="nil"/>
                  </w:tcBorders>
                </w:tcPr>
                <w:p w:rsidR="009D2F13" w:rsidRPr="009D2F13" w:rsidRDefault="009D2F13" w:rsidP="009D2F13">
                  <w:pPr>
                    <w:jc w:val="center"/>
                    <w:rPr>
                      <w:rFonts w:ascii="Times New Roman" w:hAnsi="Times New Roman"/>
                      <w:sz w:val="20"/>
                      <w:szCs w:val="20"/>
                    </w:rPr>
                  </w:pPr>
                  <w:r w:rsidRPr="009D2F13">
                    <w:rPr>
                      <w:rFonts w:ascii="Segoe UI Symbol" w:eastAsia="MS Mincho" w:hAnsi="Segoe UI Symbol" w:cs="Segoe UI Symbol"/>
                      <w:sz w:val="20"/>
                      <w:szCs w:val="20"/>
                    </w:rPr>
                    <w:t>☒</w:t>
                  </w:r>
                </w:p>
              </w:tc>
              <w:tc>
                <w:tcPr>
                  <w:tcW w:w="8545" w:type="dxa"/>
                  <w:tcBorders>
                    <w:top w:val="nil"/>
                    <w:left w:val="nil"/>
                    <w:bottom w:val="nil"/>
                    <w:right w:val="nil"/>
                  </w:tcBorders>
                </w:tcPr>
                <w:p w:rsidR="009D2F13" w:rsidRPr="009D2F13" w:rsidRDefault="009D2F13" w:rsidP="009D2F13">
                  <w:pPr>
                    <w:rPr>
                      <w:rFonts w:ascii="Times New Roman" w:hAnsi="Times New Roman"/>
                      <w:b/>
                      <w:sz w:val="20"/>
                      <w:szCs w:val="20"/>
                    </w:rPr>
                  </w:pPr>
                  <w:r w:rsidRPr="009D2F13">
                    <w:rPr>
                      <w:rFonts w:ascii="Times New Roman" w:hAnsi="Times New Roman"/>
                      <w:b/>
                      <w:sz w:val="20"/>
                      <w:szCs w:val="20"/>
                    </w:rPr>
                    <w:t xml:space="preserve">iba na MSP (0 - 249 zamestnancov) </w:t>
                  </w:r>
                </w:p>
              </w:tc>
            </w:tr>
            <w:tr w:rsidR="009D2F13" w:rsidRPr="009D2F13" w:rsidTr="0096653D">
              <w:tc>
                <w:tcPr>
                  <w:tcW w:w="436" w:type="dxa"/>
                  <w:tcBorders>
                    <w:top w:val="nil"/>
                    <w:left w:val="nil"/>
                    <w:bottom w:val="nil"/>
                    <w:right w:val="nil"/>
                  </w:tcBorders>
                </w:tcPr>
                <w:p w:rsidR="009D2F13" w:rsidRPr="009D2F13" w:rsidRDefault="009D2F13" w:rsidP="009D2F13">
                  <w:pPr>
                    <w:jc w:val="center"/>
                    <w:rPr>
                      <w:rFonts w:ascii="Times New Roman" w:hAnsi="Times New Roman"/>
                      <w:sz w:val="20"/>
                      <w:szCs w:val="20"/>
                    </w:rPr>
                  </w:pPr>
                  <w:r w:rsidRPr="009D2F13">
                    <w:rPr>
                      <w:rFonts w:ascii="Segoe UI Symbol" w:eastAsia="MS Mincho" w:hAnsi="Segoe UI Symbol" w:cs="Segoe UI Symbol"/>
                      <w:sz w:val="20"/>
                      <w:szCs w:val="20"/>
                    </w:rPr>
                    <w:t>☐</w:t>
                  </w:r>
                </w:p>
              </w:tc>
              <w:tc>
                <w:tcPr>
                  <w:tcW w:w="8545" w:type="dxa"/>
                  <w:tcBorders>
                    <w:top w:val="nil"/>
                    <w:left w:val="nil"/>
                    <w:bottom w:val="nil"/>
                    <w:right w:val="nil"/>
                  </w:tcBorders>
                </w:tcPr>
                <w:p w:rsidR="009D2F13" w:rsidRPr="009D2F13" w:rsidRDefault="009D2F13" w:rsidP="009D2F13">
                  <w:pPr>
                    <w:rPr>
                      <w:rFonts w:ascii="Times New Roman" w:hAnsi="Times New Roman"/>
                      <w:b/>
                      <w:sz w:val="20"/>
                      <w:szCs w:val="20"/>
                    </w:rPr>
                  </w:pPr>
                  <w:r w:rsidRPr="009D2F13">
                    <w:rPr>
                      <w:rFonts w:ascii="Times New Roman" w:hAnsi="Times New Roman"/>
                      <w:b/>
                      <w:sz w:val="20"/>
                      <w:szCs w:val="20"/>
                    </w:rPr>
                    <w:t>iba na veľké podniky (250 a viac zamestnancov)</w:t>
                  </w:r>
                </w:p>
              </w:tc>
            </w:tr>
            <w:tr w:rsidR="009D2F13" w:rsidRPr="009D2F13" w:rsidTr="0096653D">
              <w:tc>
                <w:tcPr>
                  <w:tcW w:w="436" w:type="dxa"/>
                  <w:tcBorders>
                    <w:top w:val="nil"/>
                    <w:left w:val="nil"/>
                    <w:bottom w:val="nil"/>
                    <w:right w:val="nil"/>
                  </w:tcBorders>
                </w:tcPr>
                <w:p w:rsidR="009D2F13" w:rsidRPr="009D2F13" w:rsidRDefault="009D2F13" w:rsidP="009D2F13">
                  <w:pPr>
                    <w:jc w:val="center"/>
                    <w:rPr>
                      <w:rFonts w:ascii="Times New Roman" w:hAnsi="Times New Roman"/>
                      <w:sz w:val="20"/>
                      <w:szCs w:val="20"/>
                    </w:rPr>
                  </w:pPr>
                  <w:r w:rsidRPr="009D2F13">
                    <w:rPr>
                      <w:rFonts w:ascii="Segoe UI Symbol" w:eastAsia="MS Mincho" w:hAnsi="Segoe UI Symbol" w:cs="Segoe UI Symbol"/>
                      <w:sz w:val="20"/>
                      <w:szCs w:val="20"/>
                    </w:rPr>
                    <w:t>☐</w:t>
                  </w:r>
                </w:p>
              </w:tc>
              <w:tc>
                <w:tcPr>
                  <w:tcW w:w="8545" w:type="dxa"/>
                  <w:tcBorders>
                    <w:top w:val="nil"/>
                    <w:left w:val="nil"/>
                    <w:bottom w:val="nil"/>
                    <w:right w:val="nil"/>
                  </w:tcBorders>
                </w:tcPr>
                <w:p w:rsidR="009D2F13" w:rsidRPr="009D2F13" w:rsidRDefault="009D2F13" w:rsidP="009D2F13">
                  <w:pPr>
                    <w:rPr>
                      <w:rFonts w:ascii="Times New Roman" w:hAnsi="Times New Roman"/>
                      <w:sz w:val="20"/>
                      <w:szCs w:val="20"/>
                    </w:rPr>
                  </w:pPr>
                  <w:r w:rsidRPr="009D2F13">
                    <w:rPr>
                      <w:rFonts w:ascii="Times New Roman" w:hAnsi="Times New Roman"/>
                      <w:b/>
                      <w:sz w:val="20"/>
                      <w:szCs w:val="20"/>
                    </w:rPr>
                    <w:t>na všetky kategórie podnikov</w:t>
                  </w:r>
                </w:p>
              </w:tc>
            </w:tr>
          </w:tbl>
          <w:p w:rsidR="009D2F13" w:rsidRPr="009D2F13" w:rsidRDefault="009D2F13" w:rsidP="009D2F13">
            <w:pPr>
              <w:rPr>
                <w:rFonts w:ascii="Times New Roman" w:hAnsi="Times New Roman"/>
                <w:b/>
                <w:sz w:val="20"/>
                <w:szCs w:val="20"/>
              </w:rPr>
            </w:pPr>
          </w:p>
        </w:tc>
      </w:tr>
      <w:tr w:rsidR="009D2F13" w:rsidRPr="009D2F13" w:rsidTr="009D2F13">
        <w:tc>
          <w:tcPr>
            <w:tcW w:w="9212" w:type="dxa"/>
            <w:shd w:val="clear" w:color="auto" w:fill="D9D9D9"/>
          </w:tcPr>
          <w:p w:rsidR="009D2F13" w:rsidRPr="009D2F13" w:rsidRDefault="009D2F13" w:rsidP="009D2F13">
            <w:pPr>
              <w:rPr>
                <w:rFonts w:ascii="Times New Roman" w:hAnsi="Times New Roman"/>
                <w:b/>
                <w:szCs w:val="20"/>
              </w:rPr>
            </w:pPr>
            <w:r w:rsidRPr="009D2F13">
              <w:rPr>
                <w:rFonts w:ascii="Times New Roman" w:hAnsi="Times New Roman"/>
                <w:b/>
                <w:szCs w:val="20"/>
              </w:rPr>
              <w:t>3.1 Dotknuté podnikateľské subjekty</w:t>
            </w:r>
          </w:p>
          <w:p w:rsidR="009D2F13" w:rsidRPr="009D2F13" w:rsidRDefault="009D2F13" w:rsidP="009D2F13">
            <w:pPr>
              <w:ind w:left="284"/>
              <w:rPr>
                <w:rFonts w:ascii="Times New Roman" w:hAnsi="Times New Roman"/>
                <w:b/>
                <w:sz w:val="20"/>
                <w:szCs w:val="20"/>
              </w:rPr>
            </w:pPr>
            <w:r w:rsidRPr="009D2F13">
              <w:rPr>
                <w:rFonts w:ascii="Times New Roman" w:hAnsi="Times New Roman"/>
                <w:szCs w:val="20"/>
              </w:rPr>
              <w:t xml:space="preserve"> - </w:t>
            </w:r>
            <w:r w:rsidRPr="009D2F13">
              <w:rPr>
                <w:rFonts w:ascii="Times New Roman" w:hAnsi="Times New Roman"/>
                <w:b/>
                <w:szCs w:val="20"/>
              </w:rPr>
              <w:t>z toho MSP</w:t>
            </w:r>
          </w:p>
        </w:tc>
      </w:tr>
      <w:tr w:rsidR="009D2F13" w:rsidRPr="009D2F13" w:rsidTr="0096653D">
        <w:tc>
          <w:tcPr>
            <w:tcW w:w="9212" w:type="dxa"/>
          </w:tcPr>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Uveďte, aké podnikateľské subjekty budú predkladaným návrhom ovplyvnené.</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Aký je ich počet?</w:t>
            </w:r>
          </w:p>
        </w:tc>
      </w:tr>
      <w:tr w:rsidR="009D2F13" w:rsidRPr="009D2F13" w:rsidTr="0096653D">
        <w:trPr>
          <w:trHeight w:val="665"/>
        </w:trPr>
        <w:tc>
          <w:tcPr>
            <w:tcW w:w="9212" w:type="dxa"/>
          </w:tcPr>
          <w:p w:rsidR="009D2F13" w:rsidRPr="009D2F13" w:rsidRDefault="009D2F13" w:rsidP="009D2F13">
            <w:pPr>
              <w:spacing w:after="200" w:line="276" w:lineRule="auto"/>
              <w:contextualSpacing/>
              <w:rPr>
                <w:rFonts w:ascii="Times New Roman" w:hAnsi="Times New Roman"/>
                <w:sz w:val="20"/>
                <w:szCs w:val="20"/>
              </w:rPr>
            </w:pPr>
            <w:r w:rsidRPr="009D2F13">
              <w:rPr>
                <w:rFonts w:ascii="Times New Roman" w:hAnsi="Times New Roman"/>
                <w:sz w:val="20"/>
                <w:szCs w:val="20"/>
              </w:rPr>
              <w:t xml:space="preserve">1. držitelia zbrojných licencií podľa § 29 zákona č. 190/2003 Z. z. o strelných zbraniach a strelive a o zmene a doplnení niektorých zákonov (ďalej len „zákon o zbraniach“), (fyzické osoby – podnikatelia, právnické osoby) </w:t>
            </w:r>
          </w:p>
          <w:p w:rsidR="009D2F13" w:rsidRPr="009D2F13" w:rsidRDefault="009D2F13" w:rsidP="009D2F13">
            <w:pPr>
              <w:spacing w:after="200" w:line="276" w:lineRule="auto"/>
              <w:contextualSpacing/>
              <w:rPr>
                <w:rFonts w:ascii="Times New Roman" w:hAnsi="Times New Roman"/>
                <w:sz w:val="20"/>
                <w:szCs w:val="20"/>
              </w:rPr>
            </w:pPr>
            <w:r w:rsidRPr="009D2F13">
              <w:rPr>
                <w:rFonts w:ascii="Times New Roman" w:hAnsi="Times New Roman"/>
                <w:sz w:val="20"/>
                <w:szCs w:val="20"/>
              </w:rPr>
              <w:t>2. podnikatelia prepravujúci zbrane podľa § 47 zákona o zbraniach,</w:t>
            </w:r>
          </w:p>
          <w:p w:rsidR="009D2F13" w:rsidRPr="009D2F13" w:rsidRDefault="009D2F13" w:rsidP="009D2F13">
            <w:pPr>
              <w:spacing w:after="200" w:line="276" w:lineRule="auto"/>
              <w:contextualSpacing/>
              <w:rPr>
                <w:rFonts w:ascii="Times New Roman" w:hAnsi="Times New Roman"/>
                <w:sz w:val="20"/>
                <w:szCs w:val="20"/>
              </w:rPr>
            </w:pPr>
            <w:r w:rsidRPr="009D2F13">
              <w:rPr>
                <w:rFonts w:ascii="Times New Roman" w:hAnsi="Times New Roman"/>
                <w:sz w:val="20"/>
                <w:szCs w:val="20"/>
              </w:rPr>
              <w:t>3. prevádzkovatelia strelníc podľa § 49 zákona o zbraniach.</w:t>
            </w:r>
          </w:p>
          <w:p w:rsidR="009D2F13" w:rsidRPr="009D2F13" w:rsidRDefault="009D2F13" w:rsidP="009D2F13">
            <w:pPr>
              <w:spacing w:after="200" w:line="276" w:lineRule="auto"/>
              <w:contextualSpacing/>
              <w:rPr>
                <w:rFonts w:ascii="Times New Roman" w:hAnsi="Times New Roman"/>
              </w:rPr>
            </w:pPr>
          </w:p>
          <w:p w:rsidR="009D2F13" w:rsidRPr="009D2F13" w:rsidRDefault="009D2F13" w:rsidP="009D2F13">
            <w:pPr>
              <w:spacing w:after="200" w:line="276" w:lineRule="auto"/>
              <w:contextualSpacing/>
              <w:rPr>
                <w:rFonts w:ascii="Times New Roman" w:hAnsi="Times New Roman"/>
                <w:sz w:val="20"/>
                <w:szCs w:val="20"/>
              </w:rPr>
            </w:pPr>
            <w:r w:rsidRPr="009D2F13">
              <w:rPr>
                <w:rFonts w:ascii="Times New Roman" w:hAnsi="Times New Roman"/>
                <w:sz w:val="20"/>
                <w:szCs w:val="20"/>
              </w:rPr>
              <w:t xml:space="preserve">Celkový počet dotknutých subjektov je približne 1000. </w:t>
            </w:r>
          </w:p>
        </w:tc>
      </w:tr>
      <w:tr w:rsidR="009D2F13" w:rsidRPr="009D2F13" w:rsidTr="009D2F13">
        <w:trPr>
          <w:trHeight w:val="339"/>
        </w:trPr>
        <w:tc>
          <w:tcPr>
            <w:tcW w:w="9212" w:type="dxa"/>
            <w:shd w:val="clear" w:color="auto" w:fill="D9D9D9"/>
          </w:tcPr>
          <w:p w:rsidR="009D2F13" w:rsidRPr="009D2F13" w:rsidRDefault="009D2F13" w:rsidP="009D2F13">
            <w:pPr>
              <w:rPr>
                <w:rFonts w:ascii="Times New Roman" w:hAnsi="Times New Roman"/>
                <w:b/>
                <w:szCs w:val="20"/>
              </w:rPr>
            </w:pPr>
            <w:r w:rsidRPr="009D2F13">
              <w:rPr>
                <w:rFonts w:ascii="Times New Roman" w:hAnsi="Times New Roman"/>
                <w:b/>
                <w:szCs w:val="20"/>
              </w:rPr>
              <w:t>3.2 Vyhodnotenie konzultácií</w:t>
            </w:r>
          </w:p>
          <w:p w:rsidR="009D2F13" w:rsidRPr="009D2F13" w:rsidRDefault="009D2F13" w:rsidP="009D2F13">
            <w:pPr>
              <w:rPr>
                <w:rFonts w:ascii="Times New Roman" w:hAnsi="Times New Roman"/>
                <w:b/>
                <w:sz w:val="20"/>
                <w:szCs w:val="20"/>
              </w:rPr>
            </w:pPr>
            <w:r w:rsidRPr="009D2F13">
              <w:rPr>
                <w:rFonts w:ascii="Times New Roman" w:hAnsi="Times New Roman"/>
                <w:szCs w:val="20"/>
              </w:rPr>
              <w:t xml:space="preserve">       - </w:t>
            </w:r>
            <w:r w:rsidRPr="009D2F13">
              <w:rPr>
                <w:rFonts w:ascii="Times New Roman" w:hAnsi="Times New Roman"/>
                <w:b/>
                <w:szCs w:val="20"/>
              </w:rPr>
              <w:t>z toho MSP</w:t>
            </w:r>
          </w:p>
        </w:tc>
      </w:tr>
      <w:tr w:rsidR="009D2F13" w:rsidRPr="009D2F13" w:rsidTr="0096653D">
        <w:trPr>
          <w:trHeight w:val="557"/>
        </w:trPr>
        <w:tc>
          <w:tcPr>
            <w:tcW w:w="9212" w:type="dxa"/>
          </w:tcPr>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Uveďte, akou formou (verejné alebo cielené konzultácie a prečo) a s kým bol návrh konzultovaný.</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Ako dlho trvali konzultácie?</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Uveďte hlavné body konzultácií a výsledky konzultácií.</w:t>
            </w:r>
          </w:p>
        </w:tc>
      </w:tr>
      <w:tr w:rsidR="009D2F13" w:rsidRPr="009D2F13" w:rsidTr="0096653D">
        <w:trPr>
          <w:trHeight w:val="3960"/>
        </w:trPr>
        <w:tc>
          <w:tcPr>
            <w:tcW w:w="9212" w:type="dxa"/>
          </w:tcPr>
          <w:p w:rsidR="009D2F13" w:rsidRPr="009D2F13" w:rsidRDefault="009D2F13" w:rsidP="009D2F13">
            <w:pPr>
              <w:jc w:val="both"/>
              <w:rPr>
                <w:rFonts w:ascii="Times New Roman" w:hAnsi="Times New Roman"/>
              </w:rPr>
            </w:pPr>
            <w:r w:rsidRPr="009D2F13">
              <w:rPr>
                <w:rFonts w:ascii="Times New Roman" w:hAnsi="Times New Roman"/>
              </w:rPr>
              <w:t xml:space="preserve">Problematika týkajúca sa predkladanej novely zákona o zbraniach bola konzultovaná so zástupcami občianskeho združenia </w:t>
            </w:r>
            <w:proofErr w:type="spellStart"/>
            <w:r w:rsidRPr="009D2F13">
              <w:rPr>
                <w:rFonts w:ascii="Times New Roman" w:hAnsi="Times New Roman"/>
              </w:rPr>
              <w:t>Legis</w:t>
            </w:r>
            <w:proofErr w:type="spellEnd"/>
            <w:r w:rsidRPr="009D2F13">
              <w:rPr>
                <w:rFonts w:ascii="Times New Roman" w:hAnsi="Times New Roman"/>
              </w:rPr>
              <w:t xml:space="preserve"> </w:t>
            </w:r>
            <w:proofErr w:type="spellStart"/>
            <w:r w:rsidRPr="009D2F13">
              <w:rPr>
                <w:rFonts w:ascii="Times New Roman" w:hAnsi="Times New Roman"/>
              </w:rPr>
              <w:t>Telum</w:t>
            </w:r>
            <w:proofErr w:type="spellEnd"/>
            <w:r w:rsidRPr="009D2F13">
              <w:rPr>
                <w:rFonts w:ascii="Times New Roman" w:hAnsi="Times New Roman"/>
              </w:rPr>
              <w:t>, Klubu vojenskej histórie, Slovenskej asociácie dynamickej streľby, Slovenského streleckého zväzu, Asociácie presnej streľby Slovensko, zástupcami držiteľov zbrojných licencií a zástupcami Slovenskej poľovníckej komory.</w:t>
            </w:r>
          </w:p>
          <w:p w:rsidR="009D2F13" w:rsidRPr="009D2F13" w:rsidRDefault="009D2F13" w:rsidP="009D2F13">
            <w:pPr>
              <w:jc w:val="both"/>
              <w:rPr>
                <w:rFonts w:ascii="Times New Roman" w:hAnsi="Times New Roman"/>
              </w:rPr>
            </w:pPr>
            <w:r w:rsidRPr="009D2F13">
              <w:rPr>
                <w:rFonts w:ascii="Times New Roman" w:hAnsi="Times New Roman"/>
              </w:rPr>
              <w:t>Konzultácie prebehli formou osobného stretnutia na Prezídiu Policajného zboru a doba trvania stretnutí bola v rozsahu cca 3 hodiny. Pred osobným stretnutím prebiehala s uvedenými subjektmi elektronická komunikácia, v rámci ktorej boli tiež zaslané materiály k predmetnému rokovaniu.</w:t>
            </w:r>
          </w:p>
          <w:p w:rsidR="009D2F13" w:rsidRPr="009D2F13" w:rsidRDefault="009D2F13" w:rsidP="009D2F13">
            <w:pPr>
              <w:jc w:val="both"/>
              <w:rPr>
                <w:rFonts w:ascii="Times New Roman" w:hAnsi="Times New Roman"/>
              </w:rPr>
            </w:pPr>
            <w:r w:rsidRPr="009D2F13">
              <w:rPr>
                <w:rFonts w:ascii="Times New Roman" w:hAnsi="Times New Roman"/>
              </w:rPr>
              <w:t>Medzi hlavné body konzultácií s podnikateľskými subjektmi patrili</w:t>
            </w:r>
          </w:p>
          <w:p w:rsidR="009D2F13" w:rsidRPr="009D2F13" w:rsidRDefault="009D2F13" w:rsidP="009D2F13">
            <w:pPr>
              <w:numPr>
                <w:ilvl w:val="0"/>
                <w:numId w:val="1"/>
              </w:numPr>
              <w:tabs>
                <w:tab w:val="left" w:pos="284"/>
              </w:tabs>
              <w:contextualSpacing/>
              <w:jc w:val="both"/>
              <w:rPr>
                <w:rFonts w:ascii="Times New Roman" w:hAnsi="Times New Roman"/>
              </w:rPr>
            </w:pPr>
            <w:r w:rsidRPr="009D2F13">
              <w:rPr>
                <w:rFonts w:ascii="Times New Roman" w:hAnsi="Times New Roman"/>
              </w:rPr>
              <w:t>transpozícia smernice Európskeho parlamentu a Rady (EU) 2017/853 zo 17. mája 2017, ktorou sa mení smernica Rady 91/477/EHS o kontrole získavania a vlastnenia zbraní,</w:t>
            </w:r>
          </w:p>
          <w:p w:rsidR="009D2F13" w:rsidRPr="009D2F13" w:rsidRDefault="009D2F13" w:rsidP="009D2F13">
            <w:pPr>
              <w:numPr>
                <w:ilvl w:val="0"/>
                <w:numId w:val="1"/>
              </w:numPr>
              <w:tabs>
                <w:tab w:val="left" w:pos="262"/>
              </w:tabs>
              <w:contextualSpacing/>
              <w:jc w:val="both"/>
              <w:rPr>
                <w:rFonts w:ascii="Times New Roman" w:hAnsi="Times New Roman"/>
              </w:rPr>
            </w:pPr>
            <w:r w:rsidRPr="009D2F13">
              <w:rPr>
                <w:rFonts w:ascii="Times New Roman" w:hAnsi="Times New Roman"/>
              </w:rPr>
              <w:t>návrhy na zmeny zákona o zbraniach,</w:t>
            </w:r>
          </w:p>
          <w:p w:rsidR="009D2F13" w:rsidRPr="009D2F13" w:rsidRDefault="009D2F13" w:rsidP="009D2F13">
            <w:pPr>
              <w:numPr>
                <w:ilvl w:val="0"/>
                <w:numId w:val="1"/>
              </w:numPr>
              <w:tabs>
                <w:tab w:val="left" w:pos="284"/>
              </w:tabs>
              <w:contextualSpacing/>
              <w:jc w:val="both"/>
              <w:rPr>
                <w:rFonts w:ascii="Times New Roman" w:hAnsi="Times New Roman"/>
              </w:rPr>
            </w:pPr>
            <w:r w:rsidRPr="009D2F13">
              <w:rPr>
                <w:rFonts w:ascii="Times New Roman" w:hAnsi="Times New Roman"/>
              </w:rPr>
              <w:t>výklad niektorých súčasných a navrhovaných ustanovení zákona o zbraniach,</w:t>
            </w:r>
          </w:p>
          <w:p w:rsidR="009D2F13" w:rsidRPr="009D2F13" w:rsidRDefault="009D2F13" w:rsidP="009D2F13">
            <w:pPr>
              <w:numPr>
                <w:ilvl w:val="0"/>
                <w:numId w:val="1"/>
              </w:numPr>
              <w:tabs>
                <w:tab w:val="left" w:pos="262"/>
              </w:tabs>
              <w:contextualSpacing/>
              <w:jc w:val="both"/>
              <w:rPr>
                <w:rFonts w:ascii="Times New Roman" w:hAnsi="Times New Roman"/>
              </w:rPr>
            </w:pPr>
            <w:r w:rsidRPr="009D2F13">
              <w:rPr>
                <w:rFonts w:ascii="Times New Roman" w:hAnsi="Times New Roman"/>
              </w:rPr>
              <w:t>aktuálne aplikačné problémy zákona o zbraniach.</w:t>
            </w:r>
          </w:p>
          <w:p w:rsidR="009D2F13" w:rsidRPr="009D2F13" w:rsidRDefault="009D2F13" w:rsidP="009D2F13">
            <w:pPr>
              <w:contextualSpacing/>
              <w:jc w:val="both"/>
              <w:rPr>
                <w:rFonts w:ascii="Times New Roman" w:hAnsi="Times New Roman"/>
              </w:rPr>
            </w:pPr>
            <w:r w:rsidRPr="009D2F13">
              <w:rPr>
                <w:rFonts w:ascii="Times New Roman" w:hAnsi="Times New Roman"/>
              </w:rPr>
              <w:t>Vo vzťahu k transpozícii smernice boli prerokované najmä tieto témy:</w:t>
            </w:r>
          </w:p>
          <w:p w:rsidR="009D2F13" w:rsidRPr="009D2F13" w:rsidRDefault="009D2F13" w:rsidP="009D2F13">
            <w:pPr>
              <w:numPr>
                <w:ilvl w:val="0"/>
                <w:numId w:val="1"/>
              </w:numPr>
              <w:tabs>
                <w:tab w:val="left" w:pos="284"/>
              </w:tabs>
              <w:contextualSpacing/>
              <w:jc w:val="both"/>
              <w:rPr>
                <w:rFonts w:ascii="Times New Roman" w:hAnsi="Times New Roman"/>
              </w:rPr>
            </w:pPr>
            <w:r w:rsidRPr="009D2F13">
              <w:rPr>
                <w:rFonts w:ascii="Times New Roman" w:hAnsi="Times New Roman"/>
              </w:rPr>
              <w:t>udeľovanie výnimiek na nadobúdanie a držbu expanzných zbraní, ktoré budú preradené do kategórie A </w:t>
            </w:r>
            <w:proofErr w:type="spellStart"/>
            <w:r w:rsidRPr="009D2F13">
              <w:rPr>
                <w:rFonts w:ascii="Times New Roman" w:hAnsi="Times New Roman"/>
              </w:rPr>
              <w:t>a</w:t>
            </w:r>
            <w:proofErr w:type="spellEnd"/>
            <w:r w:rsidRPr="009D2F13">
              <w:rPr>
                <w:rFonts w:ascii="Times New Roman" w:hAnsi="Times New Roman"/>
              </w:rPr>
              <w:t xml:space="preserve"> spôsob zabezpečenia takýchto zbraní podľa § 55 zákona o zbraniach (zbrane kategórie A, ktoré boli upravené na expanzné zbrane budú na základe prijatej smernice opätovne preradené do kategórie A </w:t>
            </w:r>
            <w:proofErr w:type="spellStart"/>
            <w:r w:rsidRPr="009D2F13">
              <w:rPr>
                <w:rFonts w:ascii="Times New Roman" w:hAnsi="Times New Roman"/>
              </w:rPr>
              <w:t>a</w:t>
            </w:r>
            <w:proofErr w:type="spellEnd"/>
            <w:r w:rsidRPr="009D2F13">
              <w:rPr>
                <w:rFonts w:ascii="Times New Roman" w:hAnsi="Times New Roman"/>
              </w:rPr>
              <w:t xml:space="preserve"> jej držitelia budú povinní požiadať o vydanie zbrojného preukazu a o vydanie výnimky na ich držanie), </w:t>
            </w:r>
          </w:p>
          <w:p w:rsidR="009D2F13" w:rsidRPr="009D2F13" w:rsidRDefault="009D2F13" w:rsidP="009D2F13">
            <w:pPr>
              <w:numPr>
                <w:ilvl w:val="0"/>
                <w:numId w:val="1"/>
              </w:numPr>
              <w:tabs>
                <w:tab w:val="left" w:pos="285"/>
              </w:tabs>
              <w:contextualSpacing/>
              <w:jc w:val="both"/>
              <w:rPr>
                <w:rFonts w:ascii="Times New Roman" w:hAnsi="Times New Roman"/>
              </w:rPr>
            </w:pPr>
            <w:r w:rsidRPr="009D2F13">
              <w:rPr>
                <w:rFonts w:ascii="Times New Roman" w:hAnsi="Times New Roman"/>
              </w:rPr>
              <w:t>podmienky nadobúdania zásobníkov s kapacitou nad 10 nábojov v prípade dlhých zbraní alebo nad 20 nábojov v prípade krátkych zbraní, ktoré je podľa smernice možné nadobudnúť až po udelení výnimky (podľa prijatej smernice budú zbrane vybavené takýmito zásobníkmi zaradené do kategórie A),</w:t>
            </w:r>
          </w:p>
          <w:p w:rsidR="009D2F13" w:rsidRPr="009D2F13" w:rsidRDefault="009D2F13" w:rsidP="009D2F13">
            <w:pPr>
              <w:numPr>
                <w:ilvl w:val="0"/>
                <w:numId w:val="1"/>
              </w:numPr>
              <w:tabs>
                <w:tab w:val="left" w:pos="277"/>
              </w:tabs>
              <w:contextualSpacing/>
              <w:jc w:val="both"/>
              <w:rPr>
                <w:rFonts w:ascii="Times New Roman" w:hAnsi="Times New Roman"/>
                <w:b/>
              </w:rPr>
            </w:pPr>
            <w:r w:rsidRPr="009D2F13">
              <w:rPr>
                <w:rFonts w:ascii="Times New Roman" w:hAnsi="Times New Roman"/>
              </w:rPr>
              <w:t>vydávanie potvrdení športovou organizáciou na účely vydania skupiny E zbrojného preukazu a na účely vydania výnimky na nadobudnutie a držbu zbrane kategórie A.</w:t>
            </w:r>
          </w:p>
          <w:p w:rsidR="009D2F13" w:rsidRPr="009D2F13" w:rsidRDefault="009D2F13" w:rsidP="009D2F13">
            <w:pPr>
              <w:tabs>
                <w:tab w:val="left" w:pos="277"/>
              </w:tabs>
              <w:contextualSpacing/>
              <w:jc w:val="both"/>
              <w:rPr>
                <w:rFonts w:ascii="Times New Roman" w:hAnsi="Times New Roman"/>
                <w:b/>
              </w:rPr>
            </w:pPr>
            <w:r w:rsidRPr="009D2F13">
              <w:rPr>
                <w:rFonts w:ascii="Times New Roman" w:hAnsi="Times New Roman"/>
              </w:rPr>
              <w:lastRenderedPageBreak/>
              <w:t>Prerokované boli tiež témy ohľadom</w:t>
            </w:r>
          </w:p>
          <w:p w:rsidR="009D2F13" w:rsidRPr="009D2F13" w:rsidRDefault="009D2F13" w:rsidP="009D2F13">
            <w:pPr>
              <w:numPr>
                <w:ilvl w:val="0"/>
                <w:numId w:val="1"/>
              </w:numPr>
              <w:tabs>
                <w:tab w:val="left" w:pos="285"/>
              </w:tabs>
              <w:contextualSpacing/>
              <w:jc w:val="both"/>
              <w:rPr>
                <w:rFonts w:ascii="Times New Roman" w:hAnsi="Times New Roman"/>
              </w:rPr>
            </w:pPr>
            <w:r w:rsidRPr="009D2F13">
              <w:rPr>
                <w:rFonts w:ascii="Times New Roman" w:hAnsi="Times New Roman"/>
              </w:rPr>
              <w:t>upravených zbraní na expanzné zbrane pred a po účinnosti vyhlášky Úradu normalizácie a metrológie SR č. 169/2015 Z. z. o technickom postupe pri úprave zbrane kategórie A, kategórie B alebo kategórie C na expanznú zbraň kategórie D,</w:t>
            </w:r>
          </w:p>
          <w:p w:rsidR="009D2F13" w:rsidRPr="009D2F13" w:rsidRDefault="009D2F13" w:rsidP="009D2F13">
            <w:pPr>
              <w:jc w:val="both"/>
              <w:rPr>
                <w:rFonts w:ascii="Times New Roman" w:hAnsi="Times New Roman"/>
              </w:rPr>
            </w:pPr>
            <w:r w:rsidRPr="009D2F13">
              <w:rPr>
                <w:rFonts w:ascii="Times New Roman" w:hAnsi="Times New Roman"/>
              </w:rPr>
              <w:t>-  streľby zo vzduchových zbraní najmä deťmi a mládežou,</w:t>
            </w:r>
          </w:p>
          <w:p w:rsidR="009D2F13" w:rsidRPr="009D2F13" w:rsidRDefault="009D2F13" w:rsidP="009D2F13">
            <w:pPr>
              <w:jc w:val="both"/>
              <w:rPr>
                <w:rFonts w:ascii="Times New Roman" w:hAnsi="Times New Roman"/>
              </w:rPr>
            </w:pPr>
            <w:r w:rsidRPr="009D2F13">
              <w:rPr>
                <w:rFonts w:ascii="Times New Roman" w:hAnsi="Times New Roman"/>
              </w:rPr>
              <w:t>- zverenia, vypožičania a prenájmu zbraní; diskusia bola vedená najmä vo vzťahu k vypožičaniu a prenajatiu zbraní kategórie B a C, ktoré je možné uskutočniť až po potvrdení policajným útvarom,</w:t>
            </w:r>
          </w:p>
          <w:p w:rsidR="009D2F13" w:rsidRPr="009D2F13" w:rsidRDefault="009D2F13" w:rsidP="009D2F13">
            <w:pPr>
              <w:jc w:val="both"/>
              <w:rPr>
                <w:rFonts w:ascii="Times New Roman" w:hAnsi="Times New Roman"/>
              </w:rPr>
            </w:pPr>
            <w:r w:rsidRPr="009D2F13">
              <w:rPr>
                <w:rFonts w:ascii="Times New Roman" w:hAnsi="Times New Roman"/>
              </w:rPr>
              <w:t>-  zaradenia zakázaných doplnkov zbrane - tlmičov, ktoré majú byť používané na poľovné účely. Ministerstvo vnútra Slovenskej republiky dôsledne vyhodnotilo výsledky konzultácií a následne ich v potrebnej miere vyjadrilo v návrhu zákona.</w:t>
            </w:r>
          </w:p>
          <w:p w:rsidR="009D2F13" w:rsidRPr="009D2F13" w:rsidRDefault="009D2F13" w:rsidP="009D2F13">
            <w:pPr>
              <w:jc w:val="both"/>
              <w:rPr>
                <w:rFonts w:ascii="Times New Roman" w:hAnsi="Times New Roman"/>
                <w:sz w:val="20"/>
                <w:szCs w:val="20"/>
              </w:rPr>
            </w:pPr>
            <w:r w:rsidRPr="009D2F13">
              <w:rPr>
                <w:rFonts w:ascii="Times New Roman" w:hAnsi="Times New Roman"/>
              </w:rPr>
              <w:t>Verejnosť bola o príprave návrhu informovaná aj prostredníctvom predbežnej informácie v informačnom systéme verejnej správy Slov-Lex (LP/2020/464). Od 15. októbra do 05. novembra 2020 prebiehalo medzirezortné pripomienkové konanie, v ktorom bolo celkom zaslaných 203 pripomienok z toho 57 zásadných.</w:t>
            </w:r>
          </w:p>
        </w:tc>
      </w:tr>
      <w:tr w:rsidR="009D2F13" w:rsidRPr="009D2F13" w:rsidTr="009D2F13">
        <w:tc>
          <w:tcPr>
            <w:tcW w:w="9212" w:type="dxa"/>
            <w:shd w:val="clear" w:color="auto" w:fill="D9D9D9"/>
          </w:tcPr>
          <w:p w:rsidR="009D2F13" w:rsidRPr="009D2F13" w:rsidRDefault="009D2F13" w:rsidP="009D2F13">
            <w:pPr>
              <w:rPr>
                <w:rFonts w:ascii="Times New Roman" w:hAnsi="Times New Roman"/>
                <w:b/>
                <w:szCs w:val="20"/>
              </w:rPr>
            </w:pPr>
            <w:r w:rsidRPr="009D2F13">
              <w:rPr>
                <w:rFonts w:ascii="Times New Roman" w:hAnsi="Times New Roman"/>
                <w:b/>
                <w:szCs w:val="20"/>
              </w:rPr>
              <w:lastRenderedPageBreak/>
              <w:t>3.3 Náklady regulácie</w:t>
            </w:r>
          </w:p>
          <w:p w:rsidR="009D2F13" w:rsidRPr="009D2F13" w:rsidRDefault="009D2F13" w:rsidP="009D2F13">
            <w:pPr>
              <w:rPr>
                <w:rFonts w:ascii="Times New Roman" w:hAnsi="Times New Roman"/>
                <w:b/>
                <w:sz w:val="20"/>
                <w:szCs w:val="20"/>
              </w:rPr>
            </w:pPr>
            <w:r w:rsidRPr="009D2F13">
              <w:rPr>
                <w:rFonts w:ascii="Times New Roman" w:hAnsi="Times New Roman"/>
                <w:szCs w:val="20"/>
              </w:rPr>
              <w:t xml:space="preserve">      - </w:t>
            </w:r>
            <w:r w:rsidRPr="009D2F13">
              <w:rPr>
                <w:rFonts w:ascii="Times New Roman" w:hAnsi="Times New Roman"/>
                <w:b/>
                <w:szCs w:val="20"/>
              </w:rPr>
              <w:t>z toho MSP</w:t>
            </w:r>
          </w:p>
        </w:tc>
      </w:tr>
      <w:tr w:rsidR="009D2F13" w:rsidRPr="009D2F13" w:rsidTr="0096653D">
        <w:tc>
          <w:tcPr>
            <w:tcW w:w="9212" w:type="dxa"/>
            <w:tcBorders>
              <w:bottom w:val="single" w:sz="4" w:space="0" w:color="auto"/>
            </w:tcBorders>
          </w:tcPr>
          <w:p w:rsidR="009D2F13" w:rsidRPr="009D2F13" w:rsidRDefault="009D2F13" w:rsidP="009D2F13">
            <w:pPr>
              <w:rPr>
                <w:rFonts w:ascii="Times New Roman" w:hAnsi="Times New Roman"/>
                <w:b/>
                <w:i/>
                <w:sz w:val="20"/>
                <w:szCs w:val="20"/>
              </w:rPr>
            </w:pPr>
            <w:r w:rsidRPr="009D2F13">
              <w:rPr>
                <w:rFonts w:ascii="Times New Roman" w:hAnsi="Times New Roman"/>
                <w:b/>
                <w:i/>
                <w:sz w:val="20"/>
                <w:szCs w:val="20"/>
              </w:rPr>
              <w:t>3.3.1 Priame finančné náklady</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Dochádza k zvýšeniu/zníženiu priamych finančných nákladov (poplatky, odvody, dane clá...)? Ak áno, popíšte a vyčíslite ich. Uveďte tiež spôsob ich výpočtu.</w:t>
            </w:r>
          </w:p>
        </w:tc>
      </w:tr>
      <w:tr w:rsidR="009D2F13" w:rsidRPr="009D2F13" w:rsidTr="0096653D">
        <w:tc>
          <w:tcPr>
            <w:tcW w:w="9212" w:type="dxa"/>
            <w:shd w:val="clear" w:color="auto" w:fill="auto"/>
          </w:tcPr>
          <w:p w:rsidR="009D2F13" w:rsidRPr="009D2F13" w:rsidRDefault="009D2F13" w:rsidP="009D2F13">
            <w:pPr>
              <w:jc w:val="both"/>
              <w:rPr>
                <w:rFonts w:ascii="Times New Roman" w:hAnsi="Times New Roman"/>
                <w:b/>
                <w:szCs w:val="20"/>
              </w:rPr>
            </w:pPr>
            <w:r w:rsidRPr="009D2F13">
              <w:rPr>
                <w:rFonts w:ascii="Times New Roman" w:hAnsi="Times New Roman"/>
                <w:b/>
                <w:szCs w:val="20"/>
              </w:rPr>
              <w:t>Zvýšenie nákladov</w:t>
            </w:r>
          </w:p>
          <w:p w:rsidR="009D2F13" w:rsidRPr="009D2F13" w:rsidRDefault="009D2F13" w:rsidP="009D2F13">
            <w:pPr>
              <w:jc w:val="both"/>
              <w:rPr>
                <w:rFonts w:ascii="Times New Roman" w:hAnsi="Times New Roman"/>
                <w:szCs w:val="20"/>
              </w:rPr>
            </w:pPr>
            <w:r w:rsidRPr="009D2F13">
              <w:rPr>
                <w:rFonts w:ascii="Times New Roman" w:hAnsi="Times New Roman"/>
                <w:szCs w:val="20"/>
              </w:rPr>
              <w:t xml:space="preserve">     Držiteľom zbrojných licencií sa zvýšia náklady v súvislosti s podávaním žiadostí o vydanie nových zbrojných licencií. Podľa súčasnej právnej úpravy sa licencie vydávali bez časového obmedzenia, avšak navrhovaná zmena obmedzí platnosť zbrojných licencií na 5 rokov. Na základe tejto zmeny budú držitelia zbrojných licencií každých 5 rokov povinní žiadať o vydanie novej zbrojnej licencie, čo zvýši ich finančné náklady z dôvodu zaplatenia správneho poplatku, ktorý sa predmetnou novelou v čl. III zvyšuje na sumu 400,- eur.</w:t>
            </w:r>
          </w:p>
          <w:p w:rsidR="009D2F13" w:rsidRPr="009D2F13" w:rsidRDefault="009D2F13" w:rsidP="009D2F13">
            <w:pPr>
              <w:jc w:val="both"/>
              <w:rPr>
                <w:rFonts w:ascii="Times New Roman" w:hAnsi="Times New Roman"/>
                <w:szCs w:val="20"/>
              </w:rPr>
            </w:pPr>
            <w:r w:rsidRPr="009D2F13">
              <w:rPr>
                <w:rFonts w:ascii="Times New Roman" w:hAnsi="Times New Roman"/>
                <w:szCs w:val="20"/>
              </w:rPr>
              <w:t xml:space="preserve">     Návrhom zákona dochádza k zvýšeniu finančných nákladov držiteľov zbrojných licencií v súvislosti s </w:t>
            </w:r>
            <w:proofErr w:type="spellStart"/>
            <w:r w:rsidRPr="009D2F13">
              <w:rPr>
                <w:rFonts w:ascii="Times New Roman" w:hAnsi="Times New Roman"/>
                <w:szCs w:val="20"/>
              </w:rPr>
              <w:t>prekategorizovaním</w:t>
            </w:r>
            <w:proofErr w:type="spellEnd"/>
            <w:r w:rsidRPr="009D2F13">
              <w:rPr>
                <w:rFonts w:ascii="Times New Roman" w:hAnsi="Times New Roman"/>
                <w:szCs w:val="20"/>
              </w:rPr>
              <w:t xml:space="preserve"> niektorých druhov zbraní. Ministerstvo vnútra k 31.12.2020 eviduje 5005 ks expanzných zbraní zaradených v súčasnosti do kategórie D ( § 7 ods. 1 písm. d), ktoré už majú vydaný preukaz zbrane. Na základe návrhu, ktorý vyplynul zo smernice boli vybrané druhy zbraní presunuté z kategórie D do kategórií A, B a C.</w:t>
            </w:r>
            <w:r w:rsidRPr="009D2F13">
              <w:rPr>
                <w:rFonts w:ascii="Times New Roman" w:hAnsi="Times New Roman"/>
              </w:rPr>
              <w:t xml:space="preserve"> </w:t>
            </w:r>
            <w:r w:rsidRPr="009D2F13">
              <w:rPr>
                <w:rFonts w:ascii="Times New Roman" w:hAnsi="Times New Roman"/>
                <w:szCs w:val="20"/>
              </w:rPr>
              <w:t>Vzhľadom na to, že uvedené kategórie zbraní podliehajú zaevidovaniu, vzniknú ich držiteľom náklady v súvislosti so zaplatením správneho poplatku pri zaevidovaní zbrane, ktorý  predmetná novela v čl. III upravuje. Dokladom o zaevidovaní zbrane alebo jej hlavnej časti zbrane je preukaz zbrane, za ktorého vydanie sa navrhuje poplatok vo výške 6 eur.</w:t>
            </w:r>
          </w:p>
          <w:p w:rsidR="009D2F13" w:rsidRPr="009D2F13" w:rsidRDefault="009D2F13" w:rsidP="009D2F13">
            <w:pPr>
              <w:jc w:val="both"/>
              <w:rPr>
                <w:rFonts w:ascii="Times New Roman" w:hAnsi="Times New Roman"/>
                <w:shd w:val="clear" w:color="auto" w:fill="FFFF00"/>
              </w:rPr>
            </w:pPr>
            <w:r w:rsidRPr="009D2F13">
              <w:rPr>
                <w:rFonts w:ascii="Times New Roman" w:hAnsi="Times New Roman"/>
                <w:szCs w:val="20"/>
              </w:rPr>
              <w:t xml:space="preserve">          V prípade zbraní, ktoré boli preradené do kategórie A </w:t>
            </w:r>
            <w:proofErr w:type="spellStart"/>
            <w:r w:rsidRPr="009D2F13">
              <w:rPr>
                <w:rFonts w:ascii="Times New Roman" w:hAnsi="Times New Roman"/>
                <w:szCs w:val="20"/>
              </w:rPr>
              <w:t>a</w:t>
            </w:r>
            <w:proofErr w:type="spellEnd"/>
            <w:r w:rsidRPr="009D2F13">
              <w:rPr>
                <w:rFonts w:ascii="Times New Roman" w:hAnsi="Times New Roman"/>
                <w:szCs w:val="20"/>
              </w:rPr>
              <w:t> držitelia ich nadobudnú po účinnosti tohto zákona, budú ich držitelia povinní požiadať aj o vydanie výnimky na ich držanie. Žiadosť o vydanie výnimky na zbraň kategórie A bude podľa čl. III novely zákona zmenená nasledovne:</w:t>
            </w:r>
          </w:p>
          <w:p w:rsidR="009D2F13" w:rsidRPr="009D2F13" w:rsidRDefault="009D2F13" w:rsidP="009D2F13">
            <w:pPr>
              <w:jc w:val="both"/>
              <w:rPr>
                <w:rFonts w:ascii="Times New Roman" w:hAnsi="Times New Roman"/>
                <w:szCs w:val="20"/>
              </w:rPr>
            </w:pPr>
            <w:r w:rsidRPr="009D2F13">
              <w:rPr>
                <w:rFonts w:ascii="Times New Roman" w:hAnsi="Times New Roman"/>
                <w:szCs w:val="20"/>
              </w:rPr>
              <w:t>1. za každú zakázanú zbraň, každý zakázaný doplnok zbrane alebo za každú žiadosť o zakázané strelivo okrem žiadosti podľa druhého bodu........................................................................20 eur</w:t>
            </w:r>
          </w:p>
          <w:p w:rsidR="009D2F13" w:rsidRPr="009D2F13" w:rsidRDefault="009D2F13" w:rsidP="009D2F13">
            <w:pPr>
              <w:jc w:val="both"/>
              <w:rPr>
                <w:rFonts w:ascii="Times New Roman" w:hAnsi="Times New Roman"/>
              </w:rPr>
            </w:pPr>
            <w:r w:rsidRPr="009D2F13">
              <w:rPr>
                <w:rFonts w:ascii="Times New Roman" w:hAnsi="Times New Roman"/>
                <w:szCs w:val="20"/>
              </w:rPr>
              <w:t>2. držiteľa zbrojnej licencie skupiny A..................100 eur.</w:t>
            </w:r>
            <w:r w:rsidRPr="009D2F13">
              <w:rPr>
                <w:rFonts w:ascii="Times New Roman" w:hAnsi="Times New Roman"/>
              </w:rPr>
              <w:t xml:space="preserve">     </w:t>
            </w:r>
          </w:p>
          <w:p w:rsidR="009D2F13" w:rsidRPr="009D2F13" w:rsidRDefault="009D2F13" w:rsidP="009D2F13">
            <w:pPr>
              <w:jc w:val="both"/>
              <w:rPr>
                <w:rFonts w:ascii="Times New Roman" w:hAnsi="Times New Roman"/>
                <w:szCs w:val="20"/>
              </w:rPr>
            </w:pPr>
            <w:r w:rsidRPr="009D2F13">
              <w:rPr>
                <w:rFonts w:ascii="Times New Roman" w:hAnsi="Times New Roman"/>
              </w:rPr>
              <w:t xml:space="preserve">Na držiteľov niektorých druhov zbraní kategórie D (palná zbraň určená na streľbu nábojmi typu </w:t>
            </w:r>
            <w:proofErr w:type="spellStart"/>
            <w:r w:rsidRPr="009D2F13">
              <w:rPr>
                <w:rFonts w:ascii="Times New Roman" w:hAnsi="Times New Roman"/>
              </w:rPr>
              <w:t>flobert</w:t>
            </w:r>
            <w:proofErr w:type="spellEnd"/>
            <w:r w:rsidRPr="009D2F13">
              <w:rPr>
                <w:rFonts w:ascii="Times New Roman" w:hAnsi="Times New Roman"/>
              </w:rPr>
              <w:t xml:space="preserve"> s energiou strely na ústí hlavne najviac 7,5 J, expanzná zbraň, zbraň znehodnotená podľa nariadenia a palná zbraň skonštruovaná na princípe </w:t>
            </w:r>
            <w:proofErr w:type="spellStart"/>
            <w:r w:rsidRPr="009D2F13">
              <w:rPr>
                <w:rFonts w:ascii="Times New Roman" w:hAnsi="Times New Roman"/>
              </w:rPr>
              <w:t>perkusného</w:t>
            </w:r>
            <w:proofErr w:type="spellEnd"/>
            <w:r w:rsidRPr="009D2F13">
              <w:rPr>
                <w:rFonts w:ascii="Times New Roman" w:hAnsi="Times New Roman"/>
              </w:rPr>
              <w:t xml:space="preserve">, kresadlového, kolieskového alebo </w:t>
            </w:r>
            <w:proofErr w:type="spellStart"/>
            <w:r w:rsidRPr="009D2F13">
              <w:rPr>
                <w:rFonts w:ascii="Times New Roman" w:hAnsi="Times New Roman"/>
              </w:rPr>
              <w:t>tlejákového</w:t>
            </w:r>
            <w:proofErr w:type="spellEnd"/>
            <w:r w:rsidRPr="009D2F13">
              <w:rPr>
                <w:rFonts w:ascii="Times New Roman" w:hAnsi="Times New Roman"/>
              </w:rPr>
              <w:t xml:space="preserve"> zámkového systému) sa bude vzťahovať povinnosť tieto zbrane zaevidovať a tento úkon bude spoplatnený vo výške 6 eur.</w:t>
            </w:r>
          </w:p>
          <w:p w:rsidR="009D2F13" w:rsidRPr="009D2F13" w:rsidRDefault="009D2F13" w:rsidP="009D2F13">
            <w:pPr>
              <w:jc w:val="both"/>
              <w:rPr>
                <w:rFonts w:ascii="Times New Roman" w:hAnsi="Times New Roman"/>
                <w:szCs w:val="20"/>
              </w:rPr>
            </w:pPr>
            <w:r w:rsidRPr="009D2F13">
              <w:rPr>
                <w:rFonts w:ascii="Times New Roman" w:hAnsi="Times New Roman"/>
                <w:szCs w:val="20"/>
              </w:rPr>
              <w:t xml:space="preserve">Vzhľadom na to, že v informačnom systéme sa vedú obmedzené údaje o ostatných  zbraniach kategórie D (znehodnotené zbrane) a vzhľadom na špecifické vymedzenie nových </w:t>
            </w:r>
            <w:proofErr w:type="spellStart"/>
            <w:r w:rsidRPr="009D2F13">
              <w:rPr>
                <w:rFonts w:ascii="Times New Roman" w:hAnsi="Times New Roman"/>
                <w:szCs w:val="20"/>
              </w:rPr>
              <w:lastRenderedPageBreak/>
              <w:t>podkategórií</w:t>
            </w:r>
            <w:proofErr w:type="spellEnd"/>
            <w:r w:rsidRPr="009D2F13">
              <w:rPr>
                <w:rFonts w:ascii="Times New Roman" w:hAnsi="Times New Roman"/>
                <w:szCs w:val="20"/>
              </w:rPr>
              <w:t xml:space="preserve"> zbraní zaradených do kategórie A (zbraň, v ktorej sa nachádza zásobník s viac ako 10 resp. 20 nábojmi) alebo kategórie D, nie je možné určiť ich počet a tým nie je možné vyčísliť presné náklady, ktoré sa budú týkať takýchto zbraní.</w:t>
            </w:r>
          </w:p>
          <w:p w:rsidR="009D2F13" w:rsidRPr="009D2F13" w:rsidRDefault="009D2F13" w:rsidP="009D2F13">
            <w:pPr>
              <w:jc w:val="both"/>
              <w:rPr>
                <w:rFonts w:ascii="Times New Roman" w:hAnsi="Times New Roman"/>
                <w:b/>
                <w:szCs w:val="20"/>
              </w:rPr>
            </w:pPr>
            <w:r w:rsidRPr="009D2F13">
              <w:rPr>
                <w:rFonts w:ascii="Times New Roman" w:hAnsi="Times New Roman"/>
                <w:b/>
                <w:szCs w:val="20"/>
              </w:rPr>
              <w:t>Zníženie nákladov</w:t>
            </w:r>
          </w:p>
          <w:p w:rsidR="009D2F13" w:rsidRPr="009D2F13" w:rsidRDefault="009D2F13" w:rsidP="009D2F13">
            <w:pPr>
              <w:shd w:val="clear" w:color="auto" w:fill="FFFFFF"/>
              <w:jc w:val="both"/>
              <w:rPr>
                <w:rFonts w:ascii="Times New Roman" w:hAnsi="Times New Roman"/>
              </w:rPr>
            </w:pPr>
            <w:r w:rsidRPr="009D2F13">
              <w:rPr>
                <w:rFonts w:ascii="Times New Roman" w:hAnsi="Times New Roman"/>
              </w:rPr>
              <w:t>Finančné náklady sa držiteľom zbrojných licencií znížia: </w:t>
            </w:r>
          </w:p>
          <w:p w:rsidR="009D2F13" w:rsidRPr="009D2F13" w:rsidRDefault="009D2F13" w:rsidP="009D2F13">
            <w:pPr>
              <w:shd w:val="clear" w:color="auto" w:fill="FFFFFF"/>
              <w:jc w:val="both"/>
              <w:rPr>
                <w:rFonts w:ascii="Times New Roman" w:hAnsi="Times New Roman"/>
              </w:rPr>
            </w:pPr>
            <w:r w:rsidRPr="009D2F13">
              <w:rPr>
                <w:rFonts w:ascii="Times New Roman" w:hAnsi="Times New Roman"/>
              </w:rPr>
              <w:t xml:space="preserve">a) podľa zákona č. 177/2018 Z. z. o niektorých opatreniach na znižovanie administratívnej záťaže využívaním informačných systémov verejnej správy a o zmene a doplnení niektorých zákonov (zákon proti byrokracii) sa vypúšťa v niektorých prípadoch povinnosť prikladať k žiadostiam listiny, keďže podľa uvedeného zákona sú orgány verejnej moci pri svojej činnosti povinné získavať a používať údaje evidované v informačných systémoch verejnej správy a vyhotovovať si z nich výpisy, </w:t>
            </w:r>
          </w:p>
          <w:p w:rsidR="009D2F13" w:rsidRPr="009D2F13" w:rsidRDefault="009D2F13" w:rsidP="009D2F13">
            <w:pPr>
              <w:shd w:val="clear" w:color="auto" w:fill="FFFFFF"/>
              <w:jc w:val="both"/>
              <w:rPr>
                <w:rFonts w:ascii="Times New Roman" w:hAnsi="Times New Roman"/>
              </w:rPr>
            </w:pPr>
            <w:r w:rsidRPr="009D2F13">
              <w:rPr>
                <w:rFonts w:ascii="Times New Roman" w:hAnsi="Times New Roman"/>
              </w:rPr>
              <w:t>b) v prospech žiadateľov o vydanie zbrojného preukazu sa umožňuje, aby namiesto predkladania úradne osvedčenej kópie uvedených dokladov postačilo ich predloženie policajnému útvaru k nahliadnutiu, čím sa žiadateľom šetria náklady.</w:t>
            </w:r>
          </w:p>
          <w:p w:rsidR="009D2F13" w:rsidRPr="009D2F13" w:rsidRDefault="009D2F13" w:rsidP="009D2F13">
            <w:pPr>
              <w:shd w:val="clear" w:color="auto" w:fill="FFFFFF"/>
              <w:jc w:val="both"/>
              <w:rPr>
                <w:rFonts w:ascii="Times New Roman" w:hAnsi="Times New Roman"/>
                <w:b/>
                <w:i/>
                <w:sz w:val="20"/>
                <w:szCs w:val="20"/>
              </w:rPr>
            </w:pPr>
          </w:p>
        </w:tc>
      </w:tr>
      <w:tr w:rsidR="009D2F13" w:rsidRPr="009D2F13" w:rsidTr="0096653D">
        <w:tc>
          <w:tcPr>
            <w:tcW w:w="9212" w:type="dxa"/>
          </w:tcPr>
          <w:p w:rsidR="009D2F13" w:rsidRPr="009D2F13" w:rsidRDefault="009D2F13" w:rsidP="009D2F13">
            <w:pPr>
              <w:rPr>
                <w:rFonts w:ascii="Times New Roman" w:hAnsi="Times New Roman"/>
                <w:b/>
                <w:i/>
                <w:sz w:val="20"/>
                <w:szCs w:val="20"/>
              </w:rPr>
            </w:pPr>
            <w:r w:rsidRPr="009D2F13">
              <w:rPr>
                <w:rFonts w:ascii="Times New Roman" w:hAnsi="Times New Roman"/>
                <w:b/>
                <w:i/>
                <w:sz w:val="20"/>
                <w:szCs w:val="20"/>
              </w:rPr>
              <w:lastRenderedPageBreak/>
              <w:t>3.3.2 Nepriame finančné náklady</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9D2F13" w:rsidRPr="009D2F13" w:rsidTr="0096653D">
        <w:tc>
          <w:tcPr>
            <w:tcW w:w="9212" w:type="dxa"/>
          </w:tcPr>
          <w:p w:rsidR="009D2F13" w:rsidRPr="009D2F13" w:rsidRDefault="009D2F13" w:rsidP="009D2F13">
            <w:pPr>
              <w:jc w:val="both"/>
              <w:rPr>
                <w:rFonts w:ascii="Times New Roman" w:hAnsi="Times New Roman"/>
              </w:rPr>
            </w:pPr>
            <w:r w:rsidRPr="009D2F13">
              <w:rPr>
                <w:rFonts w:ascii="Times New Roman" w:hAnsi="Times New Roman"/>
                <w:szCs w:val="20"/>
              </w:rPr>
              <w:t xml:space="preserve">V súvislosti so zavedením nového druhu povinnosti (§ 47 ods. 7 zákona o zbraniach) vzniknú pre prepravcov zbraní a streliva nové finančné náklady. Tieto finančné náklady vyplývajú z povinnosti prepravcov </w:t>
            </w:r>
            <w:r w:rsidRPr="009D2F13">
              <w:rPr>
                <w:rFonts w:ascii="Times New Roman" w:hAnsi="Times New Roman"/>
              </w:rPr>
              <w:t xml:space="preserve">vybaviť </w:t>
            </w:r>
            <w:r w:rsidRPr="009D2F13">
              <w:rPr>
                <w:rFonts w:ascii="Times New Roman" w:hAnsi="Times New Roman"/>
                <w:szCs w:val="20"/>
              </w:rPr>
              <w:t>d</w:t>
            </w:r>
            <w:r w:rsidRPr="009D2F13">
              <w:rPr>
                <w:rFonts w:ascii="Times New Roman" w:hAnsi="Times New Roman"/>
              </w:rPr>
              <w:t xml:space="preserve">opravný prostriedok prepravujúci zbrane zariadením, ktoré umožňuje nepretržité sledovanie jeho pohybu, ak sa prepravuje viac ako 100 kusov zbraní alebo viac ako 200 000 kusov streliva. Vyčíslenie nákladov nie je možné, vzhľadom na to, že nie je možné predpokladať počet takýchto prepráv. Ministerstvo vnútra Slovenskej republiky vydalo v roku 2019 celkom 1035 povolení na prepravu zbraní a streliva cez územie Slovenskej republiky pre 130 žiadateľov (podnikateľských subjektov) Jedna žiadosť bola podľa zákona č. 145/1995 </w:t>
            </w:r>
            <w:proofErr w:type="spellStart"/>
            <w:r w:rsidRPr="009D2F13">
              <w:rPr>
                <w:rFonts w:ascii="Times New Roman" w:hAnsi="Times New Roman"/>
              </w:rPr>
              <w:t>Z.z</w:t>
            </w:r>
            <w:proofErr w:type="spellEnd"/>
            <w:r w:rsidRPr="009D2F13">
              <w:rPr>
                <w:rFonts w:ascii="Times New Roman" w:hAnsi="Times New Roman"/>
              </w:rPr>
              <w:t xml:space="preserve"> o správnych poplatkoch spoplatnená sumou 33,- eur. Návrhom zákona v čl. III sa zvyšuje na sumu 40 eur. Počet vydaných povolení na prepravu zbraní a streliva  a  počet žiadateľov (podnikateľských subjektov) o prepravu je ovplyvnený vydaním licencií Ministerstva hospodárstva podľa zákona č. 392/2011 </w:t>
            </w:r>
            <w:proofErr w:type="spellStart"/>
            <w:r w:rsidRPr="009D2F13">
              <w:rPr>
                <w:rFonts w:ascii="Times New Roman" w:hAnsi="Times New Roman"/>
              </w:rPr>
              <w:t>Z.z</w:t>
            </w:r>
            <w:proofErr w:type="spellEnd"/>
            <w:r w:rsidRPr="009D2F13">
              <w:rPr>
                <w:rFonts w:ascii="Times New Roman" w:hAnsi="Times New Roman"/>
              </w:rPr>
              <w:t>. o obchodovaní s výrobkami obranného priemyslu a o zmene a doplnení niektorých zákonov v znení neskorších predpisov. Len niektorí z podnikateľských subjektov si takúto prepravu vykonávajú vo vlastnej réžii. Viacerí využívajú služby iných podnikateľských subjektov s daným predmetom činnosti. Hodnota zariadenia na sledovanie pohybu sa pohybuje v desiatkach až stovkách eur. Uvedené zariadenie nemusí byť trvalo inštalované vo vozidle, ale postačuje prenosné zariadenie vo vozidle, ktoré takúto prepravu aktuálne vykonáva, čo znamená, že toto zariadenie je možné presúvať medzi jednotlivými autami prepravcu. Viac ako jedno takéto zariadenie je potrebné len v prípade, ak prepravca bude takúto prepravu vykonávať súčasne viacerými autami. Náklady na zriadenie takéhoto zariadenia na jedno auto je možné predpokladať vo výške približne 100 eur.</w:t>
            </w:r>
          </w:p>
        </w:tc>
      </w:tr>
      <w:tr w:rsidR="009D2F13" w:rsidRPr="009D2F13" w:rsidTr="0096653D">
        <w:tc>
          <w:tcPr>
            <w:tcW w:w="9212" w:type="dxa"/>
          </w:tcPr>
          <w:p w:rsidR="009D2F13" w:rsidRPr="009D2F13" w:rsidRDefault="009D2F13" w:rsidP="009D2F13">
            <w:pPr>
              <w:rPr>
                <w:rFonts w:ascii="Times New Roman" w:hAnsi="Times New Roman"/>
                <w:b/>
                <w:i/>
                <w:sz w:val="20"/>
                <w:szCs w:val="20"/>
              </w:rPr>
            </w:pPr>
            <w:r w:rsidRPr="009D2F13">
              <w:rPr>
                <w:rFonts w:ascii="Times New Roman" w:hAnsi="Times New Roman"/>
                <w:b/>
                <w:i/>
                <w:sz w:val="20"/>
                <w:szCs w:val="20"/>
              </w:rPr>
              <w:t>3.3.3 Administratívne náklady</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D2F13" w:rsidRPr="009D2F13" w:rsidTr="0096653D">
        <w:trPr>
          <w:trHeight w:val="1275"/>
        </w:trPr>
        <w:tc>
          <w:tcPr>
            <w:tcW w:w="9212" w:type="dxa"/>
          </w:tcPr>
          <w:p w:rsidR="009D2F13" w:rsidRPr="009D2F13" w:rsidRDefault="009D2F13" w:rsidP="009D2F13">
            <w:pPr>
              <w:jc w:val="both"/>
              <w:rPr>
                <w:rFonts w:ascii="Times New Roman" w:hAnsi="Times New Roman"/>
                <w:b/>
                <w:i/>
              </w:rPr>
            </w:pPr>
            <w:r w:rsidRPr="009D2F13">
              <w:rPr>
                <w:rFonts w:ascii="Times New Roman" w:hAnsi="Times New Roman"/>
              </w:rPr>
              <w:t xml:space="preserve">Predkladaným návrhom zákona dochádza k zavedeniu nových povinností pre držiteľov zbrojných licencií, ktorí budú na základe navrhovaného znenie § 35 ods. 1 písm. k) povinní viesť evidenciu zbraní a streliva prostredníctvom elektronickej služby. Do tejto evidencie budú držitelia zbrojných licencií povinní zapisovať akúkoľvek zmenu stavu zbrane (napr. vypožičanie, prenájom, predaj, prevzatie zbrane na účel opravy, úpravy, zničenia). Zabezpečenie pripojenia na stránku </w:t>
            </w:r>
            <w:proofErr w:type="spellStart"/>
            <w:r w:rsidRPr="009D2F13">
              <w:rPr>
                <w:rFonts w:ascii="Times New Roman" w:hAnsi="Times New Roman"/>
              </w:rPr>
              <w:t>markanta</w:t>
            </w:r>
            <w:proofErr w:type="spellEnd"/>
            <w:r w:rsidRPr="009D2F13">
              <w:rPr>
                <w:rFonts w:ascii="Times New Roman" w:hAnsi="Times New Roman"/>
              </w:rPr>
              <w:t xml:space="preserve"> bude prostredníctvom dátovej služby cez PIN(BOK) v občianskom preukaze zodpovednej osoby, ktorá je už aplikovaná a využíva sa </w:t>
            </w:r>
            <w:r w:rsidRPr="009D2F13">
              <w:rPr>
                <w:rFonts w:ascii="Times New Roman" w:hAnsi="Times New Roman"/>
              </w:rPr>
              <w:lastRenderedPageBreak/>
              <w:t>pri elektronickej komunikácii občana príp. podnikateľského subjektu so štátom. Predpokladom je, že daný podnikateľský subjekt vlastní počítač, má pripojenie k internetu a požiadal o prístupové práva na pripojenie k službe. Náklady sa týkajú cca 1000 podnikateľských subjektov zabezpečením on-line prístupu držiteľov zbrojných licencií do elektronickej služby a to tým, že si budú musieť zabezpečiť (ak doposiaľ nemali) PIN(BOK) v občianskom preukaze (4,50 eura). Ďalšie súvisiace náklady sú minimálne (napr. spotreba elektrickej energie, spotreba internetových dát) a čas strávený pri PC pri konštantnej rýchlosti je predpokladaný na 10 min.</w:t>
            </w:r>
          </w:p>
        </w:tc>
      </w:tr>
      <w:tr w:rsidR="009D2F13" w:rsidRPr="009D2F13" w:rsidTr="0096653D">
        <w:trPr>
          <w:trHeight w:val="2318"/>
        </w:trPr>
        <w:tc>
          <w:tcPr>
            <w:tcW w:w="9212" w:type="dxa"/>
          </w:tcPr>
          <w:p w:rsidR="009D2F13" w:rsidRPr="009D2F13" w:rsidRDefault="009D2F13" w:rsidP="009D2F13">
            <w:pPr>
              <w:tabs>
                <w:tab w:val="center" w:pos="4498"/>
              </w:tabs>
              <w:rPr>
                <w:rFonts w:ascii="Times New Roman" w:hAnsi="Times New Roman"/>
                <w:b/>
                <w:i/>
                <w:sz w:val="20"/>
                <w:szCs w:val="20"/>
              </w:rPr>
            </w:pPr>
            <w:r w:rsidRPr="009D2F13">
              <w:rPr>
                <w:rFonts w:ascii="Times New Roman" w:hAnsi="Times New Roman"/>
                <w:b/>
                <w:i/>
                <w:sz w:val="20"/>
                <w:szCs w:val="20"/>
              </w:rPr>
              <w:lastRenderedPageBreak/>
              <w:t>3.3.4 Súhrnná tabuľka nákladov regulácie</w:t>
            </w:r>
            <w:r w:rsidRPr="009D2F13">
              <w:rPr>
                <w:rFonts w:ascii="Times New Roman" w:hAnsi="Times New Roman"/>
                <w:b/>
                <w:i/>
                <w:sz w:val="20"/>
                <w:szCs w:val="20"/>
              </w:rPr>
              <w:tab/>
            </w:r>
          </w:p>
          <w:p w:rsidR="009D2F13" w:rsidRPr="009D2F13" w:rsidRDefault="009D2F13" w:rsidP="009D2F13">
            <w:pPr>
              <w:tabs>
                <w:tab w:val="center" w:pos="4498"/>
              </w:tabs>
              <w:rPr>
                <w:rFonts w:ascii="Times New Roman" w:hAnsi="Times New Roman"/>
                <w:sz w:val="20"/>
                <w:szCs w:val="20"/>
              </w:rPr>
            </w:pPr>
          </w:p>
          <w:p w:rsidR="009D2F13" w:rsidRPr="009D2F13" w:rsidRDefault="009D2F13" w:rsidP="009D2F13">
            <w:pPr>
              <w:tabs>
                <w:tab w:val="center" w:pos="4498"/>
              </w:tabs>
              <w:rPr>
                <w:rFonts w:ascii="Times New Roman" w:hAnsi="Times New Roman"/>
                <w:b/>
                <w:i/>
                <w:sz w:val="20"/>
                <w:szCs w:val="20"/>
              </w:rPr>
            </w:pPr>
          </w:p>
          <w:tbl>
            <w:tblPr>
              <w:tblW w:w="8921" w:type="dxa"/>
              <w:tblCellMar>
                <w:left w:w="70" w:type="dxa"/>
                <w:right w:w="70" w:type="dxa"/>
              </w:tblCellMar>
              <w:tblLook w:val="04A0" w:firstRow="1" w:lastRow="0" w:firstColumn="1" w:lastColumn="0" w:noHBand="0" w:noVBand="1"/>
            </w:tblPr>
            <w:tblGrid>
              <w:gridCol w:w="3818"/>
              <w:gridCol w:w="2551"/>
              <w:gridCol w:w="2552"/>
            </w:tblGrid>
            <w:tr w:rsidR="009D2F13" w:rsidRPr="009D2F13" w:rsidTr="0096653D">
              <w:trPr>
                <w:trHeight w:val="750"/>
              </w:trPr>
              <w:tc>
                <w:tcPr>
                  <w:tcW w:w="3818" w:type="dxa"/>
                  <w:tcBorders>
                    <w:top w:val="single" w:sz="8" w:space="0" w:color="808080"/>
                    <w:left w:val="single" w:sz="8" w:space="0" w:color="808080"/>
                    <w:bottom w:val="single" w:sz="4" w:space="0" w:color="BFBFBF"/>
                    <w:right w:val="single" w:sz="4" w:space="0" w:color="FFFFFF"/>
                  </w:tcBorders>
                  <w:shd w:val="clear" w:color="000000" w:fill="808080"/>
                  <w:noWrap/>
                  <w:vAlign w:val="center"/>
                  <w:hideMark/>
                </w:tcPr>
                <w:p w:rsidR="009D2F13" w:rsidRPr="009D2F13" w:rsidRDefault="009D2F13" w:rsidP="009D2F13">
                  <w:pPr>
                    <w:jc w:val="center"/>
                    <w:rPr>
                      <w:b/>
                      <w:bCs/>
                      <w:color w:val="FFFFFF"/>
                      <w:sz w:val="22"/>
                      <w:szCs w:val="22"/>
                    </w:rPr>
                  </w:pPr>
                  <w:r w:rsidRPr="009D2F13">
                    <w:rPr>
                      <w:b/>
                      <w:bCs/>
                      <w:color w:val="FFFFFF"/>
                      <w:sz w:val="22"/>
                      <w:szCs w:val="22"/>
                    </w:rPr>
                    <w:t>Náklady regulácie</w:t>
                  </w:r>
                </w:p>
              </w:tc>
              <w:tc>
                <w:tcPr>
                  <w:tcW w:w="2551" w:type="dxa"/>
                  <w:tcBorders>
                    <w:top w:val="single" w:sz="8" w:space="0" w:color="808080"/>
                    <w:left w:val="nil"/>
                    <w:bottom w:val="nil"/>
                    <w:right w:val="single" w:sz="4" w:space="0" w:color="FFFFFF"/>
                  </w:tcBorders>
                  <w:shd w:val="clear" w:color="000000" w:fill="808080"/>
                  <w:vAlign w:val="center"/>
                  <w:hideMark/>
                </w:tcPr>
                <w:p w:rsidR="009D2F13" w:rsidRPr="009D2F13" w:rsidRDefault="009D2F13" w:rsidP="009D2F13">
                  <w:pPr>
                    <w:jc w:val="center"/>
                    <w:rPr>
                      <w:b/>
                      <w:bCs/>
                      <w:color w:val="FFFFFF"/>
                      <w:sz w:val="20"/>
                      <w:szCs w:val="20"/>
                    </w:rPr>
                  </w:pPr>
                  <w:r w:rsidRPr="009D2F13">
                    <w:rPr>
                      <w:b/>
                      <w:bCs/>
                      <w:color w:val="FFFFFF"/>
                      <w:sz w:val="20"/>
                      <w:szCs w:val="20"/>
                    </w:rPr>
                    <w:t>Náklady na 1 podnikateľa</w:t>
                  </w:r>
                </w:p>
              </w:tc>
              <w:tc>
                <w:tcPr>
                  <w:tcW w:w="2552" w:type="dxa"/>
                  <w:tcBorders>
                    <w:top w:val="single" w:sz="8" w:space="0" w:color="808080"/>
                    <w:left w:val="nil"/>
                    <w:bottom w:val="nil"/>
                    <w:right w:val="single" w:sz="8" w:space="0" w:color="808080"/>
                  </w:tcBorders>
                  <w:shd w:val="clear" w:color="000000" w:fill="808080"/>
                  <w:vAlign w:val="center"/>
                  <w:hideMark/>
                </w:tcPr>
                <w:p w:rsidR="009D2F13" w:rsidRPr="009D2F13" w:rsidRDefault="009D2F13" w:rsidP="009D2F13">
                  <w:pPr>
                    <w:jc w:val="center"/>
                    <w:rPr>
                      <w:b/>
                      <w:bCs/>
                      <w:color w:val="FFFFFF"/>
                      <w:sz w:val="20"/>
                      <w:szCs w:val="20"/>
                    </w:rPr>
                  </w:pPr>
                  <w:r w:rsidRPr="009D2F13">
                    <w:rPr>
                      <w:b/>
                      <w:bCs/>
                      <w:color w:val="FFFFFF"/>
                      <w:sz w:val="20"/>
                      <w:szCs w:val="20"/>
                    </w:rPr>
                    <w:t>Náklady na celé podnikateľské prostredie</w:t>
                  </w:r>
                </w:p>
              </w:tc>
            </w:tr>
            <w:tr w:rsidR="009D2F13" w:rsidRPr="009D2F13" w:rsidTr="0096653D">
              <w:trPr>
                <w:trHeight w:val="345"/>
              </w:trPr>
              <w:tc>
                <w:tcPr>
                  <w:tcW w:w="3818" w:type="dxa"/>
                  <w:tcBorders>
                    <w:top w:val="single" w:sz="4" w:space="0" w:color="BFBFBF"/>
                    <w:left w:val="single" w:sz="8" w:space="0" w:color="808080"/>
                    <w:bottom w:val="single" w:sz="4" w:space="0" w:color="BFBFBF"/>
                    <w:right w:val="single" w:sz="4" w:space="0" w:color="BFBFBF"/>
                  </w:tcBorders>
                  <w:shd w:val="clear" w:color="000000" w:fill="FFFFFF"/>
                  <w:vAlign w:val="center"/>
                  <w:hideMark/>
                </w:tcPr>
                <w:p w:rsidR="009D2F13" w:rsidRPr="009D2F13" w:rsidRDefault="009D2F13" w:rsidP="009D2F13">
                  <w:pPr>
                    <w:rPr>
                      <w:b/>
                      <w:bCs/>
                      <w:color w:val="00B0F0"/>
                      <w:sz w:val="20"/>
                      <w:szCs w:val="20"/>
                    </w:rPr>
                  </w:pPr>
                  <w:r w:rsidRPr="009D2F13">
                    <w:rPr>
                      <w:b/>
                      <w:bCs/>
                      <w:color w:val="00B0F0"/>
                      <w:sz w:val="20"/>
                      <w:szCs w:val="20"/>
                    </w:rPr>
                    <w:t>Priame finančné náklady</w:t>
                  </w:r>
                  <w:r w:rsidRPr="009D2F13">
                    <w:rPr>
                      <w:b/>
                      <w:bCs/>
                      <w:i/>
                      <w:iCs/>
                      <w:color w:val="00B0F0"/>
                      <w:sz w:val="20"/>
                      <w:szCs w:val="20"/>
                    </w:rPr>
                    <w:t xml:space="preserve"> (EUR)</w:t>
                  </w:r>
                </w:p>
              </w:tc>
              <w:tc>
                <w:tcPr>
                  <w:tcW w:w="2551" w:type="dxa"/>
                  <w:tcBorders>
                    <w:top w:val="single" w:sz="4" w:space="0" w:color="BFBFBF"/>
                    <w:left w:val="nil"/>
                    <w:bottom w:val="single" w:sz="4" w:space="0" w:color="BFBFBF"/>
                    <w:right w:val="single" w:sz="4" w:space="0" w:color="BFBFBF"/>
                  </w:tcBorders>
                  <w:shd w:val="clear" w:color="000000" w:fill="FFFFFF"/>
                  <w:vAlign w:val="center"/>
                  <w:hideMark/>
                </w:tcPr>
                <w:p w:rsidR="009D2F13" w:rsidRPr="009D2F13" w:rsidRDefault="009D2F13" w:rsidP="009D2F13">
                  <w:pPr>
                    <w:jc w:val="center"/>
                    <w:rPr>
                      <w:b/>
                      <w:bCs/>
                      <w:color w:val="00B0F0"/>
                      <w:sz w:val="20"/>
                      <w:szCs w:val="20"/>
                    </w:rPr>
                  </w:pPr>
                  <w:r w:rsidRPr="009D2F13">
                    <w:rPr>
                      <w:b/>
                      <w:bCs/>
                      <w:color w:val="00B0F0"/>
                      <w:sz w:val="20"/>
                      <w:szCs w:val="20"/>
                    </w:rPr>
                    <w:t>426</w:t>
                  </w:r>
                </w:p>
              </w:tc>
              <w:tc>
                <w:tcPr>
                  <w:tcW w:w="2552" w:type="dxa"/>
                  <w:tcBorders>
                    <w:top w:val="single" w:sz="4" w:space="0" w:color="BFBFBF"/>
                    <w:left w:val="nil"/>
                    <w:bottom w:val="single" w:sz="4" w:space="0" w:color="BFBFBF"/>
                    <w:right w:val="single" w:sz="8" w:space="0" w:color="808080"/>
                  </w:tcBorders>
                  <w:shd w:val="clear" w:color="000000" w:fill="FFFFFF"/>
                  <w:vAlign w:val="center"/>
                  <w:hideMark/>
                </w:tcPr>
                <w:p w:rsidR="009D2F13" w:rsidRPr="009D2F13" w:rsidRDefault="009D2F13" w:rsidP="009D2F13">
                  <w:pPr>
                    <w:jc w:val="center"/>
                    <w:rPr>
                      <w:b/>
                      <w:bCs/>
                      <w:color w:val="00B0F0"/>
                      <w:sz w:val="20"/>
                      <w:szCs w:val="20"/>
                    </w:rPr>
                  </w:pPr>
                  <w:r w:rsidRPr="009D2F13">
                    <w:rPr>
                      <w:b/>
                      <w:bCs/>
                      <w:color w:val="00B0F0"/>
                      <w:sz w:val="20"/>
                      <w:szCs w:val="20"/>
                    </w:rPr>
                    <w:t>497 740</w:t>
                  </w:r>
                </w:p>
              </w:tc>
            </w:tr>
            <w:tr w:rsidR="009D2F13" w:rsidRPr="009D2F13" w:rsidTr="0096653D">
              <w:trPr>
                <w:trHeight w:val="345"/>
              </w:trPr>
              <w:tc>
                <w:tcPr>
                  <w:tcW w:w="3818" w:type="dxa"/>
                  <w:tcBorders>
                    <w:top w:val="single" w:sz="4" w:space="0" w:color="BFBFBF"/>
                    <w:left w:val="single" w:sz="8" w:space="0" w:color="808080"/>
                    <w:bottom w:val="single" w:sz="4" w:space="0" w:color="BFBFBF"/>
                    <w:right w:val="single" w:sz="4" w:space="0" w:color="BFBFBF"/>
                  </w:tcBorders>
                  <w:shd w:val="clear" w:color="000000" w:fill="FFFFFF"/>
                  <w:vAlign w:val="center"/>
                  <w:hideMark/>
                </w:tcPr>
                <w:p w:rsidR="009D2F13" w:rsidRPr="009D2F13" w:rsidRDefault="009D2F13" w:rsidP="009D2F13">
                  <w:pPr>
                    <w:rPr>
                      <w:b/>
                      <w:bCs/>
                      <w:color w:val="00B0F0"/>
                      <w:sz w:val="20"/>
                      <w:szCs w:val="20"/>
                    </w:rPr>
                  </w:pPr>
                  <w:r w:rsidRPr="009D2F13">
                    <w:rPr>
                      <w:b/>
                      <w:bCs/>
                      <w:color w:val="00B0F0"/>
                      <w:sz w:val="20"/>
                      <w:szCs w:val="20"/>
                    </w:rPr>
                    <w:t>Nepriame finančné náklady</w:t>
                  </w:r>
                  <w:r w:rsidRPr="009D2F13">
                    <w:rPr>
                      <w:b/>
                      <w:bCs/>
                      <w:i/>
                      <w:iCs/>
                      <w:color w:val="00B0F0"/>
                      <w:sz w:val="20"/>
                      <w:szCs w:val="20"/>
                    </w:rPr>
                    <w:t xml:space="preserve"> (EUR)</w:t>
                  </w:r>
                </w:p>
              </w:tc>
              <w:tc>
                <w:tcPr>
                  <w:tcW w:w="2551" w:type="dxa"/>
                  <w:tcBorders>
                    <w:top w:val="nil"/>
                    <w:left w:val="nil"/>
                    <w:bottom w:val="single" w:sz="4" w:space="0" w:color="BFBFBF"/>
                    <w:right w:val="single" w:sz="4" w:space="0" w:color="BFBFBF"/>
                  </w:tcBorders>
                  <w:shd w:val="clear" w:color="000000" w:fill="FFFFFF"/>
                  <w:vAlign w:val="center"/>
                  <w:hideMark/>
                </w:tcPr>
                <w:p w:rsidR="009D2F13" w:rsidRPr="009D2F13" w:rsidRDefault="009D2F13" w:rsidP="009D2F13">
                  <w:pPr>
                    <w:jc w:val="center"/>
                    <w:rPr>
                      <w:b/>
                      <w:bCs/>
                      <w:color w:val="00B0F0"/>
                      <w:sz w:val="20"/>
                      <w:szCs w:val="20"/>
                    </w:rPr>
                  </w:pPr>
                  <w:r w:rsidRPr="009D2F13">
                    <w:rPr>
                      <w:b/>
                      <w:bCs/>
                      <w:color w:val="00B0F0"/>
                      <w:sz w:val="20"/>
                      <w:szCs w:val="20"/>
                    </w:rPr>
                    <w:t>190</w:t>
                  </w:r>
                </w:p>
              </w:tc>
              <w:tc>
                <w:tcPr>
                  <w:tcW w:w="2552" w:type="dxa"/>
                  <w:tcBorders>
                    <w:top w:val="single" w:sz="4" w:space="0" w:color="BFBFBF"/>
                    <w:left w:val="nil"/>
                    <w:bottom w:val="single" w:sz="4" w:space="0" w:color="BFBFBF"/>
                    <w:right w:val="single" w:sz="8" w:space="0" w:color="808080"/>
                  </w:tcBorders>
                  <w:shd w:val="clear" w:color="000000" w:fill="FFFFFF"/>
                  <w:vAlign w:val="center"/>
                  <w:hideMark/>
                </w:tcPr>
                <w:p w:rsidR="009D2F13" w:rsidRPr="009D2F13" w:rsidRDefault="009D2F13" w:rsidP="009D2F13">
                  <w:pPr>
                    <w:jc w:val="center"/>
                    <w:rPr>
                      <w:b/>
                      <w:bCs/>
                      <w:color w:val="00B0F0"/>
                      <w:sz w:val="20"/>
                      <w:szCs w:val="20"/>
                    </w:rPr>
                  </w:pPr>
                  <w:r w:rsidRPr="009D2F13">
                    <w:rPr>
                      <w:b/>
                      <w:bCs/>
                      <w:color w:val="00B0F0"/>
                      <w:sz w:val="20"/>
                      <w:szCs w:val="20"/>
                    </w:rPr>
                    <w:t>24 700</w:t>
                  </w:r>
                </w:p>
              </w:tc>
            </w:tr>
            <w:tr w:rsidR="009D2F13" w:rsidRPr="009D2F13" w:rsidTr="0096653D">
              <w:trPr>
                <w:trHeight w:val="345"/>
              </w:trPr>
              <w:tc>
                <w:tcPr>
                  <w:tcW w:w="3818" w:type="dxa"/>
                  <w:tcBorders>
                    <w:top w:val="single" w:sz="4" w:space="0" w:color="BFBFBF"/>
                    <w:left w:val="single" w:sz="8" w:space="0" w:color="808080"/>
                    <w:bottom w:val="nil"/>
                    <w:right w:val="single" w:sz="4" w:space="0" w:color="BFBFBF"/>
                  </w:tcBorders>
                  <w:shd w:val="clear" w:color="000000" w:fill="FFFFFF"/>
                  <w:vAlign w:val="center"/>
                  <w:hideMark/>
                </w:tcPr>
                <w:p w:rsidR="009D2F13" w:rsidRPr="009D2F13" w:rsidRDefault="009D2F13" w:rsidP="009D2F13">
                  <w:pPr>
                    <w:rPr>
                      <w:b/>
                      <w:bCs/>
                      <w:color w:val="77AC00"/>
                      <w:sz w:val="20"/>
                      <w:szCs w:val="20"/>
                    </w:rPr>
                  </w:pPr>
                  <w:r w:rsidRPr="009D2F13">
                    <w:rPr>
                      <w:b/>
                      <w:bCs/>
                      <w:color w:val="77AC00"/>
                      <w:sz w:val="20"/>
                      <w:szCs w:val="20"/>
                    </w:rPr>
                    <w:t xml:space="preserve">Administratívne náklady </w:t>
                  </w:r>
                  <w:r w:rsidRPr="009D2F13">
                    <w:rPr>
                      <w:b/>
                      <w:bCs/>
                      <w:i/>
                      <w:iCs/>
                      <w:color w:val="77AC00"/>
                      <w:sz w:val="20"/>
                      <w:szCs w:val="20"/>
                    </w:rPr>
                    <w:t>(EUR)</w:t>
                  </w:r>
                </w:p>
              </w:tc>
              <w:tc>
                <w:tcPr>
                  <w:tcW w:w="2551" w:type="dxa"/>
                  <w:tcBorders>
                    <w:top w:val="nil"/>
                    <w:left w:val="nil"/>
                    <w:bottom w:val="nil"/>
                    <w:right w:val="single" w:sz="4" w:space="0" w:color="BFBFBF"/>
                  </w:tcBorders>
                  <w:shd w:val="clear" w:color="000000" w:fill="FFFFFF"/>
                  <w:vAlign w:val="center"/>
                  <w:hideMark/>
                </w:tcPr>
                <w:p w:rsidR="009D2F13" w:rsidRPr="009D2F13" w:rsidRDefault="009D2F13" w:rsidP="009D2F13">
                  <w:pPr>
                    <w:jc w:val="center"/>
                    <w:rPr>
                      <w:b/>
                      <w:bCs/>
                      <w:color w:val="77AC00"/>
                      <w:sz w:val="20"/>
                      <w:szCs w:val="20"/>
                    </w:rPr>
                  </w:pPr>
                  <w:r w:rsidRPr="009D2F13">
                    <w:rPr>
                      <w:b/>
                      <w:bCs/>
                      <w:color w:val="77AC00"/>
                      <w:sz w:val="20"/>
                      <w:szCs w:val="20"/>
                    </w:rPr>
                    <w:t>60</w:t>
                  </w:r>
                </w:p>
              </w:tc>
              <w:tc>
                <w:tcPr>
                  <w:tcW w:w="2552" w:type="dxa"/>
                  <w:tcBorders>
                    <w:top w:val="nil"/>
                    <w:left w:val="nil"/>
                    <w:bottom w:val="single" w:sz="4" w:space="0" w:color="FFFFFF"/>
                    <w:right w:val="single" w:sz="8" w:space="0" w:color="808080"/>
                  </w:tcBorders>
                  <w:shd w:val="clear" w:color="000000" w:fill="FFFFFF"/>
                  <w:vAlign w:val="center"/>
                  <w:hideMark/>
                </w:tcPr>
                <w:p w:rsidR="009D2F13" w:rsidRPr="009D2F13" w:rsidRDefault="009D2F13" w:rsidP="009D2F13">
                  <w:pPr>
                    <w:jc w:val="center"/>
                    <w:rPr>
                      <w:b/>
                      <w:bCs/>
                      <w:color w:val="77AC00"/>
                      <w:sz w:val="20"/>
                      <w:szCs w:val="20"/>
                    </w:rPr>
                  </w:pPr>
                  <w:r w:rsidRPr="009D2F13">
                    <w:rPr>
                      <w:b/>
                      <w:bCs/>
                      <w:color w:val="77AC00"/>
                      <w:sz w:val="20"/>
                      <w:szCs w:val="20"/>
                    </w:rPr>
                    <w:t>113 546</w:t>
                  </w:r>
                </w:p>
              </w:tc>
            </w:tr>
            <w:tr w:rsidR="009D2F13" w:rsidRPr="009D2F13" w:rsidTr="0096653D">
              <w:trPr>
                <w:trHeight w:val="495"/>
              </w:trPr>
              <w:tc>
                <w:tcPr>
                  <w:tcW w:w="3818" w:type="dxa"/>
                  <w:tcBorders>
                    <w:top w:val="single" w:sz="4" w:space="0" w:color="FFFFFF"/>
                    <w:left w:val="single" w:sz="8" w:space="0" w:color="808080"/>
                    <w:bottom w:val="single" w:sz="8" w:space="0" w:color="808080"/>
                    <w:right w:val="single" w:sz="4" w:space="0" w:color="FFFFFF"/>
                  </w:tcBorders>
                  <w:shd w:val="clear" w:color="000000" w:fill="00A1DE"/>
                  <w:vAlign w:val="center"/>
                  <w:hideMark/>
                </w:tcPr>
                <w:p w:rsidR="009D2F13" w:rsidRPr="009D2F13" w:rsidRDefault="009D2F13" w:rsidP="009D2F13">
                  <w:pPr>
                    <w:rPr>
                      <w:b/>
                      <w:bCs/>
                      <w:color w:val="FFFFFF"/>
                      <w:sz w:val="20"/>
                      <w:szCs w:val="20"/>
                    </w:rPr>
                  </w:pPr>
                  <w:r w:rsidRPr="009D2F13">
                    <w:rPr>
                      <w:b/>
                      <w:bCs/>
                      <w:color w:val="FFFFFF"/>
                      <w:sz w:val="20"/>
                      <w:szCs w:val="20"/>
                    </w:rPr>
                    <w:t>Celkové náklady regulácie</w:t>
                  </w:r>
                  <w:r w:rsidRPr="009D2F13">
                    <w:rPr>
                      <w:b/>
                      <w:bCs/>
                      <w:i/>
                      <w:iCs/>
                      <w:color w:val="FFFFFF"/>
                      <w:sz w:val="20"/>
                      <w:szCs w:val="20"/>
                    </w:rPr>
                    <w:t xml:space="preserve"> (EUR)</w:t>
                  </w:r>
                </w:p>
              </w:tc>
              <w:tc>
                <w:tcPr>
                  <w:tcW w:w="2551" w:type="dxa"/>
                  <w:tcBorders>
                    <w:top w:val="single" w:sz="4" w:space="0" w:color="FFFFFF"/>
                    <w:left w:val="nil"/>
                    <w:bottom w:val="single" w:sz="8" w:space="0" w:color="808080"/>
                    <w:right w:val="single" w:sz="4" w:space="0" w:color="FFFFFF"/>
                  </w:tcBorders>
                  <w:shd w:val="clear" w:color="000000" w:fill="00A1DE"/>
                  <w:vAlign w:val="center"/>
                  <w:hideMark/>
                </w:tcPr>
                <w:p w:rsidR="009D2F13" w:rsidRPr="009D2F13" w:rsidRDefault="009D2F13" w:rsidP="009D2F13">
                  <w:pPr>
                    <w:jc w:val="center"/>
                    <w:rPr>
                      <w:b/>
                      <w:bCs/>
                      <w:color w:val="FFFFFF"/>
                      <w:sz w:val="20"/>
                      <w:szCs w:val="20"/>
                    </w:rPr>
                  </w:pPr>
                  <w:r w:rsidRPr="009D2F13">
                    <w:rPr>
                      <w:b/>
                      <w:bCs/>
                      <w:color w:val="FFFFFF"/>
                      <w:sz w:val="20"/>
                      <w:szCs w:val="20"/>
                    </w:rPr>
                    <w:t>676</w:t>
                  </w:r>
                </w:p>
              </w:tc>
              <w:tc>
                <w:tcPr>
                  <w:tcW w:w="2552" w:type="dxa"/>
                  <w:tcBorders>
                    <w:top w:val="single" w:sz="4" w:space="0" w:color="FFFFFF"/>
                    <w:left w:val="nil"/>
                    <w:bottom w:val="single" w:sz="8" w:space="0" w:color="808080"/>
                    <w:right w:val="single" w:sz="8" w:space="0" w:color="808080"/>
                  </w:tcBorders>
                  <w:shd w:val="clear" w:color="000000" w:fill="00A1DE"/>
                  <w:vAlign w:val="center"/>
                  <w:hideMark/>
                </w:tcPr>
                <w:p w:rsidR="009D2F13" w:rsidRPr="009D2F13" w:rsidRDefault="009D2F13" w:rsidP="009D2F13">
                  <w:pPr>
                    <w:jc w:val="center"/>
                    <w:rPr>
                      <w:b/>
                      <w:bCs/>
                      <w:sz w:val="20"/>
                      <w:szCs w:val="20"/>
                    </w:rPr>
                  </w:pPr>
                  <w:r w:rsidRPr="009D2F13">
                    <w:rPr>
                      <w:b/>
                      <w:bCs/>
                      <w:color w:val="FFFFFF"/>
                      <w:sz w:val="20"/>
                      <w:szCs w:val="20"/>
                    </w:rPr>
                    <w:t>635 986</w:t>
                  </w:r>
                </w:p>
              </w:tc>
            </w:tr>
          </w:tbl>
          <w:p w:rsidR="009D2F13" w:rsidRPr="009D2F13" w:rsidRDefault="009D2F13" w:rsidP="009D2F13">
            <w:pPr>
              <w:tabs>
                <w:tab w:val="center" w:pos="4498"/>
              </w:tabs>
              <w:rPr>
                <w:rFonts w:ascii="Times New Roman" w:hAnsi="Times New Roman"/>
                <w:sz w:val="20"/>
                <w:szCs w:val="20"/>
              </w:rPr>
            </w:pPr>
          </w:p>
          <w:p w:rsidR="009D2F13" w:rsidRPr="009D2F13" w:rsidRDefault="009D2F13" w:rsidP="009D2F13">
            <w:pPr>
              <w:rPr>
                <w:rFonts w:ascii="Times New Roman" w:hAnsi="Times New Roman"/>
                <w:i/>
                <w:sz w:val="20"/>
                <w:szCs w:val="20"/>
              </w:rPr>
            </w:pPr>
          </w:p>
        </w:tc>
      </w:tr>
      <w:tr w:rsidR="009D2F13" w:rsidRPr="009D2F13" w:rsidTr="009D2F13">
        <w:tc>
          <w:tcPr>
            <w:tcW w:w="9212" w:type="dxa"/>
            <w:shd w:val="clear" w:color="auto" w:fill="D9D9D9"/>
          </w:tcPr>
          <w:p w:rsidR="009D2F13" w:rsidRPr="009D2F13" w:rsidRDefault="009D2F13" w:rsidP="009D2F13">
            <w:pPr>
              <w:rPr>
                <w:rFonts w:ascii="Times New Roman" w:hAnsi="Times New Roman"/>
                <w:b/>
                <w:szCs w:val="20"/>
              </w:rPr>
            </w:pPr>
            <w:r w:rsidRPr="009D2F13">
              <w:rPr>
                <w:rFonts w:ascii="Times New Roman" w:hAnsi="Times New Roman"/>
                <w:b/>
                <w:szCs w:val="20"/>
              </w:rPr>
              <w:t>3.4 Konkurencieschopnosť a správanie sa podnikov na trhu</w:t>
            </w:r>
          </w:p>
          <w:p w:rsidR="009D2F13" w:rsidRPr="009D2F13" w:rsidRDefault="009D2F13" w:rsidP="009D2F13">
            <w:pPr>
              <w:rPr>
                <w:rFonts w:ascii="Times New Roman" w:hAnsi="Times New Roman"/>
                <w:sz w:val="20"/>
                <w:szCs w:val="20"/>
              </w:rPr>
            </w:pPr>
            <w:r w:rsidRPr="009D2F13">
              <w:rPr>
                <w:rFonts w:ascii="Times New Roman" w:hAnsi="Times New Roman"/>
                <w:b/>
                <w:szCs w:val="20"/>
              </w:rPr>
              <w:t xml:space="preserve">       </w:t>
            </w:r>
            <w:r w:rsidRPr="009D2F13">
              <w:rPr>
                <w:rFonts w:ascii="Times New Roman" w:hAnsi="Times New Roman"/>
                <w:szCs w:val="20"/>
              </w:rPr>
              <w:t xml:space="preserve">- </w:t>
            </w:r>
            <w:r w:rsidRPr="009D2F13">
              <w:rPr>
                <w:rFonts w:ascii="Times New Roman" w:hAnsi="Times New Roman"/>
                <w:b/>
                <w:szCs w:val="20"/>
              </w:rPr>
              <w:t>z toho MSP</w:t>
            </w:r>
          </w:p>
        </w:tc>
      </w:tr>
      <w:tr w:rsidR="009D2F13" w:rsidRPr="009D2F13" w:rsidTr="0096653D">
        <w:tc>
          <w:tcPr>
            <w:tcW w:w="9212" w:type="dxa"/>
          </w:tcPr>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9D2F13">
              <w:rPr>
                <w:rFonts w:ascii="Times New Roman" w:hAnsi="Times New Roman"/>
                <w:i/>
                <w:sz w:val="20"/>
                <w:szCs w:val="20"/>
              </w:rPr>
              <w:t>mikro</w:t>
            </w:r>
            <w:proofErr w:type="spellEnd"/>
            <w:r w:rsidRPr="009D2F13">
              <w:rPr>
                <w:rFonts w:ascii="Times New Roman" w:hAnsi="Times New Roman"/>
                <w:i/>
                <w:sz w:val="20"/>
                <w:szCs w:val="20"/>
              </w:rPr>
              <w:t>, malé a stredné podniky tzv. MSP)? Ak áno, popíšte.</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Ako ovplyvní cenu alebo dostupnosť základných zdrojov (suroviny, mechanizmy, pracovná sila, energie atď.)?</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Ovplyvňuje prístup k financiám? Ak áno, ako?</w:t>
            </w:r>
          </w:p>
        </w:tc>
      </w:tr>
      <w:tr w:rsidR="009D2F13" w:rsidRPr="009D2F13" w:rsidTr="0096653D">
        <w:trPr>
          <w:trHeight w:val="579"/>
        </w:trPr>
        <w:tc>
          <w:tcPr>
            <w:tcW w:w="9212" w:type="dxa"/>
          </w:tcPr>
          <w:p w:rsidR="009D2F13" w:rsidRPr="009D2F13" w:rsidRDefault="009D2F13" w:rsidP="009D2F13">
            <w:pPr>
              <w:rPr>
                <w:rFonts w:ascii="Times New Roman" w:hAnsi="Times New Roman"/>
                <w:sz w:val="20"/>
                <w:szCs w:val="20"/>
              </w:rPr>
            </w:pPr>
            <w:r w:rsidRPr="009D2F13">
              <w:rPr>
                <w:rFonts w:ascii="Times New Roman" w:hAnsi="Times New Roman"/>
                <w:sz w:val="20"/>
                <w:szCs w:val="20"/>
              </w:rPr>
              <w:t>Nepredpokladá sa vplyv navrhovanej zmeny na konkurencieschopnosť a správanie sa podnikov na trhu.</w:t>
            </w:r>
          </w:p>
        </w:tc>
      </w:tr>
      <w:tr w:rsidR="009D2F13" w:rsidRPr="009D2F13" w:rsidTr="009D2F13">
        <w:tc>
          <w:tcPr>
            <w:tcW w:w="9212" w:type="dxa"/>
            <w:shd w:val="clear" w:color="auto" w:fill="D9D9D9"/>
          </w:tcPr>
          <w:p w:rsidR="009D2F13" w:rsidRPr="009D2F13" w:rsidRDefault="009D2F13" w:rsidP="009D2F13">
            <w:pPr>
              <w:rPr>
                <w:rFonts w:ascii="Times New Roman" w:hAnsi="Times New Roman"/>
                <w:b/>
                <w:szCs w:val="20"/>
              </w:rPr>
            </w:pPr>
            <w:r w:rsidRPr="009D2F13">
              <w:rPr>
                <w:rFonts w:ascii="Times New Roman" w:hAnsi="Times New Roman"/>
                <w:b/>
                <w:szCs w:val="20"/>
              </w:rPr>
              <w:t xml:space="preserve">3.5 Inovácie </w:t>
            </w:r>
          </w:p>
          <w:p w:rsidR="009D2F13" w:rsidRPr="009D2F13" w:rsidRDefault="009D2F13" w:rsidP="009D2F13">
            <w:pPr>
              <w:rPr>
                <w:rFonts w:ascii="Times New Roman" w:hAnsi="Times New Roman"/>
                <w:b/>
                <w:sz w:val="20"/>
                <w:szCs w:val="20"/>
              </w:rPr>
            </w:pPr>
            <w:r w:rsidRPr="009D2F13">
              <w:rPr>
                <w:rFonts w:ascii="Times New Roman" w:hAnsi="Times New Roman"/>
                <w:szCs w:val="20"/>
              </w:rPr>
              <w:t xml:space="preserve">       - </w:t>
            </w:r>
            <w:r w:rsidRPr="009D2F13">
              <w:rPr>
                <w:rFonts w:ascii="Times New Roman" w:hAnsi="Times New Roman"/>
                <w:b/>
                <w:szCs w:val="20"/>
              </w:rPr>
              <w:t>z toho MSP</w:t>
            </w:r>
          </w:p>
        </w:tc>
      </w:tr>
      <w:tr w:rsidR="009D2F13" w:rsidRPr="009D2F13" w:rsidTr="0096653D">
        <w:tc>
          <w:tcPr>
            <w:tcW w:w="9212" w:type="dxa"/>
          </w:tcPr>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Uveďte, ako podporuje navrhovaná zmena inovácie.</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Zjednodušuje uvedenie alebo rozšírenie nových výrobných metód, technológií a výrobkov na trh?</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Uveďte, ako vplýva navrhovaná zmena na jednotlivé práva duševného vlastníctva (napr. patenty, ochranné známky, autorské práva, vlastníctvo know-how).</w:t>
            </w:r>
          </w:p>
          <w:p w:rsidR="009D2F13" w:rsidRPr="009D2F13" w:rsidRDefault="009D2F13" w:rsidP="009D2F13">
            <w:pPr>
              <w:rPr>
                <w:rFonts w:ascii="Times New Roman" w:hAnsi="Times New Roman"/>
                <w:i/>
                <w:sz w:val="20"/>
                <w:szCs w:val="20"/>
              </w:rPr>
            </w:pPr>
            <w:r w:rsidRPr="009D2F13">
              <w:rPr>
                <w:rFonts w:ascii="Times New Roman" w:hAnsi="Times New Roman"/>
                <w:i/>
                <w:sz w:val="20"/>
                <w:szCs w:val="20"/>
              </w:rPr>
              <w:t>Podporuje vyššiu efektivitu výroby/využívania zdrojov? Ak áno, ako?</w:t>
            </w:r>
          </w:p>
          <w:p w:rsidR="009D2F13" w:rsidRPr="009D2F13" w:rsidRDefault="009D2F13" w:rsidP="009D2F13">
            <w:pPr>
              <w:rPr>
                <w:rFonts w:ascii="Times New Roman" w:hAnsi="Times New Roman"/>
                <w:sz w:val="20"/>
                <w:szCs w:val="20"/>
              </w:rPr>
            </w:pPr>
            <w:r w:rsidRPr="009D2F13">
              <w:rPr>
                <w:rFonts w:ascii="Times New Roman" w:hAnsi="Times New Roman"/>
                <w:i/>
                <w:sz w:val="20"/>
                <w:szCs w:val="20"/>
              </w:rPr>
              <w:t>Vytvorí zmena nové pracovné miesta pre zamestnancov výskumu a vývoja v SR?</w:t>
            </w:r>
          </w:p>
        </w:tc>
      </w:tr>
      <w:tr w:rsidR="009D2F13" w:rsidRPr="009D2F13" w:rsidTr="0096653D">
        <w:trPr>
          <w:trHeight w:val="708"/>
        </w:trPr>
        <w:tc>
          <w:tcPr>
            <w:tcW w:w="9212" w:type="dxa"/>
          </w:tcPr>
          <w:p w:rsidR="009D2F13" w:rsidRPr="009D2F13" w:rsidRDefault="009D2F13" w:rsidP="009D2F13">
            <w:pPr>
              <w:rPr>
                <w:rFonts w:ascii="Times New Roman" w:hAnsi="Times New Roman"/>
                <w:i/>
                <w:sz w:val="20"/>
                <w:szCs w:val="20"/>
              </w:rPr>
            </w:pPr>
          </w:p>
          <w:p w:rsidR="009D2F13" w:rsidRPr="009D2F13" w:rsidRDefault="009D2F13" w:rsidP="009D2F13">
            <w:pPr>
              <w:rPr>
                <w:rFonts w:ascii="Times New Roman" w:hAnsi="Times New Roman"/>
                <w:sz w:val="20"/>
                <w:szCs w:val="20"/>
              </w:rPr>
            </w:pPr>
            <w:r w:rsidRPr="009D2F13">
              <w:rPr>
                <w:rFonts w:ascii="Times New Roman" w:hAnsi="Times New Roman"/>
                <w:sz w:val="20"/>
                <w:szCs w:val="20"/>
              </w:rPr>
              <w:t xml:space="preserve">Navrhovaná zmena nemá vplyv na inovácie. </w:t>
            </w:r>
          </w:p>
        </w:tc>
      </w:tr>
    </w:tbl>
    <w:p w:rsidR="009D2F13" w:rsidRPr="009D2F13" w:rsidRDefault="009D2F13" w:rsidP="009D2F13">
      <w:pPr>
        <w:rPr>
          <w:sz w:val="20"/>
          <w:szCs w:val="20"/>
        </w:rPr>
      </w:pPr>
    </w:p>
    <w:p w:rsidR="009D2F13" w:rsidRDefault="009D2F13">
      <w:pPr>
        <w:spacing w:after="200" w:line="276" w:lineRule="auto"/>
        <w:rPr>
          <w:bCs/>
          <w:sz w:val="20"/>
          <w:szCs w:val="20"/>
        </w:rPr>
      </w:pPr>
      <w:r>
        <w:rPr>
          <w:bCs/>
          <w:sz w:val="20"/>
          <w:szCs w:val="20"/>
        </w:rPr>
        <w:br w:type="page"/>
      </w:r>
      <w:bookmarkStart w:id="1" w:name="_GoBack"/>
      <w:bookmarkEnd w:id="1"/>
    </w:p>
    <w:tbl>
      <w:tblPr>
        <w:tblW w:w="97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1403"/>
      </w:tblGrid>
      <w:tr w:rsidR="009D2F13" w:rsidRPr="009D2F13" w:rsidTr="0096653D">
        <w:trPr>
          <w:trHeight w:val="20"/>
        </w:trPr>
        <w:tc>
          <w:tcPr>
            <w:tcW w:w="9782" w:type="dxa"/>
            <w:gridSpan w:val="6"/>
            <w:shd w:val="clear" w:color="auto" w:fill="BFBFBF"/>
            <w:vAlign w:val="center"/>
          </w:tcPr>
          <w:p w:rsidR="009D2F13" w:rsidRPr="009D2F13" w:rsidRDefault="009D2F13" w:rsidP="009D2F13">
            <w:pPr>
              <w:jc w:val="center"/>
              <w:rPr>
                <w:b/>
                <w:bCs/>
                <w:sz w:val="28"/>
                <w:szCs w:val="28"/>
              </w:rPr>
            </w:pPr>
            <w:r w:rsidRPr="009D2F13">
              <w:rPr>
                <w:b/>
                <w:bCs/>
                <w:sz w:val="28"/>
                <w:szCs w:val="28"/>
              </w:rPr>
              <w:lastRenderedPageBreak/>
              <w:t>Analýza vplyvov na informatizáciu spoločnosti</w:t>
            </w:r>
          </w:p>
          <w:p w:rsidR="009D2F13" w:rsidRPr="009D2F13" w:rsidRDefault="009D2F13" w:rsidP="009D2F13">
            <w:pPr>
              <w:jc w:val="center"/>
              <w:rPr>
                <w:b/>
                <w:i/>
                <w:iCs/>
                <w:sz w:val="2"/>
                <w:szCs w:val="22"/>
              </w:rPr>
            </w:pPr>
            <w:r w:rsidRPr="009D2F13">
              <w:rPr>
                <w:b/>
              </w:rPr>
              <w:t>Budovanie základných pilierov informatizácie</w:t>
            </w:r>
          </w:p>
        </w:tc>
      </w:tr>
      <w:tr w:rsidR="009D2F13" w:rsidRPr="009D2F13" w:rsidTr="0096653D">
        <w:trPr>
          <w:trHeight w:val="681"/>
        </w:trPr>
        <w:tc>
          <w:tcPr>
            <w:tcW w:w="3956" w:type="dxa"/>
            <w:shd w:val="clear" w:color="auto" w:fill="C0C0C0"/>
            <w:vAlign w:val="center"/>
          </w:tcPr>
          <w:p w:rsidR="009D2F13" w:rsidRPr="009D2F13" w:rsidRDefault="009D2F13" w:rsidP="009D2F13">
            <w:pPr>
              <w:jc w:val="center"/>
              <w:rPr>
                <w:b/>
                <w:szCs w:val="22"/>
              </w:rPr>
            </w:pPr>
            <w:r w:rsidRPr="009D2F13">
              <w:rPr>
                <w:b/>
                <w:szCs w:val="22"/>
              </w:rPr>
              <w:t>Obsah</w:t>
            </w:r>
          </w:p>
        </w:tc>
        <w:tc>
          <w:tcPr>
            <w:tcW w:w="1162" w:type="dxa"/>
            <w:shd w:val="clear" w:color="auto" w:fill="C0C0C0"/>
            <w:vAlign w:val="center"/>
          </w:tcPr>
          <w:p w:rsidR="009D2F13" w:rsidRPr="009D2F13" w:rsidRDefault="009D2F13" w:rsidP="009D2F13">
            <w:pPr>
              <w:jc w:val="center"/>
              <w:rPr>
                <w:b/>
                <w:szCs w:val="22"/>
              </w:rPr>
            </w:pPr>
            <w:r w:rsidRPr="009D2F13">
              <w:rPr>
                <w:b/>
                <w:szCs w:val="22"/>
              </w:rPr>
              <w:t>A – nová služba</w:t>
            </w:r>
          </w:p>
          <w:p w:rsidR="009D2F13" w:rsidRPr="009D2F13" w:rsidRDefault="009D2F13" w:rsidP="009D2F13">
            <w:pPr>
              <w:jc w:val="center"/>
              <w:rPr>
                <w:i/>
                <w:iCs/>
                <w:szCs w:val="22"/>
              </w:rPr>
            </w:pPr>
            <w:r w:rsidRPr="009D2F13">
              <w:rPr>
                <w:b/>
                <w:szCs w:val="22"/>
              </w:rPr>
              <w:t>B – zmena služby</w:t>
            </w:r>
          </w:p>
        </w:tc>
        <w:tc>
          <w:tcPr>
            <w:tcW w:w="1560" w:type="dxa"/>
            <w:shd w:val="clear" w:color="auto" w:fill="C0C0C0"/>
            <w:vAlign w:val="center"/>
          </w:tcPr>
          <w:p w:rsidR="009D2F13" w:rsidRPr="009D2F13" w:rsidRDefault="009D2F13" w:rsidP="009D2F13">
            <w:pPr>
              <w:jc w:val="center"/>
              <w:rPr>
                <w:i/>
                <w:iCs/>
                <w:szCs w:val="22"/>
              </w:rPr>
            </w:pPr>
          </w:p>
          <w:p w:rsidR="009D2F13" w:rsidRPr="009D2F13" w:rsidRDefault="009D2F13" w:rsidP="009D2F13">
            <w:pPr>
              <w:spacing w:after="200"/>
              <w:jc w:val="center"/>
              <w:rPr>
                <w:szCs w:val="22"/>
              </w:rPr>
            </w:pPr>
            <w:r w:rsidRPr="009D2F13">
              <w:rPr>
                <w:b/>
                <w:szCs w:val="22"/>
              </w:rPr>
              <w:t>Kód služby</w:t>
            </w:r>
          </w:p>
        </w:tc>
        <w:tc>
          <w:tcPr>
            <w:tcW w:w="1701" w:type="dxa"/>
            <w:gridSpan w:val="2"/>
            <w:shd w:val="clear" w:color="auto" w:fill="C0C0C0"/>
            <w:vAlign w:val="center"/>
          </w:tcPr>
          <w:p w:rsidR="009D2F13" w:rsidRPr="009D2F13" w:rsidRDefault="009D2F13" w:rsidP="009D2F13">
            <w:pPr>
              <w:jc w:val="center"/>
              <w:rPr>
                <w:b/>
                <w:szCs w:val="22"/>
              </w:rPr>
            </w:pPr>
          </w:p>
          <w:p w:rsidR="009D2F13" w:rsidRPr="009D2F13" w:rsidRDefault="009D2F13" w:rsidP="009D2F13">
            <w:pPr>
              <w:jc w:val="center"/>
              <w:rPr>
                <w:i/>
                <w:iCs/>
                <w:szCs w:val="22"/>
              </w:rPr>
            </w:pPr>
            <w:r w:rsidRPr="009D2F13">
              <w:rPr>
                <w:b/>
                <w:szCs w:val="22"/>
              </w:rPr>
              <w:t>Názov služby</w:t>
            </w:r>
          </w:p>
        </w:tc>
        <w:tc>
          <w:tcPr>
            <w:tcW w:w="1403" w:type="dxa"/>
            <w:shd w:val="clear" w:color="auto" w:fill="C0C0C0"/>
            <w:vAlign w:val="center"/>
          </w:tcPr>
          <w:p w:rsidR="009D2F13" w:rsidRPr="009D2F13" w:rsidRDefault="009D2F13" w:rsidP="009D2F13">
            <w:pPr>
              <w:jc w:val="center"/>
              <w:rPr>
                <w:b/>
                <w:szCs w:val="22"/>
              </w:rPr>
            </w:pPr>
            <w:r w:rsidRPr="009D2F13">
              <w:rPr>
                <w:b/>
                <w:szCs w:val="22"/>
              </w:rPr>
              <w:t>Úroveň elektronizácie služby</w:t>
            </w:r>
          </w:p>
          <w:p w:rsidR="009D2F13" w:rsidRPr="009D2F13" w:rsidRDefault="009D2F13" w:rsidP="009D2F13">
            <w:pPr>
              <w:jc w:val="center"/>
              <w:rPr>
                <w:i/>
                <w:iCs/>
                <w:szCs w:val="22"/>
              </w:rPr>
            </w:pPr>
            <w:r w:rsidRPr="009D2F13">
              <w:rPr>
                <w:b/>
                <w:szCs w:val="22"/>
              </w:rPr>
              <w:t>(0 až 5)</w:t>
            </w:r>
          </w:p>
        </w:tc>
      </w:tr>
      <w:tr w:rsidR="009D2F13" w:rsidRPr="009D2F13" w:rsidTr="0096653D">
        <w:trPr>
          <w:trHeight w:val="20"/>
        </w:trPr>
        <w:tc>
          <w:tcPr>
            <w:tcW w:w="3956" w:type="dxa"/>
          </w:tcPr>
          <w:p w:rsidR="009D2F13" w:rsidRPr="009D2F13" w:rsidRDefault="009D2F13" w:rsidP="009D2F13">
            <w:pPr>
              <w:jc w:val="both"/>
              <w:rPr>
                <w:sz w:val="20"/>
                <w:szCs w:val="22"/>
              </w:rPr>
            </w:pPr>
            <w:r w:rsidRPr="009D2F13">
              <w:rPr>
                <w:b/>
                <w:sz w:val="20"/>
                <w:szCs w:val="22"/>
              </w:rPr>
              <w:t>6.1.</w:t>
            </w:r>
            <w:r w:rsidRPr="009D2F13">
              <w:rPr>
                <w:sz w:val="20"/>
                <w:szCs w:val="22"/>
              </w:rPr>
              <w:t xml:space="preserve"> Predpokladá predložený návrh zmenu existujúcich elektronických služieb verejnej správy alebo vytvorenie nových služieb?</w:t>
            </w:r>
          </w:p>
          <w:p w:rsidR="009D2F13" w:rsidRPr="009D2F13" w:rsidRDefault="009D2F13" w:rsidP="009D2F13">
            <w:pPr>
              <w:spacing w:line="20" w:lineRule="atLeast"/>
              <w:jc w:val="both"/>
              <w:rPr>
                <w:b/>
                <w:sz w:val="22"/>
                <w:szCs w:val="22"/>
              </w:rPr>
            </w:pPr>
            <w:r w:rsidRPr="009D2F13">
              <w:rPr>
                <w:i/>
                <w:iCs/>
                <w:sz w:val="20"/>
                <w:szCs w:val="22"/>
              </w:rPr>
              <w:t xml:space="preserve">(Ak áno, uveďte zmenu služby alebo vytvorenie novej služby, ďalej  jej kód, názov a úroveň elektronizácie podľa katalógu </w:t>
            </w:r>
            <w:proofErr w:type="spellStart"/>
            <w:r w:rsidRPr="009D2F13">
              <w:rPr>
                <w:i/>
                <w:iCs/>
                <w:sz w:val="20"/>
                <w:szCs w:val="22"/>
              </w:rPr>
              <w:t>eGovernment</w:t>
            </w:r>
            <w:proofErr w:type="spellEnd"/>
            <w:r w:rsidRPr="009D2F13">
              <w:rPr>
                <w:i/>
                <w:iCs/>
                <w:sz w:val="20"/>
                <w:szCs w:val="22"/>
              </w:rPr>
              <w:t xml:space="preserve"> služieb, ktorý je vedený v centrálnom </w:t>
            </w:r>
            <w:proofErr w:type="spellStart"/>
            <w:r w:rsidRPr="009D2F13">
              <w:rPr>
                <w:i/>
                <w:iCs/>
                <w:sz w:val="20"/>
                <w:szCs w:val="22"/>
              </w:rPr>
              <w:t>metainformačnom</w:t>
            </w:r>
            <w:proofErr w:type="spellEnd"/>
            <w:r w:rsidRPr="009D2F13">
              <w:rPr>
                <w:i/>
                <w:iCs/>
                <w:sz w:val="20"/>
                <w:szCs w:val="22"/>
              </w:rPr>
              <w:t xml:space="preserve"> systéme verejnej správy.)</w:t>
            </w:r>
            <w:r w:rsidRPr="009D2F13">
              <w:rPr>
                <w:sz w:val="20"/>
                <w:szCs w:val="22"/>
              </w:rPr>
              <w:t xml:space="preserve"> </w:t>
            </w:r>
          </w:p>
        </w:tc>
        <w:tc>
          <w:tcPr>
            <w:tcW w:w="1162" w:type="dxa"/>
          </w:tcPr>
          <w:p w:rsidR="009D2F13" w:rsidRPr="009D2F13" w:rsidRDefault="009D2F13" w:rsidP="009D2F13">
            <w:pPr>
              <w:jc w:val="center"/>
              <w:rPr>
                <w:b/>
                <w:sz w:val="22"/>
                <w:szCs w:val="22"/>
              </w:rPr>
            </w:pPr>
            <w:r w:rsidRPr="009D2F13">
              <w:rPr>
                <w:b/>
                <w:sz w:val="22"/>
                <w:szCs w:val="22"/>
              </w:rPr>
              <w:t>A - nová služba</w:t>
            </w:r>
          </w:p>
        </w:tc>
        <w:tc>
          <w:tcPr>
            <w:tcW w:w="1560" w:type="dxa"/>
          </w:tcPr>
          <w:p w:rsidR="009D2F13" w:rsidRPr="009D2F13" w:rsidRDefault="009D2F13" w:rsidP="009D2F13">
            <w:pPr>
              <w:jc w:val="center"/>
              <w:rPr>
                <w:sz w:val="22"/>
                <w:szCs w:val="22"/>
              </w:rPr>
            </w:pPr>
            <w:r w:rsidRPr="009D2F13">
              <w:rPr>
                <w:sz w:val="22"/>
                <w:szCs w:val="22"/>
              </w:rPr>
              <w:t>ks_337032</w:t>
            </w:r>
          </w:p>
          <w:p w:rsidR="009D2F13" w:rsidRPr="009D2F13" w:rsidRDefault="009D2F13" w:rsidP="009D2F13">
            <w:pPr>
              <w:jc w:val="center"/>
              <w:rPr>
                <w:sz w:val="22"/>
                <w:szCs w:val="22"/>
              </w:rPr>
            </w:pPr>
            <w:r w:rsidRPr="009D2F13">
              <w:rPr>
                <w:sz w:val="22"/>
                <w:szCs w:val="22"/>
              </w:rPr>
              <w:t>as_58667</w:t>
            </w:r>
          </w:p>
          <w:p w:rsidR="009D2F13" w:rsidRPr="009D2F13" w:rsidRDefault="009D2F13" w:rsidP="009D2F13">
            <w:pPr>
              <w:jc w:val="center"/>
              <w:rPr>
                <w:sz w:val="22"/>
                <w:szCs w:val="22"/>
              </w:rPr>
            </w:pPr>
          </w:p>
          <w:p w:rsidR="009D2F13" w:rsidRPr="009D2F13" w:rsidRDefault="009D2F13" w:rsidP="009D2F13">
            <w:pPr>
              <w:jc w:val="center"/>
              <w:rPr>
                <w:sz w:val="22"/>
                <w:szCs w:val="22"/>
              </w:rPr>
            </w:pPr>
          </w:p>
          <w:p w:rsidR="009D2F13" w:rsidRPr="009D2F13" w:rsidRDefault="009D2F13" w:rsidP="009D2F13">
            <w:pPr>
              <w:jc w:val="center"/>
              <w:rPr>
                <w:sz w:val="22"/>
                <w:szCs w:val="22"/>
              </w:rPr>
            </w:pPr>
          </w:p>
          <w:p w:rsidR="009D2F13" w:rsidRPr="009D2F13" w:rsidRDefault="009D2F13" w:rsidP="009D2F13">
            <w:pPr>
              <w:jc w:val="center"/>
              <w:rPr>
                <w:sz w:val="22"/>
                <w:szCs w:val="22"/>
              </w:rPr>
            </w:pPr>
            <w:r w:rsidRPr="009D2F13">
              <w:rPr>
                <w:sz w:val="22"/>
                <w:szCs w:val="22"/>
              </w:rPr>
              <w:t>ks_337033</w:t>
            </w:r>
          </w:p>
          <w:p w:rsidR="009D2F13" w:rsidRPr="009D2F13" w:rsidRDefault="009D2F13" w:rsidP="009D2F13">
            <w:pPr>
              <w:jc w:val="center"/>
              <w:rPr>
                <w:sz w:val="22"/>
                <w:szCs w:val="22"/>
              </w:rPr>
            </w:pPr>
            <w:r w:rsidRPr="009D2F13">
              <w:rPr>
                <w:sz w:val="22"/>
                <w:szCs w:val="22"/>
              </w:rPr>
              <w:t>as_58667</w:t>
            </w:r>
          </w:p>
          <w:p w:rsidR="009D2F13" w:rsidRPr="009D2F13" w:rsidRDefault="009D2F13" w:rsidP="009D2F13">
            <w:pPr>
              <w:jc w:val="center"/>
              <w:rPr>
                <w:sz w:val="22"/>
                <w:szCs w:val="22"/>
              </w:rPr>
            </w:pPr>
            <w:r w:rsidRPr="009D2F13">
              <w:rPr>
                <w:sz w:val="22"/>
                <w:szCs w:val="22"/>
              </w:rPr>
              <w:t>as_58666</w:t>
            </w:r>
          </w:p>
        </w:tc>
        <w:tc>
          <w:tcPr>
            <w:tcW w:w="1701" w:type="dxa"/>
            <w:gridSpan w:val="2"/>
          </w:tcPr>
          <w:p w:rsidR="009D2F13" w:rsidRPr="009D2F13" w:rsidRDefault="009D2F13" w:rsidP="009D2F13">
            <w:pPr>
              <w:jc w:val="both"/>
            </w:pPr>
            <w:r w:rsidRPr="009D2F13">
              <w:t>Vedenie evidencie pre zbrojnú licenciu</w:t>
            </w:r>
          </w:p>
          <w:p w:rsidR="009D2F13" w:rsidRPr="009D2F13" w:rsidRDefault="009D2F13" w:rsidP="009D2F13">
            <w:pPr>
              <w:jc w:val="both"/>
            </w:pPr>
          </w:p>
          <w:p w:rsidR="009D2F13" w:rsidRPr="009D2F13" w:rsidRDefault="009D2F13" w:rsidP="009D2F13">
            <w:pPr>
              <w:jc w:val="both"/>
            </w:pPr>
          </w:p>
          <w:p w:rsidR="009D2F13" w:rsidRPr="009D2F13" w:rsidRDefault="009D2F13" w:rsidP="009D2F13">
            <w:pPr>
              <w:jc w:val="both"/>
              <w:rPr>
                <w:sz w:val="22"/>
                <w:szCs w:val="22"/>
              </w:rPr>
            </w:pPr>
            <w:r w:rsidRPr="009D2F13">
              <w:rPr>
                <w:sz w:val="22"/>
                <w:szCs w:val="22"/>
              </w:rPr>
              <w:t>Žiadosť o zápis do informačného systému zbraní, streliva a strelníc</w:t>
            </w:r>
          </w:p>
        </w:tc>
        <w:tc>
          <w:tcPr>
            <w:tcW w:w="1403" w:type="dxa"/>
          </w:tcPr>
          <w:p w:rsidR="009D2F13" w:rsidRPr="009D2F13" w:rsidRDefault="009D2F13" w:rsidP="009D2F13">
            <w:pPr>
              <w:rPr>
                <w:b/>
                <w:i/>
                <w:sz w:val="22"/>
                <w:szCs w:val="22"/>
              </w:rPr>
            </w:pPr>
          </w:p>
          <w:p w:rsidR="009D2F13" w:rsidRPr="009D2F13" w:rsidRDefault="009D2F13" w:rsidP="009D2F13">
            <w:pPr>
              <w:jc w:val="center"/>
              <w:rPr>
                <w:b/>
                <w:sz w:val="22"/>
                <w:szCs w:val="22"/>
              </w:rPr>
            </w:pPr>
          </w:p>
          <w:p w:rsidR="009D2F13" w:rsidRPr="009D2F13" w:rsidRDefault="009D2F13" w:rsidP="009D2F13">
            <w:pPr>
              <w:jc w:val="center"/>
              <w:rPr>
                <w:b/>
                <w:sz w:val="22"/>
                <w:szCs w:val="22"/>
              </w:rPr>
            </w:pPr>
            <w:r w:rsidRPr="009D2F13">
              <w:rPr>
                <w:b/>
                <w:sz w:val="22"/>
                <w:szCs w:val="22"/>
              </w:rPr>
              <w:t>3</w:t>
            </w:r>
          </w:p>
          <w:p w:rsidR="009D2F13" w:rsidRPr="009D2F13" w:rsidRDefault="009D2F13" w:rsidP="009D2F13">
            <w:pPr>
              <w:jc w:val="center"/>
              <w:rPr>
                <w:b/>
                <w:sz w:val="22"/>
                <w:szCs w:val="22"/>
              </w:rPr>
            </w:pPr>
            <w:r w:rsidRPr="009D2F13">
              <w:rPr>
                <w:b/>
                <w:sz w:val="22"/>
                <w:szCs w:val="22"/>
              </w:rPr>
              <w:t>pre všetky služby</w:t>
            </w:r>
          </w:p>
        </w:tc>
      </w:tr>
      <w:tr w:rsidR="009D2F13" w:rsidRPr="009D2F13" w:rsidTr="0096653D">
        <w:trPr>
          <w:trHeight w:val="20"/>
        </w:trPr>
        <w:tc>
          <w:tcPr>
            <w:tcW w:w="3956" w:type="dxa"/>
            <w:shd w:val="clear" w:color="auto" w:fill="C0C0C0"/>
            <w:vAlign w:val="center"/>
          </w:tcPr>
          <w:p w:rsidR="009D2F13" w:rsidRPr="009D2F13" w:rsidRDefault="009D2F13" w:rsidP="009D2F13">
            <w:pPr>
              <w:jc w:val="center"/>
              <w:rPr>
                <w:b/>
                <w:szCs w:val="22"/>
              </w:rPr>
            </w:pPr>
            <w:r w:rsidRPr="009D2F13">
              <w:rPr>
                <w:b/>
                <w:szCs w:val="22"/>
              </w:rPr>
              <w:t>Infraštruktúra</w:t>
            </w:r>
          </w:p>
        </w:tc>
        <w:tc>
          <w:tcPr>
            <w:tcW w:w="1162" w:type="dxa"/>
            <w:shd w:val="clear" w:color="auto" w:fill="C0C0C0"/>
            <w:vAlign w:val="center"/>
          </w:tcPr>
          <w:p w:rsidR="009D2F13" w:rsidRPr="009D2F13" w:rsidRDefault="009D2F13" w:rsidP="009D2F13">
            <w:pPr>
              <w:jc w:val="center"/>
              <w:rPr>
                <w:b/>
                <w:szCs w:val="22"/>
              </w:rPr>
            </w:pPr>
            <w:r w:rsidRPr="009D2F13">
              <w:rPr>
                <w:b/>
                <w:szCs w:val="22"/>
              </w:rPr>
              <w:t>A – nový systém</w:t>
            </w:r>
          </w:p>
          <w:p w:rsidR="009D2F13" w:rsidRPr="009D2F13" w:rsidRDefault="009D2F13" w:rsidP="009D2F13">
            <w:pPr>
              <w:jc w:val="center"/>
              <w:rPr>
                <w:b/>
                <w:szCs w:val="22"/>
              </w:rPr>
            </w:pPr>
            <w:r w:rsidRPr="009D2F13">
              <w:rPr>
                <w:b/>
                <w:szCs w:val="22"/>
              </w:rPr>
              <w:t>B – zmena systému</w:t>
            </w:r>
          </w:p>
        </w:tc>
        <w:tc>
          <w:tcPr>
            <w:tcW w:w="1560" w:type="dxa"/>
            <w:shd w:val="clear" w:color="auto" w:fill="C0C0C0"/>
            <w:vAlign w:val="center"/>
          </w:tcPr>
          <w:p w:rsidR="009D2F13" w:rsidRPr="009D2F13" w:rsidRDefault="009D2F13" w:rsidP="009D2F13">
            <w:pPr>
              <w:jc w:val="center"/>
              <w:rPr>
                <w:b/>
                <w:szCs w:val="22"/>
              </w:rPr>
            </w:pPr>
            <w:r w:rsidRPr="009D2F13">
              <w:rPr>
                <w:b/>
                <w:szCs w:val="22"/>
              </w:rPr>
              <w:t>Kód systému</w:t>
            </w:r>
          </w:p>
        </w:tc>
        <w:tc>
          <w:tcPr>
            <w:tcW w:w="3104" w:type="dxa"/>
            <w:gridSpan w:val="3"/>
            <w:shd w:val="clear" w:color="auto" w:fill="C0C0C0"/>
            <w:vAlign w:val="center"/>
          </w:tcPr>
          <w:p w:rsidR="009D2F13" w:rsidRPr="009D2F13" w:rsidRDefault="009D2F13" w:rsidP="009D2F13">
            <w:pPr>
              <w:jc w:val="center"/>
              <w:rPr>
                <w:b/>
              </w:rPr>
            </w:pPr>
            <w:r w:rsidRPr="009D2F13">
              <w:rPr>
                <w:b/>
                <w:szCs w:val="22"/>
              </w:rPr>
              <w:t>Názov systému</w:t>
            </w:r>
          </w:p>
        </w:tc>
      </w:tr>
      <w:tr w:rsidR="009D2F13" w:rsidRPr="009D2F13" w:rsidTr="0096653D">
        <w:trPr>
          <w:trHeight w:val="20"/>
        </w:trPr>
        <w:tc>
          <w:tcPr>
            <w:tcW w:w="3956" w:type="dxa"/>
          </w:tcPr>
          <w:p w:rsidR="009D2F13" w:rsidRPr="009D2F13" w:rsidRDefault="009D2F13" w:rsidP="009D2F13">
            <w:pPr>
              <w:jc w:val="both"/>
              <w:rPr>
                <w:sz w:val="20"/>
                <w:szCs w:val="20"/>
              </w:rPr>
            </w:pPr>
            <w:r w:rsidRPr="009D2F13">
              <w:rPr>
                <w:b/>
                <w:sz w:val="20"/>
                <w:szCs w:val="20"/>
              </w:rPr>
              <w:t>6.2.</w:t>
            </w:r>
            <w:r w:rsidRPr="009D2F13">
              <w:rPr>
                <w:sz w:val="20"/>
                <w:szCs w:val="20"/>
              </w:rPr>
              <w:t xml:space="preserve"> Predpokladá predložený návrh zmenu existujúceho alebo vytvorenie nového informačného systému verejnej správy?</w:t>
            </w:r>
          </w:p>
          <w:p w:rsidR="009D2F13" w:rsidRPr="009D2F13" w:rsidRDefault="009D2F13" w:rsidP="009D2F13">
            <w:pPr>
              <w:spacing w:line="20" w:lineRule="atLeast"/>
              <w:jc w:val="both"/>
            </w:pPr>
            <w:r w:rsidRPr="009D2F13">
              <w:rPr>
                <w:i/>
                <w:iCs/>
                <w:sz w:val="20"/>
                <w:szCs w:val="20"/>
              </w:rPr>
              <w:t xml:space="preserve">(Ak áno, uveďte zmenu systému alebo vytvorenie nového systému, ďalej jeho kód a názov z centrálneho </w:t>
            </w:r>
            <w:proofErr w:type="spellStart"/>
            <w:r w:rsidRPr="009D2F13">
              <w:rPr>
                <w:i/>
                <w:iCs/>
                <w:sz w:val="20"/>
                <w:szCs w:val="20"/>
              </w:rPr>
              <w:t>metainformačného</w:t>
            </w:r>
            <w:proofErr w:type="spellEnd"/>
            <w:r w:rsidRPr="009D2F13">
              <w:rPr>
                <w:i/>
                <w:iCs/>
                <w:sz w:val="20"/>
                <w:szCs w:val="20"/>
              </w:rPr>
              <w:t xml:space="preserve"> systému verejnej správy.)</w:t>
            </w:r>
          </w:p>
        </w:tc>
        <w:tc>
          <w:tcPr>
            <w:tcW w:w="1162" w:type="dxa"/>
          </w:tcPr>
          <w:p w:rsidR="009D2F13" w:rsidRPr="009D2F13" w:rsidRDefault="009D2F13" w:rsidP="009D2F13">
            <w:pPr>
              <w:rPr>
                <w:b/>
                <w:iCs/>
              </w:rPr>
            </w:pPr>
            <w:r w:rsidRPr="009D2F13">
              <w:rPr>
                <w:b/>
                <w:iCs/>
              </w:rPr>
              <w:t>B - zmena systému</w:t>
            </w:r>
          </w:p>
        </w:tc>
        <w:tc>
          <w:tcPr>
            <w:tcW w:w="1560" w:type="dxa"/>
          </w:tcPr>
          <w:p w:rsidR="009D2F13" w:rsidRPr="009D2F13" w:rsidRDefault="009D2F13" w:rsidP="009D2F13">
            <w:pPr>
              <w:jc w:val="center"/>
              <w:rPr>
                <w:i/>
                <w:iCs/>
              </w:rPr>
            </w:pPr>
            <w:r w:rsidRPr="009D2F13">
              <w:rPr>
                <w:sz w:val="22"/>
                <w:szCs w:val="22"/>
              </w:rPr>
              <w:t>isvs_179</w:t>
            </w:r>
          </w:p>
        </w:tc>
        <w:tc>
          <w:tcPr>
            <w:tcW w:w="3104" w:type="dxa"/>
            <w:gridSpan w:val="3"/>
          </w:tcPr>
          <w:p w:rsidR="009D2F13" w:rsidRPr="009D2F13" w:rsidRDefault="009D2F13" w:rsidP="009D2F13">
            <w:pPr>
              <w:rPr>
                <w:iCs/>
              </w:rPr>
            </w:pPr>
            <w:r w:rsidRPr="009D2F13">
              <w:rPr>
                <w:iCs/>
              </w:rPr>
              <w:t>Informačný systém zbraní, streliva a strelníc</w:t>
            </w:r>
          </w:p>
        </w:tc>
      </w:tr>
      <w:tr w:rsidR="009D2F13" w:rsidRPr="009D2F13" w:rsidTr="0096653D">
        <w:trPr>
          <w:trHeight w:val="20"/>
        </w:trPr>
        <w:tc>
          <w:tcPr>
            <w:tcW w:w="3956" w:type="dxa"/>
            <w:shd w:val="clear" w:color="auto" w:fill="BFBFBF"/>
            <w:vAlign w:val="center"/>
          </w:tcPr>
          <w:p w:rsidR="009D2F13" w:rsidRPr="009D2F13" w:rsidRDefault="009D2F13" w:rsidP="009D2F13">
            <w:pPr>
              <w:spacing w:line="20" w:lineRule="atLeast"/>
              <w:ind w:hanging="55"/>
              <w:jc w:val="center"/>
              <w:rPr>
                <w:b/>
                <w:szCs w:val="22"/>
              </w:rPr>
            </w:pPr>
            <w:r w:rsidRPr="009D2F13">
              <w:rPr>
                <w:b/>
                <w:szCs w:val="22"/>
              </w:rPr>
              <w:t>Financovanie procesu informatizácie</w:t>
            </w:r>
          </w:p>
        </w:tc>
        <w:tc>
          <w:tcPr>
            <w:tcW w:w="1162" w:type="dxa"/>
            <w:shd w:val="clear" w:color="auto" w:fill="BFBFBF"/>
            <w:vAlign w:val="center"/>
          </w:tcPr>
          <w:p w:rsidR="009D2F13" w:rsidRPr="009D2F13" w:rsidRDefault="009D2F13" w:rsidP="009D2F13">
            <w:pPr>
              <w:jc w:val="center"/>
              <w:rPr>
                <w:b/>
                <w:i/>
                <w:iCs/>
                <w:szCs w:val="22"/>
              </w:rPr>
            </w:pPr>
            <w:r w:rsidRPr="009D2F13">
              <w:rPr>
                <w:b/>
                <w:szCs w:val="22"/>
              </w:rPr>
              <w:t>Rezortná úroveň</w:t>
            </w:r>
          </w:p>
        </w:tc>
        <w:tc>
          <w:tcPr>
            <w:tcW w:w="2268" w:type="dxa"/>
            <w:gridSpan w:val="2"/>
            <w:shd w:val="clear" w:color="auto" w:fill="BFBFBF"/>
            <w:vAlign w:val="center"/>
          </w:tcPr>
          <w:p w:rsidR="009D2F13" w:rsidRPr="009D2F13" w:rsidRDefault="009D2F13" w:rsidP="009D2F13">
            <w:pPr>
              <w:jc w:val="center"/>
              <w:rPr>
                <w:b/>
                <w:i/>
                <w:iCs/>
                <w:szCs w:val="22"/>
              </w:rPr>
            </w:pPr>
            <w:r w:rsidRPr="009D2F13">
              <w:rPr>
                <w:b/>
                <w:szCs w:val="22"/>
              </w:rPr>
              <w:t>Nadrezortná úroveň</w:t>
            </w:r>
          </w:p>
          <w:p w:rsidR="009D2F13" w:rsidRPr="009D2F13" w:rsidRDefault="009D2F13" w:rsidP="009D2F13">
            <w:pPr>
              <w:jc w:val="center"/>
              <w:rPr>
                <w:b/>
                <w:szCs w:val="22"/>
              </w:rPr>
            </w:pPr>
          </w:p>
        </w:tc>
        <w:tc>
          <w:tcPr>
            <w:tcW w:w="2396" w:type="dxa"/>
            <w:gridSpan w:val="2"/>
            <w:shd w:val="clear" w:color="auto" w:fill="BFBFBF"/>
            <w:vAlign w:val="center"/>
          </w:tcPr>
          <w:p w:rsidR="009D2F13" w:rsidRPr="009D2F13" w:rsidRDefault="009D2F13" w:rsidP="009D2F13">
            <w:pPr>
              <w:rPr>
                <w:b/>
                <w:szCs w:val="22"/>
              </w:rPr>
            </w:pPr>
            <w:r w:rsidRPr="009D2F13">
              <w:rPr>
                <w:b/>
                <w:szCs w:val="22"/>
              </w:rPr>
              <w:t>A - z prostriedkov EÚ   B - z ďalších zdrojov financovania</w:t>
            </w:r>
          </w:p>
        </w:tc>
      </w:tr>
      <w:tr w:rsidR="009D2F13" w:rsidRPr="009D2F13" w:rsidTr="0096653D">
        <w:trPr>
          <w:trHeight w:val="20"/>
        </w:trPr>
        <w:tc>
          <w:tcPr>
            <w:tcW w:w="3956" w:type="dxa"/>
          </w:tcPr>
          <w:p w:rsidR="009D2F13" w:rsidRPr="009D2F13" w:rsidRDefault="009D2F13" w:rsidP="009D2F13">
            <w:pPr>
              <w:jc w:val="both"/>
              <w:rPr>
                <w:sz w:val="20"/>
                <w:szCs w:val="22"/>
              </w:rPr>
            </w:pPr>
            <w:r w:rsidRPr="009D2F13">
              <w:rPr>
                <w:b/>
                <w:sz w:val="20"/>
                <w:szCs w:val="22"/>
              </w:rPr>
              <w:t>6.3.</w:t>
            </w:r>
            <w:r w:rsidRPr="009D2F13">
              <w:rPr>
                <w:sz w:val="20"/>
                <w:szCs w:val="22"/>
              </w:rPr>
              <w:t xml:space="preserve"> Vyžaduje si proces informatizácie  finančné investície?</w:t>
            </w:r>
          </w:p>
          <w:p w:rsidR="009D2F13" w:rsidRPr="009D2F13" w:rsidRDefault="009D2F13" w:rsidP="009D2F13">
            <w:pPr>
              <w:spacing w:line="20" w:lineRule="atLeast"/>
              <w:jc w:val="both"/>
            </w:pPr>
            <w:r w:rsidRPr="009D2F13">
              <w:rPr>
                <w:i/>
                <w:iCs/>
                <w:sz w:val="20"/>
                <w:szCs w:val="22"/>
              </w:rPr>
              <w:t>(Uveďte príslušnú úroveň financovania a kvantifikáciu finančných výdavkov uveďte  v analýze vplyvov na rozpočet verejnej správy.)</w:t>
            </w:r>
          </w:p>
        </w:tc>
        <w:tc>
          <w:tcPr>
            <w:tcW w:w="1162" w:type="dxa"/>
          </w:tcPr>
          <w:p w:rsidR="009D2F13" w:rsidRPr="009D2F13" w:rsidRDefault="009D2F13" w:rsidP="009D2F13">
            <w:pPr>
              <w:jc w:val="center"/>
              <w:rPr>
                <w:b/>
                <w:iCs/>
              </w:rPr>
            </w:pPr>
            <w:r w:rsidRPr="009D2F13">
              <w:rPr>
                <w:b/>
                <w:iCs/>
              </w:rPr>
              <w:t>X</w:t>
            </w:r>
          </w:p>
        </w:tc>
        <w:tc>
          <w:tcPr>
            <w:tcW w:w="2268" w:type="dxa"/>
            <w:gridSpan w:val="2"/>
          </w:tcPr>
          <w:p w:rsidR="009D2F13" w:rsidRPr="009D2F13" w:rsidRDefault="009D2F13" w:rsidP="009D2F13">
            <w:pPr>
              <w:jc w:val="center"/>
              <w:rPr>
                <w:i/>
                <w:iCs/>
              </w:rPr>
            </w:pPr>
          </w:p>
        </w:tc>
        <w:tc>
          <w:tcPr>
            <w:tcW w:w="2396" w:type="dxa"/>
            <w:gridSpan w:val="2"/>
          </w:tcPr>
          <w:p w:rsidR="009D2F13" w:rsidRPr="009D2F13" w:rsidRDefault="009D2F13" w:rsidP="009D2F13">
            <w:pPr>
              <w:jc w:val="center"/>
              <w:rPr>
                <w:b/>
                <w:iCs/>
              </w:rPr>
            </w:pPr>
          </w:p>
        </w:tc>
      </w:tr>
    </w:tbl>
    <w:p w:rsidR="009D2F13" w:rsidRPr="009D2F13" w:rsidRDefault="009D2F13" w:rsidP="009D2F13">
      <w:pPr>
        <w:rPr>
          <w:b/>
          <w:bCs/>
        </w:rPr>
      </w:pPr>
    </w:p>
    <w:p w:rsidR="009D2F13" w:rsidRPr="009D2F13" w:rsidRDefault="009D2F13" w:rsidP="009D2F13">
      <w:pPr>
        <w:rPr>
          <w:b/>
          <w:bCs/>
        </w:rPr>
      </w:pPr>
    </w:p>
    <w:p w:rsidR="009D2F13" w:rsidRPr="009D2F13" w:rsidRDefault="009D2F13" w:rsidP="009D2F13">
      <w:pPr>
        <w:autoSpaceDE w:val="0"/>
        <w:autoSpaceDN w:val="0"/>
        <w:adjustRightInd w:val="0"/>
        <w:jc w:val="center"/>
        <w:rPr>
          <w:rFonts w:eastAsia="Calibri"/>
          <w:b/>
          <w:bCs/>
          <w:color w:val="000000"/>
          <w:sz w:val="28"/>
          <w:szCs w:val="28"/>
          <w:lang w:eastAsia="en-US"/>
        </w:rPr>
      </w:pPr>
    </w:p>
    <w:p w:rsidR="009D2F13" w:rsidRPr="009D2F13" w:rsidRDefault="009D2F13" w:rsidP="009D2F13">
      <w:pPr>
        <w:autoSpaceDE w:val="0"/>
        <w:autoSpaceDN w:val="0"/>
        <w:adjustRightInd w:val="0"/>
        <w:jc w:val="center"/>
        <w:rPr>
          <w:rFonts w:eastAsia="Calibri"/>
          <w:b/>
          <w:bCs/>
          <w:color w:val="000000"/>
          <w:sz w:val="28"/>
          <w:szCs w:val="28"/>
          <w:lang w:eastAsia="en-US"/>
        </w:rPr>
      </w:pPr>
    </w:p>
    <w:p w:rsidR="009D2F13" w:rsidRPr="009D2F13" w:rsidRDefault="009D2F13" w:rsidP="009D2F13">
      <w:pPr>
        <w:autoSpaceDE w:val="0"/>
        <w:autoSpaceDN w:val="0"/>
        <w:adjustRightInd w:val="0"/>
        <w:jc w:val="center"/>
        <w:rPr>
          <w:rFonts w:eastAsia="Calibri"/>
          <w:b/>
          <w:bCs/>
          <w:color w:val="000000"/>
          <w:sz w:val="28"/>
          <w:szCs w:val="28"/>
          <w:lang w:eastAsia="en-US"/>
        </w:rPr>
      </w:pPr>
    </w:p>
    <w:p w:rsidR="009D2F13" w:rsidRPr="009D2F13" w:rsidRDefault="009D2F13" w:rsidP="009D2F13">
      <w:pPr>
        <w:autoSpaceDE w:val="0"/>
        <w:autoSpaceDN w:val="0"/>
        <w:adjustRightInd w:val="0"/>
        <w:jc w:val="center"/>
        <w:rPr>
          <w:rFonts w:eastAsia="Calibri"/>
          <w:b/>
          <w:bCs/>
          <w:color w:val="000000"/>
          <w:sz w:val="28"/>
          <w:szCs w:val="28"/>
          <w:lang w:eastAsia="en-US"/>
        </w:rPr>
      </w:pPr>
    </w:p>
    <w:p w:rsidR="009D2F13" w:rsidRPr="009D2F13" w:rsidRDefault="009D2F13" w:rsidP="009D2F13">
      <w:pPr>
        <w:autoSpaceDE w:val="0"/>
        <w:autoSpaceDN w:val="0"/>
        <w:adjustRightInd w:val="0"/>
        <w:rPr>
          <w:rFonts w:eastAsia="Calibri"/>
          <w:b/>
          <w:bCs/>
          <w:color w:val="000000"/>
          <w:sz w:val="28"/>
          <w:szCs w:val="28"/>
          <w:lang w:eastAsia="en-US"/>
        </w:rPr>
      </w:pPr>
    </w:p>
    <w:p w:rsidR="009D2F13" w:rsidRDefault="009D2F13">
      <w:pPr>
        <w:spacing w:after="200" w:line="276" w:lineRule="auto"/>
        <w:rPr>
          <w:bCs/>
          <w:sz w:val="20"/>
          <w:szCs w:val="20"/>
        </w:rPr>
      </w:pPr>
      <w:r>
        <w:rPr>
          <w:bCs/>
          <w:sz w:val="20"/>
          <w:szCs w:val="20"/>
        </w:rPr>
        <w:br w:type="page"/>
      </w:r>
    </w:p>
    <w:p w:rsidR="009D2F13" w:rsidRPr="009D2F13" w:rsidRDefault="009D2F13" w:rsidP="009D2F13">
      <w:pPr>
        <w:widowControl w:val="0"/>
        <w:adjustRightInd w:val="0"/>
        <w:jc w:val="right"/>
        <w:textAlignment w:val="baseline"/>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D2F13" w:rsidRPr="009D2F13" w:rsidTr="0096653D">
        <w:trPr>
          <w:trHeight w:val="822"/>
        </w:trPr>
        <w:tc>
          <w:tcPr>
            <w:tcW w:w="9371" w:type="dxa"/>
            <w:shd w:val="clear" w:color="auto" w:fill="BFBFBF"/>
            <w:vAlign w:val="center"/>
          </w:tcPr>
          <w:p w:rsidR="009D2F13" w:rsidRPr="009D2F13" w:rsidRDefault="009D2F13" w:rsidP="009D2F13">
            <w:pPr>
              <w:widowControl w:val="0"/>
              <w:adjustRightInd w:val="0"/>
              <w:jc w:val="center"/>
              <w:textAlignment w:val="baseline"/>
              <w:rPr>
                <w:b/>
                <w:bCs/>
                <w:sz w:val="32"/>
                <w:szCs w:val="32"/>
              </w:rPr>
            </w:pPr>
            <w:r w:rsidRPr="009D2F13">
              <w:rPr>
                <w:b/>
                <w:bCs/>
                <w:sz w:val="32"/>
                <w:szCs w:val="32"/>
              </w:rPr>
              <w:t>Analýza vplyvov na služby verejnej správy pre občana</w:t>
            </w:r>
          </w:p>
          <w:p w:rsidR="009D2F13" w:rsidRPr="009D2F13" w:rsidRDefault="009D2F13" w:rsidP="009D2F13">
            <w:pPr>
              <w:widowControl w:val="0"/>
              <w:adjustRightInd w:val="0"/>
              <w:jc w:val="both"/>
              <w:textAlignment w:val="baseline"/>
              <w:rPr>
                <w:b/>
                <w:i/>
                <w:iCs/>
                <w:sz w:val="2"/>
                <w:szCs w:val="22"/>
              </w:rPr>
            </w:pPr>
          </w:p>
        </w:tc>
      </w:tr>
      <w:tr w:rsidR="009D2F13" w:rsidRPr="009D2F13" w:rsidTr="0096653D">
        <w:trPr>
          <w:trHeight w:val="367"/>
        </w:trPr>
        <w:tc>
          <w:tcPr>
            <w:tcW w:w="9371" w:type="dxa"/>
            <w:shd w:val="clear" w:color="auto" w:fill="C0C0C0"/>
            <w:vAlign w:val="center"/>
          </w:tcPr>
          <w:p w:rsidR="009D2F13" w:rsidRPr="009D2F13" w:rsidRDefault="009D2F13" w:rsidP="009D2F13">
            <w:pPr>
              <w:widowControl w:val="0"/>
              <w:adjustRightInd w:val="0"/>
              <w:jc w:val="center"/>
              <w:textAlignment w:val="baseline"/>
              <w:rPr>
                <w:b/>
                <w:sz w:val="28"/>
                <w:szCs w:val="28"/>
              </w:rPr>
            </w:pPr>
            <w:r w:rsidRPr="009D2F13">
              <w:rPr>
                <w:b/>
                <w:sz w:val="28"/>
                <w:szCs w:val="28"/>
              </w:rPr>
              <w:t xml:space="preserve">7.1 Identifikácia služby verejnej správy, ktorá je dotknutá návrhom </w:t>
            </w:r>
          </w:p>
        </w:tc>
      </w:tr>
      <w:tr w:rsidR="009D2F13" w:rsidRPr="009D2F13" w:rsidTr="0096653D">
        <w:trPr>
          <w:trHeight w:val="316"/>
        </w:trPr>
        <w:tc>
          <w:tcPr>
            <w:tcW w:w="9371" w:type="dxa"/>
          </w:tcPr>
          <w:p w:rsidR="009D2F13" w:rsidRPr="009D2F13" w:rsidRDefault="009D2F13" w:rsidP="009D2F13">
            <w:pPr>
              <w:widowControl w:val="0"/>
              <w:adjustRightInd w:val="0"/>
              <w:jc w:val="both"/>
              <w:textAlignment w:val="baseline"/>
              <w:rPr>
                <w:b/>
                <w:i/>
              </w:rPr>
            </w:pPr>
            <w:r w:rsidRPr="009D2F13">
              <w:rPr>
                <w:b/>
              </w:rPr>
              <w:t>7.1.1 Predpokladá predložený návrh zmenu existujúcej služby verejnej správy alebo vytvorenie novej služby?</w:t>
            </w:r>
            <w:r w:rsidRPr="009D2F13">
              <w:rPr>
                <w:i/>
              </w:rPr>
              <w:t xml:space="preserve"> </w:t>
            </w:r>
          </w:p>
        </w:tc>
      </w:tr>
      <w:tr w:rsidR="009D2F13" w:rsidRPr="009D2F13" w:rsidTr="0096653D">
        <w:trPr>
          <w:trHeight w:val="296"/>
        </w:trPr>
        <w:tc>
          <w:tcPr>
            <w:tcW w:w="9371" w:type="dxa"/>
          </w:tcPr>
          <w:p w:rsidR="009D2F13" w:rsidRPr="009D2F13" w:rsidRDefault="009D2F13" w:rsidP="009D2F13">
            <w:pPr>
              <w:widowControl w:val="0"/>
              <w:adjustRightInd w:val="0"/>
              <w:jc w:val="both"/>
              <w:textAlignment w:val="baseline"/>
              <w:rPr>
                <w:b/>
                <w:i/>
              </w:rPr>
            </w:pPr>
            <w:r w:rsidRPr="009D2F13">
              <w:rPr>
                <w:i/>
              </w:rPr>
              <w:t>Zmena existujúcej služby (konkretizujte a popíšte)</w:t>
            </w:r>
          </w:p>
        </w:tc>
      </w:tr>
      <w:tr w:rsidR="009D2F13" w:rsidRPr="009D2F13" w:rsidTr="0096653D">
        <w:trPr>
          <w:trHeight w:val="655"/>
        </w:trPr>
        <w:tc>
          <w:tcPr>
            <w:tcW w:w="9371" w:type="dxa"/>
          </w:tcPr>
          <w:p w:rsidR="009D2F13" w:rsidRPr="009D2F13" w:rsidRDefault="009D2F13" w:rsidP="009D2F13">
            <w:pPr>
              <w:widowControl w:val="0"/>
              <w:adjustRightInd w:val="0"/>
              <w:jc w:val="both"/>
              <w:textAlignment w:val="baseline"/>
              <w:rPr>
                <w:b/>
              </w:rPr>
            </w:pPr>
            <w:r w:rsidRPr="009D2F13">
              <w:rPr>
                <w:b/>
              </w:rPr>
              <w:t>Pozitívne vplyvy:</w:t>
            </w:r>
          </w:p>
          <w:p w:rsidR="009D2F13" w:rsidRPr="009D2F13" w:rsidRDefault="009D2F13" w:rsidP="009D2F13">
            <w:pPr>
              <w:widowControl w:val="0"/>
              <w:adjustRightInd w:val="0"/>
              <w:jc w:val="both"/>
              <w:textAlignment w:val="baseline"/>
            </w:pPr>
            <w:r w:rsidRPr="009D2F13">
              <w:t>Predložený návrh predpokladá zmeny existujúcich služieb verejnej správy:</w:t>
            </w:r>
          </w:p>
          <w:p w:rsidR="009D2F13" w:rsidRPr="009D2F13" w:rsidRDefault="009D2F13" w:rsidP="009D2F13">
            <w:pPr>
              <w:widowControl w:val="0"/>
              <w:adjustRightInd w:val="0"/>
              <w:jc w:val="both"/>
              <w:textAlignment w:val="baseline"/>
            </w:pPr>
            <w:bookmarkStart w:id="2" w:name="_Hlk494270458"/>
            <w:r w:rsidRPr="009D2F13">
              <w:rPr>
                <w:iCs/>
              </w:rPr>
              <w:t>Informačný systém zbraní, streliva a strelníc</w:t>
            </w:r>
            <w:r w:rsidRPr="009D2F13">
              <w:t xml:space="preserve"> (isvs_179) vytvorí jednotný metodický a procesný biznis model zabezpečenia výkonu pôvodnej agendy a integrácie na iné registre či ISVS (napr.: dohodnuté registre a komponenty </w:t>
            </w:r>
            <w:proofErr w:type="spellStart"/>
            <w:r w:rsidRPr="009D2F13">
              <w:t>eGovermentu</w:t>
            </w:r>
            <w:proofErr w:type="spellEnd"/>
            <w:r w:rsidRPr="009D2F13">
              <w:t>). Údaje v IS  budú mať postavenie zdrojových údajov. IS poskytne služby nasledujúcim skupinám používateľov:</w:t>
            </w:r>
          </w:p>
          <w:p w:rsidR="009D2F13" w:rsidRPr="009D2F13" w:rsidRDefault="009D2F13" w:rsidP="009D2F13">
            <w:pPr>
              <w:widowControl w:val="0"/>
              <w:adjustRightInd w:val="0"/>
              <w:jc w:val="both"/>
              <w:textAlignment w:val="baseline"/>
              <w:rPr>
                <w:rFonts w:ascii="Times" w:hAnsi="Times" w:cs="Times"/>
              </w:rPr>
            </w:pPr>
            <w:r w:rsidRPr="009D2F13">
              <w:rPr>
                <w:rFonts w:ascii="Times" w:hAnsi="Times" w:cs="Times"/>
              </w:rPr>
              <w:t>a) verejnosti - fyzické osoby, fyzické osoby - podnikatelia, právnické osoby,</w:t>
            </w:r>
          </w:p>
          <w:p w:rsidR="009D2F13" w:rsidRPr="009D2F13" w:rsidRDefault="009D2F13" w:rsidP="009D2F13">
            <w:pPr>
              <w:widowControl w:val="0"/>
              <w:adjustRightInd w:val="0"/>
              <w:jc w:val="both"/>
              <w:textAlignment w:val="baseline"/>
              <w:rPr>
                <w:rFonts w:ascii="Times" w:hAnsi="Times" w:cs="Times"/>
              </w:rPr>
            </w:pPr>
            <w:r w:rsidRPr="009D2F13">
              <w:rPr>
                <w:rFonts w:ascii="Times" w:hAnsi="Times" w:cs="Times"/>
              </w:rPr>
              <w:t>b) odbornej verejnosti - držiteľ zbrojného preukazu, držiteľ zbrojnej licencie (fyzická osoba- podnikateľ, právnická osoba), zodpovedná osoba držiteľa zbrojnej licencie, športová organizácia, ktorej členom je držiteľ zbrojného preukazu, posudzujúci lekár, klinický psychológ, prevádzkovateľ strelnice, správca strelnice, osoba autorizovaná na výkon kontroly zbraní, podnikateľ prepravujúci zbrane a strelivo so sídlom alebo miestom podnikania na území alebo mimo územia Slovenskej republiky, Slovenská poľovnícka komora, Ministerstvo školstva Slovenskej republiky (register športu).</w:t>
            </w:r>
          </w:p>
          <w:p w:rsidR="009D2F13" w:rsidRPr="009D2F13" w:rsidRDefault="009D2F13" w:rsidP="009D2F13">
            <w:pPr>
              <w:widowControl w:val="0"/>
              <w:adjustRightInd w:val="0"/>
              <w:jc w:val="both"/>
              <w:textAlignment w:val="baseline"/>
            </w:pPr>
            <w:r w:rsidRPr="009D2F13">
              <w:t>Služby pre verejnosť:</w:t>
            </w:r>
          </w:p>
          <w:p w:rsidR="009D2F13" w:rsidRPr="009D2F13" w:rsidRDefault="009D2F13" w:rsidP="009D2F13">
            <w:pPr>
              <w:widowControl w:val="0"/>
              <w:numPr>
                <w:ilvl w:val="0"/>
                <w:numId w:val="2"/>
              </w:numPr>
              <w:adjustRightInd w:val="0"/>
              <w:spacing w:line="360" w:lineRule="atLeast"/>
              <w:jc w:val="both"/>
              <w:textAlignment w:val="baseline"/>
            </w:pPr>
            <w:r w:rsidRPr="009D2F13">
              <w:t>Podávanie žiadostí, podnetov, oznámení cez prístupové miesta / komunikačné kanály (napr. ÚPVS).</w:t>
            </w:r>
          </w:p>
          <w:p w:rsidR="009D2F13" w:rsidRPr="009D2F13" w:rsidRDefault="009D2F13" w:rsidP="009D2F13">
            <w:pPr>
              <w:widowControl w:val="0"/>
              <w:numPr>
                <w:ilvl w:val="0"/>
                <w:numId w:val="2"/>
              </w:numPr>
              <w:adjustRightInd w:val="0"/>
              <w:spacing w:line="360" w:lineRule="atLeast"/>
              <w:jc w:val="both"/>
              <w:textAlignment w:val="baseline"/>
            </w:pPr>
            <w:r w:rsidRPr="009D2F13">
              <w:t>Zavedenie povinnosti a oprávnenia pre orgány verejnej moci získavať údaje z informačných systémov verejnej správy, pozitívny vplyv na zníženie nákladov spojených s vybavovaním dokumentov potrebných na vydanie jednotlivých dokladov.</w:t>
            </w:r>
          </w:p>
          <w:p w:rsidR="009D2F13" w:rsidRPr="009D2F13" w:rsidRDefault="009D2F13" w:rsidP="009D2F13">
            <w:pPr>
              <w:widowControl w:val="0"/>
              <w:numPr>
                <w:ilvl w:val="0"/>
                <w:numId w:val="2"/>
              </w:numPr>
              <w:adjustRightInd w:val="0"/>
              <w:spacing w:line="360" w:lineRule="atLeast"/>
              <w:jc w:val="both"/>
              <w:textAlignment w:val="baseline"/>
            </w:pPr>
            <w:r w:rsidRPr="009D2F13">
              <w:t>Notifikovanie o udalostiach a blížiacich sa termínoch v oblasti zbraní a streliva (napr. blížiaci sa koniec platnosti ZP, európskeho ZP, blížiaci sa koniec platnosti nákupného povolenia, zbrojných sprievodných listov, ktoré neboli využité).</w:t>
            </w:r>
          </w:p>
          <w:p w:rsidR="009D2F13" w:rsidRPr="009D2F13" w:rsidRDefault="009D2F13" w:rsidP="009D2F13">
            <w:pPr>
              <w:widowControl w:val="0"/>
              <w:adjustRightInd w:val="0"/>
              <w:jc w:val="both"/>
              <w:textAlignment w:val="baseline"/>
            </w:pPr>
            <w:r w:rsidRPr="009D2F13">
              <w:t>Publikovanie vybraných množín údajov vo forme verejne dostupných otvorených dát</w:t>
            </w:r>
            <w:bookmarkEnd w:id="2"/>
            <w:r w:rsidRPr="009D2F13">
              <w:t>.</w:t>
            </w:r>
          </w:p>
          <w:p w:rsidR="009D2F13" w:rsidRPr="009D2F13" w:rsidRDefault="009D2F13" w:rsidP="009D2F13">
            <w:pPr>
              <w:widowControl w:val="0"/>
              <w:adjustRightInd w:val="0"/>
              <w:jc w:val="both"/>
              <w:textAlignment w:val="baseline"/>
            </w:pPr>
          </w:p>
          <w:p w:rsidR="009D2F13" w:rsidRPr="009D2F13" w:rsidRDefault="009D2F13" w:rsidP="009D2F13">
            <w:pPr>
              <w:widowControl w:val="0"/>
              <w:adjustRightInd w:val="0"/>
              <w:jc w:val="both"/>
              <w:textAlignment w:val="baseline"/>
            </w:pPr>
            <w:r w:rsidRPr="009D2F13">
              <w:t xml:space="preserve">     V súvislosti so zmenou podmienok na vydanie zbrojného preukazu sa žiadateľovi znížia finančné výdavky. Na základe návrhu už žiadateľ nebude povinný k žiadosti prikladať úradne osvedčenú kópiu platného poľovného lístka alebo dokladu na započítanie skúšky, ale bude postačovať predloženie týchto dokladov. Žiadateľovi touto zmenou odpadnú náklady so zabezpečením osvedčenej kópie týchto dokladov.</w:t>
            </w:r>
          </w:p>
          <w:p w:rsidR="009D2F13" w:rsidRPr="009D2F13" w:rsidRDefault="009D2F13" w:rsidP="009D2F13">
            <w:pPr>
              <w:widowControl w:val="0"/>
              <w:adjustRightInd w:val="0"/>
              <w:jc w:val="both"/>
              <w:textAlignment w:val="baseline"/>
            </w:pPr>
          </w:p>
          <w:p w:rsidR="009D2F13" w:rsidRPr="009D2F13" w:rsidRDefault="009D2F13" w:rsidP="009D2F13">
            <w:pPr>
              <w:widowControl w:val="0"/>
              <w:adjustRightInd w:val="0"/>
              <w:jc w:val="both"/>
              <w:textAlignment w:val="baseline"/>
              <w:rPr>
                <w:b/>
              </w:rPr>
            </w:pPr>
            <w:r w:rsidRPr="009D2F13">
              <w:rPr>
                <w:b/>
              </w:rPr>
              <w:t>Negatívne vplyvy:</w:t>
            </w:r>
          </w:p>
          <w:p w:rsidR="009D2F13" w:rsidRPr="009D2F13" w:rsidRDefault="009D2F13" w:rsidP="009D2F13">
            <w:pPr>
              <w:widowControl w:val="0"/>
              <w:adjustRightInd w:val="0"/>
              <w:jc w:val="both"/>
              <w:textAlignment w:val="baseline"/>
            </w:pPr>
            <w:r w:rsidRPr="009D2F13">
              <w:t xml:space="preserve">          Návrhom zákona dochádza k preradeniu niektorých druhov zbraní do iných kategórií (napríklad expanzné zbrane, ktoré vznikli úpravou zo zbraní kategórie A, B alebo C budú preradené z kategórie D do ich pôvodnej kategórie, niektoré zbrane kategórie B budú preradené do kategórie A). Takáto zmena spôsobí, že držitelia týchto zbraní, ktorí doteraz neboli držiteľmi zbrojného preukazu budú povinní požiadať o jeho vydanie a o vydanie preukazu zbrane.</w:t>
            </w:r>
          </w:p>
          <w:p w:rsidR="009D2F13" w:rsidRPr="009D2F13" w:rsidRDefault="009D2F13" w:rsidP="009D2F13">
            <w:pPr>
              <w:widowControl w:val="0"/>
              <w:adjustRightInd w:val="0"/>
              <w:jc w:val="both"/>
              <w:textAlignment w:val="baseline"/>
            </w:pPr>
            <w:r w:rsidRPr="009D2F13">
              <w:t xml:space="preserve">     Na držiteľov niektorých druhov zbraní kategórie D (palná zbraň určená na streľbu nábojmi </w:t>
            </w:r>
            <w:r w:rsidRPr="009D2F13">
              <w:lastRenderedPageBreak/>
              <w:t xml:space="preserve">typu </w:t>
            </w:r>
            <w:proofErr w:type="spellStart"/>
            <w:r w:rsidRPr="009D2F13">
              <w:t>flobert</w:t>
            </w:r>
            <w:proofErr w:type="spellEnd"/>
            <w:r w:rsidRPr="009D2F13">
              <w:t xml:space="preserve"> s energiou strely na ústí hlavne najviac 7,5 J, expanzná zbraň, zbraň znehodnotená podľa nariadenia a palná zbraň skonštruovaná na princípe </w:t>
            </w:r>
            <w:proofErr w:type="spellStart"/>
            <w:r w:rsidRPr="009D2F13">
              <w:t>perkusného</w:t>
            </w:r>
            <w:proofErr w:type="spellEnd"/>
            <w:r w:rsidRPr="009D2F13">
              <w:t xml:space="preserve">, kresadlového, kolieskového alebo </w:t>
            </w:r>
            <w:proofErr w:type="spellStart"/>
            <w:r w:rsidRPr="009D2F13">
              <w:t>tlejákového</w:t>
            </w:r>
            <w:proofErr w:type="spellEnd"/>
            <w:r w:rsidRPr="009D2F13">
              <w:t xml:space="preserve"> zámkového systému) sa bude vzťahovať povinnosť tieto zbrane zaevidovať a tento úkon bude spoplatnený vo výške 6 eur.</w:t>
            </w:r>
          </w:p>
        </w:tc>
      </w:tr>
      <w:tr w:rsidR="009D2F13" w:rsidRPr="009D2F13" w:rsidTr="0096653D">
        <w:trPr>
          <w:trHeight w:val="212"/>
        </w:trPr>
        <w:tc>
          <w:tcPr>
            <w:tcW w:w="9371" w:type="dxa"/>
          </w:tcPr>
          <w:p w:rsidR="009D2F13" w:rsidRPr="009D2F13" w:rsidRDefault="009D2F13" w:rsidP="009D2F13">
            <w:pPr>
              <w:widowControl w:val="0"/>
              <w:adjustRightInd w:val="0"/>
              <w:jc w:val="both"/>
              <w:textAlignment w:val="baseline"/>
              <w:rPr>
                <w:i/>
              </w:rPr>
            </w:pPr>
            <w:r w:rsidRPr="009D2F13">
              <w:rPr>
                <w:i/>
              </w:rPr>
              <w:t>Nová služba (konkretizujte a popíšte)</w:t>
            </w:r>
          </w:p>
        </w:tc>
      </w:tr>
      <w:tr w:rsidR="009D2F13" w:rsidRPr="009D2F13" w:rsidTr="0096653D">
        <w:trPr>
          <w:trHeight w:val="397"/>
        </w:trPr>
        <w:tc>
          <w:tcPr>
            <w:tcW w:w="9371" w:type="dxa"/>
            <w:vAlign w:val="center"/>
          </w:tcPr>
          <w:p w:rsidR="009D2F13" w:rsidRPr="009D2F13" w:rsidRDefault="009D2F13" w:rsidP="009D2F13">
            <w:pPr>
              <w:widowControl w:val="0"/>
              <w:adjustRightInd w:val="0"/>
              <w:textAlignment w:val="baseline"/>
            </w:pPr>
            <w:r w:rsidRPr="009D2F13">
              <w:t>Nie</w:t>
            </w:r>
          </w:p>
        </w:tc>
      </w:tr>
      <w:tr w:rsidR="009D2F13" w:rsidRPr="009D2F13" w:rsidTr="0096653D">
        <w:trPr>
          <w:trHeight w:val="248"/>
        </w:trPr>
        <w:tc>
          <w:tcPr>
            <w:tcW w:w="9371" w:type="dxa"/>
          </w:tcPr>
          <w:p w:rsidR="009D2F13" w:rsidRPr="009D2F13" w:rsidRDefault="009D2F13" w:rsidP="009D2F13">
            <w:pPr>
              <w:widowControl w:val="0"/>
              <w:adjustRightInd w:val="0"/>
              <w:jc w:val="both"/>
              <w:textAlignment w:val="baseline"/>
              <w:rPr>
                <w:b/>
              </w:rPr>
            </w:pPr>
            <w:r w:rsidRPr="009D2F13">
              <w:rPr>
                <w:b/>
              </w:rPr>
              <w:t>7.1.2 Špecifikácia služby verejnej správy, ktorá je dotknutá návrhom</w:t>
            </w:r>
          </w:p>
        </w:tc>
      </w:tr>
      <w:tr w:rsidR="009D2F13" w:rsidRPr="009D2F13" w:rsidTr="0096653D">
        <w:trPr>
          <w:trHeight w:val="248"/>
        </w:trPr>
        <w:tc>
          <w:tcPr>
            <w:tcW w:w="9371" w:type="dxa"/>
          </w:tcPr>
          <w:p w:rsidR="009D2F13" w:rsidRPr="009D2F13" w:rsidRDefault="009D2F13" w:rsidP="009D2F13">
            <w:pPr>
              <w:widowControl w:val="0"/>
              <w:adjustRightInd w:val="0"/>
              <w:jc w:val="both"/>
              <w:textAlignment w:val="baseline"/>
              <w:rPr>
                <w:i/>
              </w:rPr>
            </w:pPr>
            <w:r w:rsidRPr="009D2F13">
              <w:rPr>
                <w:i/>
              </w:rPr>
              <w:t xml:space="preserve">Názov služby </w:t>
            </w:r>
          </w:p>
        </w:tc>
      </w:tr>
      <w:tr w:rsidR="009D2F13" w:rsidRPr="009D2F13" w:rsidTr="0096653D">
        <w:trPr>
          <w:trHeight w:val="397"/>
        </w:trPr>
        <w:tc>
          <w:tcPr>
            <w:tcW w:w="9371" w:type="dxa"/>
            <w:vAlign w:val="center"/>
          </w:tcPr>
          <w:p w:rsidR="009D2F13" w:rsidRPr="009D2F13" w:rsidRDefault="009D2F13" w:rsidP="009D2F13">
            <w:pPr>
              <w:widowControl w:val="0"/>
              <w:adjustRightInd w:val="0"/>
              <w:textAlignment w:val="baseline"/>
            </w:pPr>
            <w:r w:rsidRPr="009D2F13">
              <w:t>Služby sú uvedené v bode č. 7.1.1.</w:t>
            </w:r>
          </w:p>
        </w:tc>
      </w:tr>
      <w:tr w:rsidR="009D2F13" w:rsidRPr="009D2F13" w:rsidTr="0096653D">
        <w:trPr>
          <w:trHeight w:val="248"/>
        </w:trPr>
        <w:tc>
          <w:tcPr>
            <w:tcW w:w="9371" w:type="dxa"/>
          </w:tcPr>
          <w:p w:rsidR="009D2F13" w:rsidRPr="009D2F13" w:rsidRDefault="009D2F13" w:rsidP="009D2F13">
            <w:pPr>
              <w:widowControl w:val="0"/>
              <w:adjustRightInd w:val="0"/>
              <w:jc w:val="both"/>
              <w:textAlignment w:val="baseline"/>
              <w:rPr>
                <w:b/>
                <w:i/>
              </w:rPr>
            </w:pPr>
            <w:r w:rsidRPr="009D2F13">
              <w:rPr>
                <w:i/>
              </w:rPr>
              <w:t>Platná právna úprava, na základe ktorej je služba poskytovaná (ak ide o zmenu existujúcej služby)</w:t>
            </w:r>
          </w:p>
        </w:tc>
      </w:tr>
      <w:tr w:rsidR="009D2F13" w:rsidRPr="009D2F13" w:rsidTr="0096653D">
        <w:trPr>
          <w:trHeight w:val="630"/>
        </w:trPr>
        <w:tc>
          <w:tcPr>
            <w:tcW w:w="9371" w:type="dxa"/>
            <w:shd w:val="clear" w:color="auto" w:fill="auto"/>
            <w:vAlign w:val="center"/>
          </w:tcPr>
          <w:p w:rsidR="009D2F13" w:rsidRPr="009D2F13" w:rsidRDefault="009D2F13" w:rsidP="009D2F13">
            <w:pPr>
              <w:widowControl w:val="0"/>
              <w:adjustRightInd w:val="0"/>
              <w:jc w:val="both"/>
              <w:textAlignment w:val="baseline"/>
            </w:pPr>
            <w:r w:rsidRPr="009D2F13">
              <w:t>Zákon č. 190/2003 Z. z. o strelných zbraniach a strelive a o zmene a doplnení niektorých zákonov v znení neskorších predpisov</w:t>
            </w:r>
          </w:p>
          <w:p w:rsidR="009D2F13" w:rsidRPr="009D2F13" w:rsidRDefault="009D2F13" w:rsidP="009D2F13">
            <w:pPr>
              <w:widowControl w:val="0"/>
              <w:adjustRightInd w:val="0"/>
              <w:jc w:val="both"/>
              <w:textAlignment w:val="baseline"/>
            </w:pPr>
            <w:r w:rsidRPr="009D2F13">
              <w:t>Zákon č. 305/2013 Z. z. o elektronickej podobe výkonu pôsobnosti orgánov verejnej moci a o zmene a doplnení niektorých zákonov (zákon o e-</w:t>
            </w:r>
            <w:proofErr w:type="spellStart"/>
            <w:r w:rsidRPr="009D2F13">
              <w:t>Governmente</w:t>
            </w:r>
            <w:proofErr w:type="spellEnd"/>
            <w:r w:rsidRPr="009D2F13">
              <w:t>)</w:t>
            </w:r>
          </w:p>
          <w:p w:rsidR="009D2F13" w:rsidRPr="009D2F13" w:rsidRDefault="009D2F13" w:rsidP="009D2F13">
            <w:pPr>
              <w:widowControl w:val="0"/>
              <w:adjustRightInd w:val="0"/>
              <w:jc w:val="both"/>
              <w:textAlignment w:val="baseline"/>
            </w:pPr>
            <w:r w:rsidRPr="009D2F13">
              <w:t>Zákon č. 177/2018 Z. z. o niektorých opatreniach na znižovanie administratívnej záťaže využívaním informačných systémov verejnej správy a o zmene a doplnení niektorých zákonov (zákon proti byrokracii)</w:t>
            </w:r>
          </w:p>
        </w:tc>
      </w:tr>
      <w:tr w:rsidR="009D2F13" w:rsidRPr="009D2F13" w:rsidTr="0096653D">
        <w:trPr>
          <w:trHeight w:val="220"/>
        </w:trPr>
        <w:tc>
          <w:tcPr>
            <w:tcW w:w="9371" w:type="dxa"/>
          </w:tcPr>
          <w:p w:rsidR="009D2F13" w:rsidRPr="009D2F13" w:rsidRDefault="009D2F13" w:rsidP="009D2F13">
            <w:pPr>
              <w:widowControl w:val="0"/>
              <w:adjustRightInd w:val="0"/>
              <w:jc w:val="both"/>
              <w:textAlignment w:val="baseline"/>
              <w:rPr>
                <w:b/>
                <w:i/>
              </w:rPr>
            </w:pPr>
            <w:r w:rsidRPr="009D2F13">
              <w:rPr>
                <w:i/>
              </w:rPr>
              <w:t xml:space="preserve">Subjekt, ktorý je na základe platnej právnej úpravy oprávnený službu poskytovať </w:t>
            </w:r>
          </w:p>
        </w:tc>
      </w:tr>
      <w:tr w:rsidR="009D2F13" w:rsidRPr="009D2F13" w:rsidTr="0096653D">
        <w:trPr>
          <w:trHeight w:val="397"/>
        </w:trPr>
        <w:tc>
          <w:tcPr>
            <w:tcW w:w="9371" w:type="dxa"/>
            <w:shd w:val="clear" w:color="auto" w:fill="auto"/>
            <w:vAlign w:val="center"/>
          </w:tcPr>
          <w:p w:rsidR="009D2F13" w:rsidRPr="009D2F13" w:rsidRDefault="009D2F13" w:rsidP="009D2F13">
            <w:pPr>
              <w:widowControl w:val="0"/>
              <w:adjustRightInd w:val="0"/>
              <w:textAlignment w:val="baseline"/>
            </w:pPr>
            <w:r w:rsidRPr="009D2F13">
              <w:t>Ministerstvo vnútra SR, Policajný zbor</w:t>
            </w:r>
          </w:p>
        </w:tc>
      </w:tr>
      <w:tr w:rsidR="009D2F13" w:rsidRPr="009D2F13" w:rsidTr="0096653D">
        <w:trPr>
          <w:trHeight w:val="340"/>
        </w:trPr>
        <w:tc>
          <w:tcPr>
            <w:tcW w:w="9371" w:type="dxa"/>
            <w:vAlign w:val="center"/>
          </w:tcPr>
          <w:p w:rsidR="009D2F13" w:rsidRPr="009D2F13" w:rsidRDefault="009D2F13" w:rsidP="009D2F13">
            <w:pPr>
              <w:widowControl w:val="0"/>
              <w:adjustRightInd w:val="0"/>
              <w:textAlignment w:val="baseline"/>
              <w:rPr>
                <w:b/>
                <w:i/>
              </w:rPr>
            </w:pPr>
            <w:r w:rsidRPr="009D2F13">
              <w:rPr>
                <w:b/>
              </w:rPr>
              <w:t xml:space="preserve">7.1.3 O aký vplyv na službu verejnej správy ide? </w:t>
            </w:r>
          </w:p>
        </w:tc>
      </w:tr>
      <w:tr w:rsidR="009D2F13" w:rsidRPr="009D2F13" w:rsidTr="0096653D">
        <w:trPr>
          <w:trHeight w:val="256"/>
        </w:trPr>
        <w:tc>
          <w:tcPr>
            <w:tcW w:w="9371" w:type="dxa"/>
          </w:tcPr>
          <w:p w:rsidR="009D2F13" w:rsidRPr="009D2F13" w:rsidRDefault="009D2F13" w:rsidP="009D2F13">
            <w:pPr>
              <w:widowControl w:val="0"/>
              <w:adjustRightInd w:val="0"/>
              <w:jc w:val="both"/>
              <w:textAlignment w:val="baseline"/>
              <w:rPr>
                <w:b/>
                <w:i/>
              </w:rPr>
            </w:pPr>
            <w:r w:rsidRPr="009D2F13">
              <w:rPr>
                <w:i/>
              </w:rPr>
              <w:t xml:space="preserve">Priamy vplyv (popíšte) </w:t>
            </w:r>
          </w:p>
        </w:tc>
      </w:tr>
      <w:tr w:rsidR="009D2F13" w:rsidRPr="009D2F13" w:rsidTr="0096653D">
        <w:trPr>
          <w:trHeight w:val="397"/>
        </w:trPr>
        <w:tc>
          <w:tcPr>
            <w:tcW w:w="9371" w:type="dxa"/>
            <w:vAlign w:val="center"/>
          </w:tcPr>
          <w:p w:rsidR="009D2F13" w:rsidRPr="009D2F13" w:rsidRDefault="009D2F13" w:rsidP="009D2F13">
            <w:pPr>
              <w:widowControl w:val="0"/>
              <w:adjustRightInd w:val="0"/>
              <w:textAlignment w:val="baseline"/>
            </w:pPr>
            <w:r w:rsidRPr="009D2F13">
              <w:t>Ide o priamy vplyv popísaný v bode č. 7.1.1.</w:t>
            </w:r>
          </w:p>
        </w:tc>
      </w:tr>
      <w:tr w:rsidR="009D2F13" w:rsidRPr="009D2F13" w:rsidTr="0096653D">
        <w:trPr>
          <w:trHeight w:val="20"/>
        </w:trPr>
        <w:tc>
          <w:tcPr>
            <w:tcW w:w="9371" w:type="dxa"/>
          </w:tcPr>
          <w:p w:rsidR="009D2F13" w:rsidRPr="009D2F13" w:rsidRDefault="009D2F13" w:rsidP="009D2F13">
            <w:pPr>
              <w:widowControl w:val="0"/>
              <w:adjustRightInd w:val="0"/>
              <w:jc w:val="both"/>
              <w:textAlignment w:val="baseline"/>
              <w:rPr>
                <w:b/>
                <w:i/>
              </w:rPr>
            </w:pPr>
            <w:r w:rsidRPr="009D2F13">
              <w:rPr>
                <w:i/>
              </w:rPr>
              <w:t xml:space="preserve">Nepriamy vplyv (popíšte) </w:t>
            </w:r>
          </w:p>
        </w:tc>
      </w:tr>
      <w:tr w:rsidR="009D2F13" w:rsidRPr="009D2F13" w:rsidTr="0096653D">
        <w:trPr>
          <w:trHeight w:val="340"/>
        </w:trPr>
        <w:tc>
          <w:tcPr>
            <w:tcW w:w="9371" w:type="dxa"/>
          </w:tcPr>
          <w:p w:rsidR="009D2F13" w:rsidRPr="009D2F13" w:rsidRDefault="009D2F13" w:rsidP="009D2F13">
            <w:pPr>
              <w:widowControl w:val="0"/>
              <w:adjustRightInd w:val="0"/>
              <w:spacing w:line="360" w:lineRule="atLeast"/>
              <w:textAlignment w:val="baseline"/>
            </w:pPr>
          </w:p>
        </w:tc>
      </w:tr>
    </w:tbl>
    <w:p w:rsidR="009D2F13" w:rsidRPr="009D2F13" w:rsidRDefault="009D2F13" w:rsidP="009D2F13">
      <w:pPr>
        <w:widowControl w:val="0"/>
        <w:adjustRightInd w:val="0"/>
        <w:spacing w:line="360" w:lineRule="atLeast"/>
        <w:jc w:val="both"/>
        <w:textAlignment w:val="baseline"/>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D2F13" w:rsidRPr="009D2F13" w:rsidTr="0096653D">
        <w:trPr>
          <w:trHeight w:val="20"/>
        </w:trPr>
        <w:tc>
          <w:tcPr>
            <w:tcW w:w="9371" w:type="dxa"/>
            <w:shd w:val="clear" w:color="auto" w:fill="C0C0C0"/>
            <w:vAlign w:val="center"/>
          </w:tcPr>
          <w:p w:rsidR="009D2F13" w:rsidRPr="009D2F13" w:rsidRDefault="009D2F13" w:rsidP="009D2F13">
            <w:pPr>
              <w:widowControl w:val="0"/>
              <w:adjustRightInd w:val="0"/>
              <w:jc w:val="center"/>
              <w:textAlignment w:val="baseline"/>
              <w:rPr>
                <w:b/>
              </w:rPr>
            </w:pPr>
            <w:r w:rsidRPr="009D2F13">
              <w:rPr>
                <w:b/>
              </w:rPr>
              <w:t>7.2 Vplyv služieb verejnej správy na občana</w:t>
            </w:r>
          </w:p>
        </w:tc>
      </w:tr>
      <w:tr w:rsidR="009D2F13" w:rsidRPr="009D2F13" w:rsidTr="0096653D">
        <w:trPr>
          <w:trHeight w:val="388"/>
        </w:trPr>
        <w:tc>
          <w:tcPr>
            <w:tcW w:w="9371" w:type="dxa"/>
            <w:vAlign w:val="center"/>
          </w:tcPr>
          <w:p w:rsidR="009D2F13" w:rsidRPr="009D2F13" w:rsidRDefault="009D2F13" w:rsidP="009D2F13">
            <w:pPr>
              <w:widowControl w:val="0"/>
              <w:adjustRightInd w:val="0"/>
              <w:textAlignment w:val="baseline"/>
              <w:rPr>
                <w:b/>
              </w:rPr>
            </w:pPr>
            <w:r w:rsidRPr="009D2F13">
              <w:rPr>
                <w:b/>
              </w:rPr>
              <w:t>7.2.1 Náklady</w:t>
            </w:r>
          </w:p>
        </w:tc>
      </w:tr>
      <w:tr w:rsidR="009D2F13" w:rsidRPr="009D2F13" w:rsidTr="0096653D">
        <w:trPr>
          <w:trHeight w:val="226"/>
        </w:trPr>
        <w:tc>
          <w:tcPr>
            <w:tcW w:w="9371" w:type="dxa"/>
            <w:vAlign w:val="center"/>
          </w:tcPr>
          <w:p w:rsidR="009D2F13" w:rsidRPr="009D2F13" w:rsidRDefault="009D2F13" w:rsidP="009D2F13">
            <w:pPr>
              <w:widowControl w:val="0"/>
              <w:adjustRightInd w:val="0"/>
              <w:textAlignment w:val="baseline"/>
              <w:rPr>
                <w:b/>
              </w:rPr>
            </w:pPr>
            <w:r w:rsidRPr="009D2F13">
              <w:rPr>
                <w:i/>
              </w:rPr>
              <w:t>Zníženie priamych finančných nákladov</w:t>
            </w:r>
          </w:p>
        </w:tc>
      </w:tr>
      <w:tr w:rsidR="009D2F13" w:rsidRPr="009D2F13" w:rsidTr="0096653D">
        <w:trPr>
          <w:trHeight w:val="397"/>
        </w:trPr>
        <w:tc>
          <w:tcPr>
            <w:tcW w:w="9371" w:type="dxa"/>
            <w:vAlign w:val="center"/>
          </w:tcPr>
          <w:p w:rsidR="009D2F13" w:rsidRPr="009D2F13" w:rsidRDefault="009D2F13" w:rsidP="009D2F13">
            <w:pPr>
              <w:widowControl w:val="0"/>
              <w:adjustRightInd w:val="0"/>
              <w:jc w:val="both"/>
              <w:textAlignment w:val="baseline"/>
            </w:pPr>
            <w:r w:rsidRPr="009D2F13">
              <w:t>Finančné náklady sa znížia v súvislosti s predkladaním dokladov pri podaní žiadosti o vydanie zbrojného preukazu. Žiadateľ už nebude povinný zabezpečiť úradne osvedčenú kópiu príslušných dokladov, ale bude príslušné doklady priamo predkladať správnemu orgánu k nahliadnutiu.</w:t>
            </w:r>
          </w:p>
        </w:tc>
      </w:tr>
      <w:tr w:rsidR="009D2F13" w:rsidRPr="009D2F13" w:rsidTr="0096653D">
        <w:trPr>
          <w:trHeight w:val="294"/>
        </w:trPr>
        <w:tc>
          <w:tcPr>
            <w:tcW w:w="9371" w:type="dxa"/>
            <w:vAlign w:val="center"/>
          </w:tcPr>
          <w:p w:rsidR="009D2F13" w:rsidRPr="009D2F13" w:rsidRDefault="009D2F13" w:rsidP="009D2F13">
            <w:pPr>
              <w:widowControl w:val="0"/>
              <w:adjustRightInd w:val="0"/>
              <w:textAlignment w:val="baseline"/>
              <w:rPr>
                <w:i/>
              </w:rPr>
            </w:pPr>
            <w:r w:rsidRPr="009D2F13">
              <w:rPr>
                <w:i/>
              </w:rPr>
              <w:t>Zvýšenie priamych finančných nákladov</w:t>
            </w:r>
          </w:p>
        </w:tc>
      </w:tr>
      <w:tr w:rsidR="009D2F13" w:rsidRPr="009D2F13" w:rsidTr="0096653D">
        <w:trPr>
          <w:trHeight w:val="397"/>
        </w:trPr>
        <w:tc>
          <w:tcPr>
            <w:tcW w:w="9371" w:type="dxa"/>
            <w:vAlign w:val="center"/>
          </w:tcPr>
          <w:p w:rsidR="009D2F13" w:rsidRPr="009D2F13" w:rsidRDefault="009D2F13" w:rsidP="009D2F13">
            <w:pPr>
              <w:widowControl w:val="0"/>
              <w:adjustRightInd w:val="0"/>
              <w:jc w:val="both"/>
              <w:textAlignment w:val="baseline"/>
            </w:pPr>
            <w:r w:rsidRPr="009D2F13">
              <w:t xml:space="preserve">     Finančné náklady držiteľov zbrojných preukazov sa zvýšia v súvislosti so zvýšením správneho poplatku za podanie žiadosti o vydanie (30 eur), rozšírenie (20 eur) a vydanie nového zbrojného preukazu (30 eur). Toto zvýšenie je spôsobené tým, že sa náklady v súvislosti so správnymi poplatkami od roku 2004 nemenili t. z. neboli zvyšované. Sadzby vznikli pri menovej konverzii v roku 2009 a od vtedy sa náklady na administratívu správnych orgánov zvýšili.</w:t>
            </w:r>
          </w:p>
          <w:p w:rsidR="009D2F13" w:rsidRPr="009D2F13" w:rsidRDefault="009D2F13" w:rsidP="009D2F13">
            <w:pPr>
              <w:widowControl w:val="0"/>
              <w:adjustRightInd w:val="0"/>
              <w:jc w:val="both"/>
              <w:textAlignment w:val="baseline"/>
            </w:pPr>
            <w:r w:rsidRPr="009D2F13">
              <w:t xml:space="preserve">     U držiteľov zbraní, ktorí nie sú držiteľmi zbrojného preukazu a u ktorých došlo k zmene kategórie zbrane, sa finančné náklady zvýšia z dôvodu, že budú povinní požiadať o vydanie </w:t>
            </w:r>
            <w:r w:rsidRPr="009D2F13">
              <w:lastRenderedPageBreak/>
              <w:t>zbrojného preukazu a zaevidovať zbrane. Finančné náklady súvisia so zaplatením správneho poplatku za žiadosť o zbrojný preukaz a preukaz zbrane.</w:t>
            </w:r>
          </w:p>
          <w:p w:rsidR="009D2F13" w:rsidRPr="009D2F13" w:rsidRDefault="009D2F13" w:rsidP="009D2F13">
            <w:pPr>
              <w:widowControl w:val="0"/>
              <w:adjustRightInd w:val="0"/>
              <w:jc w:val="both"/>
              <w:textAlignment w:val="baseline"/>
            </w:pPr>
            <w:r w:rsidRPr="009D2F13">
              <w:t xml:space="preserve">     Držiteľom niektorých druhov zbraní kategórie D (palná zbraň určená na streľbu nábojmi typu </w:t>
            </w:r>
            <w:proofErr w:type="spellStart"/>
            <w:r w:rsidRPr="009D2F13">
              <w:t>flobert</w:t>
            </w:r>
            <w:proofErr w:type="spellEnd"/>
            <w:r w:rsidRPr="009D2F13">
              <w:t xml:space="preserve"> s energiou strely na ústí hlavne najviac 7,5 J, expanzná zbraň, zbraň znehodnotená podľa nariadenia a palná zbraň skonštruovaná na princípe </w:t>
            </w:r>
            <w:proofErr w:type="spellStart"/>
            <w:r w:rsidRPr="009D2F13">
              <w:t>perkusného</w:t>
            </w:r>
            <w:proofErr w:type="spellEnd"/>
            <w:r w:rsidRPr="009D2F13">
              <w:t xml:space="preserve">, kresadlového, kolieskového alebo </w:t>
            </w:r>
            <w:proofErr w:type="spellStart"/>
            <w:r w:rsidRPr="009D2F13">
              <w:t>tlejákového</w:t>
            </w:r>
            <w:proofErr w:type="spellEnd"/>
            <w:r w:rsidRPr="009D2F13">
              <w:t xml:space="preserve"> zámkového systému) vzniknú v súvislosti s povinnosťou tieto zbrane evidovať a požiadať o vydanie povolenia na ich nadobudnutie finančné náklady súvisiace so zaplatením správnych poplatkov.</w:t>
            </w:r>
          </w:p>
        </w:tc>
      </w:tr>
      <w:tr w:rsidR="009D2F13" w:rsidRPr="009D2F13" w:rsidTr="0096653D">
        <w:trPr>
          <w:trHeight w:val="214"/>
        </w:trPr>
        <w:tc>
          <w:tcPr>
            <w:tcW w:w="9371" w:type="dxa"/>
            <w:vAlign w:val="center"/>
          </w:tcPr>
          <w:p w:rsidR="009D2F13" w:rsidRPr="009D2F13" w:rsidRDefault="009D2F13" w:rsidP="009D2F13">
            <w:pPr>
              <w:widowControl w:val="0"/>
              <w:adjustRightInd w:val="0"/>
              <w:textAlignment w:val="baseline"/>
              <w:rPr>
                <w:i/>
              </w:rPr>
            </w:pPr>
            <w:r w:rsidRPr="009D2F13">
              <w:rPr>
                <w:i/>
              </w:rPr>
              <w:t>Zníženie nepriamych finančných nákladov</w:t>
            </w:r>
          </w:p>
        </w:tc>
      </w:tr>
      <w:tr w:rsidR="009D2F13" w:rsidRPr="009D2F13" w:rsidTr="0096653D">
        <w:trPr>
          <w:trHeight w:val="397"/>
        </w:trPr>
        <w:tc>
          <w:tcPr>
            <w:tcW w:w="9371" w:type="dxa"/>
            <w:vAlign w:val="center"/>
          </w:tcPr>
          <w:p w:rsidR="009D2F13" w:rsidRPr="009D2F13" w:rsidRDefault="009D2F13" w:rsidP="009D2F13">
            <w:pPr>
              <w:widowControl w:val="0"/>
              <w:adjustRightInd w:val="0"/>
              <w:textAlignment w:val="baseline"/>
              <w:rPr>
                <w:i/>
              </w:rPr>
            </w:pPr>
            <w:r w:rsidRPr="009D2F13">
              <w:t>Nie</w:t>
            </w:r>
          </w:p>
        </w:tc>
      </w:tr>
      <w:tr w:rsidR="009D2F13" w:rsidRPr="009D2F13" w:rsidTr="0096653D">
        <w:trPr>
          <w:trHeight w:val="388"/>
        </w:trPr>
        <w:tc>
          <w:tcPr>
            <w:tcW w:w="9371" w:type="dxa"/>
            <w:vAlign w:val="center"/>
          </w:tcPr>
          <w:p w:rsidR="009D2F13" w:rsidRPr="009D2F13" w:rsidRDefault="009D2F13" w:rsidP="009D2F13">
            <w:pPr>
              <w:widowControl w:val="0"/>
              <w:adjustRightInd w:val="0"/>
              <w:textAlignment w:val="baseline"/>
              <w:rPr>
                <w:i/>
              </w:rPr>
            </w:pPr>
            <w:r w:rsidRPr="009D2F13">
              <w:rPr>
                <w:i/>
              </w:rPr>
              <w:t>Zvýšenie nepriamych finančných nákladov</w:t>
            </w:r>
          </w:p>
        </w:tc>
      </w:tr>
      <w:tr w:rsidR="009D2F13" w:rsidRPr="009D2F13" w:rsidTr="0096653D">
        <w:trPr>
          <w:trHeight w:val="397"/>
        </w:trPr>
        <w:tc>
          <w:tcPr>
            <w:tcW w:w="9371" w:type="dxa"/>
            <w:vAlign w:val="center"/>
          </w:tcPr>
          <w:p w:rsidR="009D2F13" w:rsidRPr="009D2F13" w:rsidRDefault="009D2F13" w:rsidP="009D2F13">
            <w:pPr>
              <w:widowControl w:val="0"/>
              <w:adjustRightInd w:val="0"/>
              <w:textAlignment w:val="baseline"/>
              <w:rPr>
                <w:i/>
              </w:rPr>
            </w:pPr>
            <w:r w:rsidRPr="009D2F13">
              <w:t>Nie</w:t>
            </w:r>
          </w:p>
        </w:tc>
      </w:tr>
      <w:tr w:rsidR="009D2F13" w:rsidRPr="009D2F13" w:rsidTr="0096653D">
        <w:trPr>
          <w:trHeight w:val="388"/>
        </w:trPr>
        <w:tc>
          <w:tcPr>
            <w:tcW w:w="9371" w:type="dxa"/>
            <w:vAlign w:val="center"/>
          </w:tcPr>
          <w:p w:rsidR="009D2F13" w:rsidRPr="009D2F13" w:rsidRDefault="009D2F13" w:rsidP="009D2F13">
            <w:pPr>
              <w:widowControl w:val="0"/>
              <w:adjustRightInd w:val="0"/>
              <w:textAlignment w:val="baseline"/>
              <w:rPr>
                <w:i/>
                <w:iCs/>
              </w:rPr>
            </w:pPr>
            <w:r w:rsidRPr="009D2F13">
              <w:rPr>
                <w:b/>
              </w:rPr>
              <w:t xml:space="preserve">7.2.2 Časový vplyv </w:t>
            </w:r>
          </w:p>
        </w:tc>
      </w:tr>
      <w:tr w:rsidR="009D2F13" w:rsidRPr="009D2F13" w:rsidTr="0096653D">
        <w:trPr>
          <w:trHeight w:val="20"/>
        </w:trPr>
        <w:tc>
          <w:tcPr>
            <w:tcW w:w="9371" w:type="dxa"/>
            <w:vAlign w:val="center"/>
          </w:tcPr>
          <w:p w:rsidR="009D2F13" w:rsidRPr="009D2F13" w:rsidRDefault="009D2F13" w:rsidP="009D2F13">
            <w:pPr>
              <w:widowControl w:val="0"/>
              <w:adjustRightInd w:val="0"/>
              <w:textAlignment w:val="baseline"/>
              <w:rPr>
                <w:b/>
              </w:rPr>
            </w:pPr>
            <w:r w:rsidRPr="009D2F13">
              <w:rPr>
                <w:i/>
              </w:rPr>
              <w:t>Zvýšenie času vybavenia požiadavky (popíšte)</w:t>
            </w:r>
          </w:p>
        </w:tc>
      </w:tr>
      <w:tr w:rsidR="009D2F13" w:rsidRPr="009D2F13" w:rsidTr="0096653D">
        <w:trPr>
          <w:trHeight w:val="397"/>
        </w:trPr>
        <w:tc>
          <w:tcPr>
            <w:tcW w:w="9371" w:type="dxa"/>
            <w:tcBorders>
              <w:bottom w:val="single" w:sz="4" w:space="0" w:color="auto"/>
            </w:tcBorders>
            <w:vAlign w:val="center"/>
          </w:tcPr>
          <w:p w:rsidR="009D2F13" w:rsidRPr="009D2F13" w:rsidRDefault="009D2F13" w:rsidP="009D2F13">
            <w:pPr>
              <w:widowControl w:val="0"/>
              <w:adjustRightInd w:val="0"/>
              <w:textAlignment w:val="baseline"/>
              <w:rPr>
                <w:b/>
              </w:rPr>
            </w:pPr>
            <w:r w:rsidRPr="009D2F13">
              <w:t>Nie</w:t>
            </w:r>
          </w:p>
        </w:tc>
      </w:tr>
      <w:tr w:rsidR="009D2F13" w:rsidRPr="009D2F13" w:rsidTr="0096653D">
        <w:trPr>
          <w:trHeight w:val="20"/>
        </w:trPr>
        <w:tc>
          <w:tcPr>
            <w:tcW w:w="9371" w:type="dxa"/>
            <w:tcBorders>
              <w:bottom w:val="single" w:sz="4" w:space="0" w:color="auto"/>
            </w:tcBorders>
            <w:vAlign w:val="center"/>
          </w:tcPr>
          <w:p w:rsidR="009D2F13" w:rsidRPr="009D2F13" w:rsidRDefault="009D2F13" w:rsidP="009D2F13">
            <w:pPr>
              <w:widowControl w:val="0"/>
              <w:adjustRightInd w:val="0"/>
              <w:textAlignment w:val="baseline"/>
              <w:rPr>
                <w:b/>
              </w:rPr>
            </w:pPr>
            <w:r w:rsidRPr="009D2F13">
              <w:rPr>
                <w:i/>
              </w:rPr>
              <w:t>Zníženie času vybavenia požiadavky (popíšte)</w:t>
            </w:r>
          </w:p>
        </w:tc>
      </w:tr>
      <w:tr w:rsidR="009D2F13" w:rsidRPr="009D2F13" w:rsidTr="0096653D">
        <w:trPr>
          <w:trHeight w:val="20"/>
        </w:trPr>
        <w:tc>
          <w:tcPr>
            <w:tcW w:w="9371" w:type="dxa"/>
            <w:tcBorders>
              <w:bottom w:val="single" w:sz="4" w:space="0" w:color="auto"/>
            </w:tcBorders>
            <w:vAlign w:val="center"/>
          </w:tcPr>
          <w:p w:rsidR="009D2F13" w:rsidRPr="009D2F13" w:rsidRDefault="009D2F13" w:rsidP="009D2F13">
            <w:pPr>
              <w:widowControl w:val="0"/>
              <w:adjustRightInd w:val="0"/>
              <w:textAlignment w:val="baseline"/>
            </w:pPr>
            <w:r w:rsidRPr="009D2F13">
              <w:t>Nie</w:t>
            </w:r>
          </w:p>
        </w:tc>
      </w:tr>
      <w:tr w:rsidR="009D2F13" w:rsidRPr="009D2F13" w:rsidTr="0096653D">
        <w:trPr>
          <w:trHeight w:val="397"/>
        </w:trPr>
        <w:tc>
          <w:tcPr>
            <w:tcW w:w="9371" w:type="dxa"/>
            <w:tcBorders>
              <w:top w:val="single" w:sz="4" w:space="0" w:color="auto"/>
            </w:tcBorders>
            <w:vAlign w:val="center"/>
          </w:tcPr>
          <w:p w:rsidR="009D2F13" w:rsidRPr="009D2F13" w:rsidRDefault="009D2F13" w:rsidP="009D2F13">
            <w:pPr>
              <w:widowControl w:val="0"/>
              <w:adjustRightInd w:val="0"/>
              <w:textAlignment w:val="baseline"/>
              <w:rPr>
                <w:b/>
              </w:rPr>
            </w:pPr>
            <w:r w:rsidRPr="009D2F13">
              <w:t>Popísané v bode  č. 7.2.1 Náklady</w:t>
            </w:r>
          </w:p>
        </w:tc>
      </w:tr>
      <w:tr w:rsidR="009D2F13" w:rsidRPr="009D2F13" w:rsidTr="0096653D">
        <w:trPr>
          <w:trHeight w:val="424"/>
        </w:trPr>
        <w:tc>
          <w:tcPr>
            <w:tcW w:w="9371" w:type="dxa"/>
          </w:tcPr>
          <w:p w:rsidR="009D2F13" w:rsidRPr="009D2F13" w:rsidRDefault="009D2F13" w:rsidP="009D2F13">
            <w:pPr>
              <w:widowControl w:val="0"/>
              <w:adjustRightInd w:val="0"/>
              <w:jc w:val="both"/>
              <w:textAlignment w:val="baseline"/>
              <w:rPr>
                <w:b/>
              </w:rPr>
            </w:pPr>
            <w:r w:rsidRPr="009D2F13">
              <w:rPr>
                <w:b/>
              </w:rPr>
              <w:t>7.2.3 Ktorá skupina občanov bude predloženým návrhom ovplyvnená?</w:t>
            </w:r>
          </w:p>
          <w:p w:rsidR="009D2F13" w:rsidRPr="009D2F13" w:rsidRDefault="009D2F13" w:rsidP="009D2F13">
            <w:pPr>
              <w:widowControl w:val="0"/>
              <w:adjustRightInd w:val="0"/>
              <w:jc w:val="both"/>
              <w:textAlignment w:val="baseline"/>
              <w:rPr>
                <w:i/>
                <w:iCs/>
              </w:rPr>
            </w:pPr>
            <w:r w:rsidRPr="009D2F13">
              <w:rPr>
                <w:i/>
                <w:iCs/>
              </w:rPr>
              <w:t>Špecifikujte skupinu občanov, ktorá bude návrhom ovplyvnená (napr. držitelia vodičských oprávnení). Aká je  veľkosť tejto skupiny?</w:t>
            </w:r>
          </w:p>
        </w:tc>
      </w:tr>
      <w:tr w:rsidR="009D2F13" w:rsidRPr="009D2F13" w:rsidTr="0096653D">
        <w:trPr>
          <w:trHeight w:val="1796"/>
        </w:trPr>
        <w:tc>
          <w:tcPr>
            <w:tcW w:w="9371" w:type="dxa"/>
          </w:tcPr>
          <w:p w:rsidR="009D2F13" w:rsidRPr="009D2F13" w:rsidRDefault="009D2F13" w:rsidP="009D2F13">
            <w:pPr>
              <w:widowControl w:val="0"/>
              <w:adjustRightInd w:val="0"/>
              <w:jc w:val="both"/>
              <w:textAlignment w:val="baseline"/>
              <w:rPr>
                <w:color w:val="000000"/>
              </w:rPr>
            </w:pPr>
            <w:r w:rsidRPr="009D2F13">
              <w:rPr>
                <w:iCs/>
              </w:rPr>
              <w:t>Skupiny občanov, ktoré nevykonávajú podnikateľskú činnosť alebo inú činnosť ako SZČO popísané v bode č. 7.1.1.</w:t>
            </w:r>
          </w:p>
          <w:p w:rsidR="009D2F13" w:rsidRPr="009D2F13" w:rsidRDefault="009D2F13" w:rsidP="009D2F13">
            <w:pPr>
              <w:widowControl w:val="0"/>
              <w:adjustRightInd w:val="0"/>
              <w:jc w:val="both"/>
              <w:textAlignment w:val="baseline"/>
              <w:rPr>
                <w:color w:val="000000"/>
              </w:rPr>
            </w:pPr>
            <w:r w:rsidRPr="009D2F13">
              <w:rPr>
                <w:color w:val="000000"/>
              </w:rPr>
              <w:t xml:space="preserve">Celkový počet </w:t>
            </w:r>
            <w:r w:rsidRPr="009D2F13">
              <w:rPr>
                <w:color w:val="000000"/>
                <w:u w:val="single"/>
              </w:rPr>
              <w:t>držiteľov zbrojných preukazov</w:t>
            </w:r>
            <w:r w:rsidRPr="009D2F13">
              <w:rPr>
                <w:color w:val="000000"/>
              </w:rPr>
              <w:t xml:space="preserve"> k 31.12.2020 je </w:t>
            </w:r>
            <w:r w:rsidRPr="009D2F13">
              <w:rPr>
                <w:b/>
                <w:color w:val="000000"/>
              </w:rPr>
              <w:t>149 380.</w:t>
            </w:r>
          </w:p>
          <w:p w:rsidR="009D2F13" w:rsidRPr="009D2F13" w:rsidRDefault="009D2F13" w:rsidP="009D2F13">
            <w:pPr>
              <w:widowControl w:val="0"/>
              <w:adjustRightInd w:val="0"/>
              <w:jc w:val="both"/>
              <w:textAlignment w:val="baseline"/>
              <w:rPr>
                <w:color w:val="000000"/>
              </w:rPr>
            </w:pPr>
            <w:r w:rsidRPr="009D2F13">
              <w:rPr>
                <w:color w:val="000000"/>
              </w:rPr>
              <w:t xml:space="preserve">Celkový počet </w:t>
            </w:r>
            <w:r w:rsidRPr="009D2F13">
              <w:rPr>
                <w:color w:val="000000"/>
                <w:u w:val="single"/>
              </w:rPr>
              <w:t>zaevidovaných zbraní kategórie A, kategórie B, kategórie C</w:t>
            </w:r>
            <w:r w:rsidRPr="009D2F13">
              <w:rPr>
                <w:color w:val="000000"/>
              </w:rPr>
              <w:t xml:space="preserve"> k 31.12.2020                 je  </w:t>
            </w:r>
            <w:r w:rsidRPr="009D2F13">
              <w:rPr>
                <w:b/>
                <w:color w:val="000000"/>
              </w:rPr>
              <w:t>375 409</w:t>
            </w:r>
            <w:r w:rsidRPr="009D2F13">
              <w:rPr>
                <w:color w:val="000000"/>
              </w:rPr>
              <w:t>.</w:t>
            </w:r>
          </w:p>
          <w:p w:rsidR="009D2F13" w:rsidRPr="009D2F13" w:rsidRDefault="009D2F13" w:rsidP="009D2F13">
            <w:pPr>
              <w:widowControl w:val="0"/>
              <w:adjustRightInd w:val="0"/>
              <w:jc w:val="both"/>
              <w:textAlignment w:val="baseline"/>
              <w:rPr>
                <w:b/>
                <w:color w:val="000000"/>
              </w:rPr>
            </w:pPr>
            <w:r w:rsidRPr="009D2F13">
              <w:rPr>
                <w:color w:val="000000"/>
              </w:rPr>
              <w:t xml:space="preserve">Celkový počet </w:t>
            </w:r>
            <w:r w:rsidRPr="009D2F13">
              <w:rPr>
                <w:color w:val="000000"/>
                <w:u w:val="single"/>
              </w:rPr>
              <w:t>zaevidovaných zbraní kategórie D</w:t>
            </w:r>
            <w:r w:rsidRPr="009D2F13">
              <w:rPr>
                <w:color w:val="000000"/>
              </w:rPr>
              <w:t xml:space="preserve"> k 31.12.2020 je </w:t>
            </w:r>
            <w:r w:rsidRPr="009D2F13">
              <w:rPr>
                <w:b/>
                <w:color w:val="000000"/>
              </w:rPr>
              <w:t>5 005.</w:t>
            </w:r>
          </w:p>
          <w:p w:rsidR="009D2F13" w:rsidRPr="009D2F13" w:rsidRDefault="009D2F13" w:rsidP="009D2F13">
            <w:pPr>
              <w:widowControl w:val="0"/>
              <w:adjustRightInd w:val="0"/>
              <w:jc w:val="both"/>
              <w:textAlignment w:val="baseline"/>
              <w:rPr>
                <w:color w:val="000000"/>
              </w:rPr>
            </w:pPr>
            <w:r w:rsidRPr="009D2F13">
              <w:rPr>
                <w:color w:val="000000"/>
              </w:rPr>
              <w:t xml:space="preserve">Celkový počet </w:t>
            </w:r>
            <w:r w:rsidRPr="009D2F13">
              <w:rPr>
                <w:color w:val="000000"/>
                <w:u w:val="single"/>
              </w:rPr>
              <w:t>udelených výnimiek na zbraň kategórie A</w:t>
            </w:r>
            <w:r w:rsidRPr="009D2F13">
              <w:rPr>
                <w:color w:val="000000"/>
              </w:rPr>
              <w:t xml:space="preserve"> k 31.12.2020 je </w:t>
            </w:r>
            <w:r w:rsidRPr="009D2F13">
              <w:rPr>
                <w:b/>
                <w:color w:val="000000"/>
              </w:rPr>
              <w:t>159</w:t>
            </w:r>
            <w:r w:rsidRPr="009D2F13">
              <w:rPr>
                <w:color w:val="000000"/>
              </w:rPr>
              <w:t>.</w:t>
            </w:r>
          </w:p>
          <w:p w:rsidR="009D2F13" w:rsidRPr="009D2F13" w:rsidRDefault="009D2F13" w:rsidP="009D2F13">
            <w:pPr>
              <w:widowControl w:val="0"/>
              <w:adjustRightInd w:val="0"/>
              <w:jc w:val="both"/>
              <w:textAlignment w:val="baseline"/>
              <w:rPr>
                <w:b/>
                <w:color w:val="000000"/>
              </w:rPr>
            </w:pPr>
          </w:p>
        </w:tc>
      </w:tr>
      <w:tr w:rsidR="009D2F13" w:rsidRPr="009D2F13" w:rsidTr="0096653D">
        <w:trPr>
          <w:trHeight w:val="20"/>
        </w:trPr>
        <w:tc>
          <w:tcPr>
            <w:tcW w:w="9371" w:type="dxa"/>
          </w:tcPr>
          <w:p w:rsidR="009D2F13" w:rsidRPr="009D2F13" w:rsidRDefault="009D2F13" w:rsidP="009D2F13">
            <w:pPr>
              <w:widowControl w:val="0"/>
              <w:adjustRightInd w:val="0"/>
              <w:jc w:val="both"/>
              <w:textAlignment w:val="baseline"/>
              <w:rPr>
                <w:i/>
                <w:iCs/>
              </w:rPr>
            </w:pPr>
            <w:r w:rsidRPr="009D2F13">
              <w:rPr>
                <w:b/>
              </w:rPr>
              <w:t>7.2.4 Vyplývajú z návrhu pre občana pri vybavení svojej požiadavky nové povinnosti alebo zanikajú už existujúce povinnosti?</w:t>
            </w:r>
          </w:p>
        </w:tc>
      </w:tr>
      <w:tr w:rsidR="009D2F13" w:rsidRPr="009D2F13" w:rsidTr="0096653D">
        <w:trPr>
          <w:trHeight w:val="20"/>
        </w:trPr>
        <w:tc>
          <w:tcPr>
            <w:tcW w:w="9371" w:type="dxa"/>
          </w:tcPr>
          <w:p w:rsidR="009D2F13" w:rsidRPr="009D2F13" w:rsidRDefault="009D2F13" w:rsidP="009D2F13">
            <w:pPr>
              <w:widowControl w:val="0"/>
              <w:adjustRightInd w:val="0"/>
              <w:jc w:val="both"/>
              <w:textAlignment w:val="baseline"/>
              <w:rPr>
                <w:i/>
                <w:iCs/>
              </w:rPr>
            </w:pPr>
            <w:r w:rsidRPr="009D2F13">
              <w:rPr>
                <w:i/>
                <w:iCs/>
              </w:rPr>
              <w:t>Nové povinnosti (identifikujte)</w:t>
            </w:r>
          </w:p>
        </w:tc>
      </w:tr>
      <w:tr w:rsidR="009D2F13" w:rsidRPr="009D2F13" w:rsidTr="0096653D">
        <w:trPr>
          <w:trHeight w:val="397"/>
        </w:trPr>
        <w:tc>
          <w:tcPr>
            <w:tcW w:w="9371" w:type="dxa"/>
            <w:vAlign w:val="center"/>
          </w:tcPr>
          <w:p w:rsidR="009D2F13" w:rsidRPr="009D2F13" w:rsidRDefault="009D2F13" w:rsidP="009D2F13">
            <w:pPr>
              <w:widowControl w:val="0"/>
              <w:adjustRightInd w:val="0"/>
              <w:jc w:val="both"/>
              <w:textAlignment w:val="baseline"/>
            </w:pPr>
            <w:r w:rsidRPr="009D2F13">
              <w:t>Držitelia zbraní, ktorí nie sú držiteľmi zbrojného preukazu a u ktorých došlo k zmene kategórie zbrane budú povinní požiadať o vydanie zbrojného preukazu a zaevidovanie zbrane.</w:t>
            </w:r>
          </w:p>
          <w:p w:rsidR="009D2F13" w:rsidRPr="009D2F13" w:rsidRDefault="009D2F13" w:rsidP="009D2F13">
            <w:pPr>
              <w:widowControl w:val="0"/>
              <w:adjustRightInd w:val="0"/>
              <w:jc w:val="both"/>
              <w:textAlignment w:val="baseline"/>
            </w:pPr>
          </w:p>
          <w:p w:rsidR="009D2F13" w:rsidRPr="009D2F13" w:rsidRDefault="009D2F13" w:rsidP="009D2F13">
            <w:pPr>
              <w:widowControl w:val="0"/>
              <w:adjustRightInd w:val="0"/>
              <w:jc w:val="both"/>
              <w:textAlignment w:val="baseline"/>
            </w:pPr>
            <w:r w:rsidRPr="009D2F13">
              <w:t xml:space="preserve">Na držiteľov niektorých druhov zbraní kategórie D (palná zbraň určená na streľbu nábojmi typu </w:t>
            </w:r>
            <w:proofErr w:type="spellStart"/>
            <w:r w:rsidRPr="009D2F13">
              <w:t>flobert</w:t>
            </w:r>
            <w:proofErr w:type="spellEnd"/>
            <w:r w:rsidRPr="009D2F13">
              <w:t xml:space="preserve"> s energiou strely na ústí hlavne najviac 7,5 J, expanzná zbraň, zbraň znehodnotená podľa nariadenia a palná zbraň skonštruovaná na princípe </w:t>
            </w:r>
            <w:proofErr w:type="spellStart"/>
            <w:r w:rsidRPr="009D2F13">
              <w:t>perkusného</w:t>
            </w:r>
            <w:proofErr w:type="spellEnd"/>
            <w:r w:rsidRPr="009D2F13">
              <w:t xml:space="preserve">, kresadlového, kolieskového alebo </w:t>
            </w:r>
            <w:proofErr w:type="spellStart"/>
            <w:r w:rsidRPr="009D2F13">
              <w:t>tlejákového</w:t>
            </w:r>
            <w:proofErr w:type="spellEnd"/>
            <w:r w:rsidRPr="009D2F13">
              <w:t xml:space="preserve"> zámkového systému) sa bude vzťahovať povinnosť tieto zbrane zaevidovať.</w:t>
            </w:r>
          </w:p>
        </w:tc>
      </w:tr>
      <w:tr w:rsidR="009D2F13" w:rsidRPr="009D2F13" w:rsidTr="0096653D">
        <w:trPr>
          <w:trHeight w:val="20"/>
        </w:trPr>
        <w:tc>
          <w:tcPr>
            <w:tcW w:w="9371" w:type="dxa"/>
          </w:tcPr>
          <w:p w:rsidR="009D2F13" w:rsidRPr="009D2F13" w:rsidRDefault="009D2F13" w:rsidP="009D2F13">
            <w:pPr>
              <w:widowControl w:val="0"/>
              <w:adjustRightInd w:val="0"/>
              <w:jc w:val="both"/>
              <w:textAlignment w:val="baseline"/>
              <w:rPr>
                <w:i/>
                <w:iCs/>
              </w:rPr>
            </w:pPr>
            <w:r w:rsidRPr="009D2F13">
              <w:rPr>
                <w:i/>
                <w:iCs/>
              </w:rPr>
              <w:t>Zanikajúce povinnosti (identifikujte)</w:t>
            </w:r>
          </w:p>
        </w:tc>
      </w:tr>
      <w:tr w:rsidR="009D2F13" w:rsidRPr="009D2F13" w:rsidTr="0096653D">
        <w:trPr>
          <w:trHeight w:val="609"/>
        </w:trPr>
        <w:tc>
          <w:tcPr>
            <w:tcW w:w="9371" w:type="dxa"/>
          </w:tcPr>
          <w:p w:rsidR="009D2F13" w:rsidRPr="009D2F13" w:rsidRDefault="009D2F13" w:rsidP="009D2F13">
            <w:pPr>
              <w:widowControl w:val="0"/>
              <w:adjustRightInd w:val="0"/>
              <w:jc w:val="both"/>
              <w:textAlignment w:val="baseline"/>
              <w:rPr>
                <w:i/>
                <w:iCs/>
              </w:rPr>
            </w:pPr>
            <w:r w:rsidRPr="009D2F13">
              <w:t xml:space="preserve">Orgány verejnej moci pri svojej úradnej činnosti budú oprávnené získavať a používať údaje evidované v informačných systémoch verejnej správy a vyhotovovať si z nich výpisy. </w:t>
            </w:r>
            <w:r w:rsidRPr="009D2F13">
              <w:lastRenderedPageBreak/>
              <w:t>Prostredníctvom týchto oprávnení orgánov verejnej moci nebudú mať žiadatelia povinnosť predkladať úradne osvedčené kópie príslušných dokladov potrebných na vydanie napr. zbrojného preukazu, povolenia na prevádzkovanie strelnice.</w:t>
            </w:r>
          </w:p>
        </w:tc>
      </w:tr>
    </w:tbl>
    <w:p w:rsidR="009D2F13" w:rsidRPr="009D2F13" w:rsidRDefault="009D2F13" w:rsidP="009D2F13">
      <w:pPr>
        <w:widowControl w:val="0"/>
        <w:adjustRightInd w:val="0"/>
        <w:spacing w:line="360" w:lineRule="atLeast"/>
        <w:jc w:val="both"/>
        <w:textAlignment w:val="baseline"/>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D2F13" w:rsidRPr="009D2F13" w:rsidTr="0096653D">
        <w:trPr>
          <w:trHeight w:val="20"/>
        </w:trPr>
        <w:tc>
          <w:tcPr>
            <w:tcW w:w="9371" w:type="dxa"/>
            <w:shd w:val="clear" w:color="auto" w:fill="BFBFBF"/>
            <w:vAlign w:val="center"/>
          </w:tcPr>
          <w:p w:rsidR="009D2F13" w:rsidRPr="009D2F13" w:rsidRDefault="009D2F13" w:rsidP="009D2F13">
            <w:pPr>
              <w:widowControl w:val="0"/>
              <w:adjustRightInd w:val="0"/>
              <w:jc w:val="center"/>
              <w:textAlignment w:val="baseline"/>
              <w:rPr>
                <w:b/>
                <w:sz w:val="28"/>
                <w:szCs w:val="28"/>
              </w:rPr>
            </w:pPr>
            <w:r w:rsidRPr="009D2F13">
              <w:rPr>
                <w:b/>
                <w:sz w:val="28"/>
                <w:szCs w:val="28"/>
              </w:rPr>
              <w:t>7.3 Vplyv na procesy služieb vo verejnej správe</w:t>
            </w:r>
          </w:p>
        </w:tc>
      </w:tr>
      <w:tr w:rsidR="009D2F13" w:rsidRPr="009D2F13" w:rsidTr="0096653D">
        <w:trPr>
          <w:trHeight w:val="390"/>
        </w:trPr>
        <w:tc>
          <w:tcPr>
            <w:tcW w:w="9371" w:type="dxa"/>
          </w:tcPr>
          <w:p w:rsidR="009D2F13" w:rsidRPr="009D2F13" w:rsidRDefault="009D2F13" w:rsidP="009D2F13">
            <w:pPr>
              <w:widowControl w:val="0"/>
              <w:adjustRightInd w:val="0"/>
              <w:jc w:val="both"/>
              <w:textAlignment w:val="baseline"/>
              <w:rPr>
                <w:b/>
              </w:rPr>
            </w:pPr>
            <w:r w:rsidRPr="009D2F13">
              <w:rPr>
                <w:b/>
              </w:rPr>
              <w:t xml:space="preserve">7.3.1 Ktoré sú dotknuté subjekty verejnej správy? </w:t>
            </w:r>
          </w:p>
        </w:tc>
      </w:tr>
      <w:tr w:rsidR="009D2F13" w:rsidRPr="009D2F13" w:rsidTr="0096653D">
        <w:trPr>
          <w:trHeight w:val="397"/>
        </w:trPr>
        <w:tc>
          <w:tcPr>
            <w:tcW w:w="9371" w:type="dxa"/>
            <w:shd w:val="clear" w:color="auto" w:fill="auto"/>
            <w:vAlign w:val="center"/>
          </w:tcPr>
          <w:p w:rsidR="009D2F13" w:rsidRPr="009D2F13" w:rsidRDefault="009D2F13" w:rsidP="009D2F13">
            <w:pPr>
              <w:widowControl w:val="0"/>
              <w:adjustRightInd w:val="0"/>
              <w:textAlignment w:val="baseline"/>
            </w:pPr>
            <w:r w:rsidRPr="009D2F13">
              <w:t>Ministerstvo vnútra SR, Policajný zbor, Ministerstvo školstva, vedy, výskumu a športu SR, Ministerstvo hospodárstva SR</w:t>
            </w:r>
          </w:p>
        </w:tc>
      </w:tr>
      <w:tr w:rsidR="009D2F13" w:rsidRPr="009D2F13" w:rsidTr="0096653D">
        <w:trPr>
          <w:trHeight w:val="20"/>
        </w:trPr>
        <w:tc>
          <w:tcPr>
            <w:tcW w:w="9371" w:type="dxa"/>
          </w:tcPr>
          <w:p w:rsidR="009D2F13" w:rsidRPr="009D2F13" w:rsidRDefault="009D2F13" w:rsidP="009D2F13">
            <w:pPr>
              <w:widowControl w:val="0"/>
              <w:adjustRightInd w:val="0"/>
              <w:jc w:val="both"/>
              <w:textAlignment w:val="baseline"/>
              <w:rPr>
                <w:i/>
                <w:iCs/>
              </w:rPr>
            </w:pPr>
            <w:r w:rsidRPr="009D2F13">
              <w:rPr>
                <w:b/>
              </w:rPr>
              <w:t xml:space="preserve">7.3.2 Vyplývajú z návrhu pre orgán verejnej správy pri vybavení požiadavky nové povinnosti alebo zanikajú už existujúce povinnosti?  </w:t>
            </w:r>
            <w:r w:rsidRPr="009D2F13">
              <w:rPr>
                <w:iCs/>
              </w:rPr>
              <w:t xml:space="preserve"> </w:t>
            </w:r>
          </w:p>
        </w:tc>
      </w:tr>
      <w:tr w:rsidR="009D2F13" w:rsidRPr="009D2F13" w:rsidTr="0096653D">
        <w:trPr>
          <w:trHeight w:val="20"/>
        </w:trPr>
        <w:tc>
          <w:tcPr>
            <w:tcW w:w="9371" w:type="dxa"/>
          </w:tcPr>
          <w:p w:rsidR="009D2F13" w:rsidRPr="009D2F13" w:rsidRDefault="009D2F13" w:rsidP="009D2F13">
            <w:pPr>
              <w:widowControl w:val="0"/>
              <w:adjustRightInd w:val="0"/>
              <w:jc w:val="both"/>
              <w:textAlignment w:val="baseline"/>
              <w:rPr>
                <w:i/>
                <w:iCs/>
              </w:rPr>
            </w:pPr>
            <w:r w:rsidRPr="009D2F13">
              <w:rPr>
                <w:i/>
                <w:iCs/>
              </w:rPr>
              <w:t>Nové povinnosti (identifikujte)</w:t>
            </w:r>
          </w:p>
        </w:tc>
      </w:tr>
      <w:tr w:rsidR="009D2F13" w:rsidRPr="009D2F13" w:rsidTr="0096653D">
        <w:trPr>
          <w:trHeight w:val="674"/>
        </w:trPr>
        <w:tc>
          <w:tcPr>
            <w:tcW w:w="9371" w:type="dxa"/>
          </w:tcPr>
          <w:p w:rsidR="009D2F13" w:rsidRPr="009D2F13" w:rsidRDefault="009D2F13" w:rsidP="009D2F13">
            <w:pPr>
              <w:widowControl w:val="0"/>
              <w:adjustRightInd w:val="0"/>
              <w:jc w:val="both"/>
              <w:textAlignment w:val="baseline"/>
              <w:rPr>
                <w:iCs/>
              </w:rPr>
            </w:pPr>
            <w:r w:rsidRPr="009D2F13">
              <w:rPr>
                <w:iCs/>
              </w:rPr>
              <w:t>Orgány verejnej moci pri svojej úradnej činnosti budú oprávnené získavať a používať údaje evidované v informačných systémoch verejnej správy. Prostredníctvom týchto oprávnení orgánov verejnej moci bude overovanie predložených dokladov prebiehať s pomocou údajov vložených v informačných systémoch.</w:t>
            </w:r>
          </w:p>
        </w:tc>
      </w:tr>
      <w:tr w:rsidR="009D2F13" w:rsidRPr="009D2F13" w:rsidTr="0096653D">
        <w:trPr>
          <w:trHeight w:val="20"/>
        </w:trPr>
        <w:tc>
          <w:tcPr>
            <w:tcW w:w="9371" w:type="dxa"/>
          </w:tcPr>
          <w:p w:rsidR="009D2F13" w:rsidRPr="009D2F13" w:rsidRDefault="009D2F13" w:rsidP="009D2F13">
            <w:pPr>
              <w:widowControl w:val="0"/>
              <w:adjustRightInd w:val="0"/>
              <w:jc w:val="both"/>
              <w:textAlignment w:val="baseline"/>
              <w:rPr>
                <w:i/>
                <w:iCs/>
              </w:rPr>
            </w:pPr>
            <w:r w:rsidRPr="009D2F13">
              <w:rPr>
                <w:i/>
                <w:iCs/>
              </w:rPr>
              <w:t>Zanikajúce povinnosti (identifikujte)</w:t>
            </w:r>
          </w:p>
        </w:tc>
      </w:tr>
      <w:tr w:rsidR="009D2F13" w:rsidRPr="009D2F13" w:rsidTr="0096653D">
        <w:trPr>
          <w:trHeight w:val="397"/>
        </w:trPr>
        <w:tc>
          <w:tcPr>
            <w:tcW w:w="9371" w:type="dxa"/>
            <w:vAlign w:val="center"/>
          </w:tcPr>
          <w:p w:rsidR="009D2F13" w:rsidRPr="009D2F13" w:rsidRDefault="009D2F13" w:rsidP="009D2F13">
            <w:pPr>
              <w:widowControl w:val="0"/>
              <w:adjustRightInd w:val="0"/>
              <w:textAlignment w:val="baseline"/>
              <w:rPr>
                <w:i/>
                <w:iCs/>
              </w:rPr>
            </w:pPr>
            <w:r w:rsidRPr="009D2F13">
              <w:rPr>
                <w:sz w:val="22"/>
              </w:rPr>
              <w:t>Nie</w:t>
            </w:r>
          </w:p>
        </w:tc>
      </w:tr>
    </w:tbl>
    <w:p w:rsidR="009D2F13" w:rsidRPr="009D2F13" w:rsidRDefault="009D2F13" w:rsidP="009D2F13">
      <w:pPr>
        <w:widowControl w:val="0"/>
        <w:autoSpaceDE w:val="0"/>
        <w:autoSpaceDN w:val="0"/>
        <w:adjustRightInd w:val="0"/>
        <w:jc w:val="center"/>
        <w:textAlignment w:val="baseline"/>
        <w:rPr>
          <w:rFonts w:eastAsia="Calibri"/>
          <w:b/>
          <w:bCs/>
          <w:color w:val="000000"/>
          <w:sz w:val="36"/>
          <w:szCs w:val="28"/>
          <w:lang w:eastAsia="en-US"/>
        </w:rPr>
      </w:pPr>
    </w:p>
    <w:p w:rsidR="009D2F13" w:rsidRPr="009D2F13" w:rsidRDefault="009D2F13" w:rsidP="009D2F13">
      <w:pPr>
        <w:widowControl w:val="0"/>
        <w:autoSpaceDE w:val="0"/>
        <w:autoSpaceDN w:val="0"/>
        <w:adjustRightInd w:val="0"/>
        <w:contextualSpacing/>
        <w:jc w:val="both"/>
        <w:textAlignment w:val="baseline"/>
        <w:rPr>
          <w:rFonts w:eastAsia="Calibri"/>
          <w:bCs/>
          <w:color w:val="000000"/>
          <w:lang w:eastAsia="en-US"/>
        </w:rPr>
      </w:pPr>
      <w:r w:rsidRPr="009D2F13">
        <w:rPr>
          <w:rFonts w:eastAsia="Calibri"/>
          <w:bCs/>
          <w:color w:val="000000"/>
          <w:lang w:eastAsia="en-US"/>
        </w:rPr>
        <w:t>Zdroje:</w:t>
      </w:r>
    </w:p>
    <w:p w:rsidR="009D2F13" w:rsidRPr="009D2F13" w:rsidRDefault="009D2F13" w:rsidP="009D2F13">
      <w:pPr>
        <w:widowControl w:val="0"/>
        <w:autoSpaceDE w:val="0"/>
        <w:autoSpaceDN w:val="0"/>
        <w:adjustRightInd w:val="0"/>
        <w:contextualSpacing/>
        <w:jc w:val="both"/>
        <w:textAlignment w:val="baseline"/>
        <w:rPr>
          <w:rFonts w:eastAsia="Calibri"/>
          <w:bCs/>
          <w:color w:val="000000"/>
          <w:lang w:eastAsia="en-US"/>
        </w:rPr>
      </w:pPr>
      <w:r w:rsidRPr="009D2F13">
        <w:rPr>
          <w:rFonts w:eastAsia="Calibri"/>
          <w:bCs/>
          <w:color w:val="000000"/>
          <w:lang w:eastAsia="en-US"/>
        </w:rPr>
        <w:t>Pri procese posudzovania vplyvov na služby verejnej správy pre občana boli získané informácie a údaje z nasledujúcich zdrojov :</w:t>
      </w:r>
    </w:p>
    <w:p w:rsidR="009D2F13" w:rsidRPr="009D2F13" w:rsidRDefault="009D2F13" w:rsidP="009D2F13">
      <w:pPr>
        <w:widowControl w:val="0"/>
        <w:autoSpaceDE w:val="0"/>
        <w:autoSpaceDN w:val="0"/>
        <w:adjustRightInd w:val="0"/>
        <w:contextualSpacing/>
        <w:jc w:val="both"/>
        <w:textAlignment w:val="baseline"/>
        <w:rPr>
          <w:rFonts w:eastAsia="Calibri"/>
          <w:bCs/>
          <w:color w:val="000000"/>
          <w:lang w:eastAsia="en-US"/>
        </w:rPr>
      </w:pPr>
      <w:hyperlink r:id="rId13" w:history="1">
        <w:r w:rsidRPr="009D2F13">
          <w:rPr>
            <w:rFonts w:eastAsia="Calibri"/>
            <w:bCs/>
            <w:color w:val="0000FF"/>
            <w:u w:val="single"/>
            <w:lang w:eastAsia="en-US"/>
          </w:rPr>
          <w:t>http://www.minv.sk/?statisticke-prehlady-evidencie-zbrani</w:t>
        </w:r>
      </w:hyperlink>
    </w:p>
    <w:p w:rsidR="009D2F13" w:rsidRPr="009D2F13" w:rsidRDefault="009D2F13" w:rsidP="009D2F13">
      <w:pPr>
        <w:widowControl w:val="0"/>
        <w:autoSpaceDE w:val="0"/>
        <w:autoSpaceDN w:val="0"/>
        <w:adjustRightInd w:val="0"/>
        <w:contextualSpacing/>
        <w:jc w:val="both"/>
        <w:textAlignment w:val="baseline"/>
        <w:rPr>
          <w:rFonts w:eastAsia="Calibri"/>
          <w:bCs/>
          <w:color w:val="000000"/>
          <w:lang w:eastAsia="en-US"/>
        </w:rPr>
      </w:pPr>
    </w:p>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AF9" w:rsidRDefault="00887AF9">
      <w:r>
        <w:separator/>
      </w:r>
    </w:p>
  </w:endnote>
  <w:endnote w:type="continuationSeparator" w:id="0">
    <w:p w:rsidR="00887AF9" w:rsidRDefault="008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13" w:rsidRDefault="009D2F1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9D2F13" w:rsidRDefault="009D2F1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13" w:rsidRDefault="009D2F13">
    <w:pPr>
      <w:pStyle w:val="Pta"/>
      <w:jc w:val="right"/>
    </w:pPr>
    <w:r>
      <w:fldChar w:fldCharType="begin"/>
    </w:r>
    <w:r>
      <w:instrText>PAGE   \* MERGEFORMAT</w:instrText>
    </w:r>
    <w:r>
      <w:fldChar w:fldCharType="separate"/>
    </w:r>
    <w:r>
      <w:rPr>
        <w:noProof/>
      </w:rPr>
      <w:t>1</w:t>
    </w:r>
    <w:r>
      <w:fldChar w:fldCharType="end"/>
    </w:r>
  </w:p>
  <w:p w:rsidR="009D2F13" w:rsidRDefault="009D2F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AF9" w:rsidRDefault="00887AF9">
      <w:r>
        <w:separator/>
      </w:r>
    </w:p>
  </w:footnote>
  <w:footnote w:type="continuationSeparator" w:id="0">
    <w:p w:rsidR="00887AF9" w:rsidRDefault="0088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13" w:rsidRDefault="009D2F13" w:rsidP="003A01DE">
    <w:pPr>
      <w:pStyle w:val="Hlavika"/>
      <w:jc w:val="right"/>
    </w:pPr>
    <w:r>
      <w:t>Príloha č. 2</w:t>
    </w:r>
  </w:p>
  <w:p w:rsidR="009D2F13" w:rsidRPr="00EB59C8" w:rsidRDefault="009D2F13" w:rsidP="003A01DE">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13" w:rsidRPr="000A15AE" w:rsidRDefault="009D2F13" w:rsidP="003A01DE">
    <w:pPr>
      <w:pStyle w:val="Hlavika"/>
      <w:jc w:val="right"/>
    </w:pPr>
    <w: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79B7"/>
    <w:multiLevelType w:val="hybridMultilevel"/>
    <w:tmpl w:val="68F615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B474B2"/>
    <w:multiLevelType w:val="hybridMultilevel"/>
    <w:tmpl w:val="63F88F12"/>
    <w:lvl w:ilvl="0" w:tplc="9BF8168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1D6F"/>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3C2E"/>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3B21"/>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251D"/>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261C"/>
    <w:rsid w:val="006330CB"/>
    <w:rsid w:val="006346F5"/>
    <w:rsid w:val="006411E7"/>
    <w:rsid w:val="00644B1D"/>
    <w:rsid w:val="006507F3"/>
    <w:rsid w:val="006512E3"/>
    <w:rsid w:val="006516F7"/>
    <w:rsid w:val="00656031"/>
    <w:rsid w:val="00662E64"/>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07C3E"/>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87AF9"/>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74B39"/>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2F13"/>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1C14"/>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216"/>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DE192F3-0545-4CA6-A5EF-2FBB73F9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lostrany">
    <w:name w:val="page number"/>
    <w:basedOn w:val="Predvolenpsmoodseku"/>
    <w:uiPriority w:val="99"/>
    <w:rsid w:val="009D2F13"/>
    <w:rPr>
      <w:rFonts w:cs="Times New Roman"/>
    </w:rPr>
  </w:style>
  <w:style w:type="table" w:customStyle="1" w:styleId="Mriekatabuky1">
    <w:name w:val="Mriežka tabuľky1"/>
    <w:basedOn w:val="Normlnatabuka"/>
    <w:next w:val="Mriekatabuky"/>
    <w:uiPriority w:val="59"/>
    <w:rsid w:val="009D2F13"/>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9D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624">
      <w:bodyDiv w:val="1"/>
      <w:marLeft w:val="0"/>
      <w:marRight w:val="0"/>
      <w:marTop w:val="0"/>
      <w:marBottom w:val="0"/>
      <w:divBdr>
        <w:top w:val="none" w:sz="0" w:space="0" w:color="auto"/>
        <w:left w:val="none" w:sz="0" w:space="0" w:color="auto"/>
        <w:bottom w:val="none" w:sz="0" w:space="0" w:color="auto"/>
        <w:right w:val="none" w:sz="0" w:space="0" w:color="auto"/>
      </w:divBdr>
    </w:div>
    <w:div w:id="660237867">
      <w:bodyDiv w:val="1"/>
      <w:marLeft w:val="0"/>
      <w:marRight w:val="0"/>
      <w:marTop w:val="0"/>
      <w:marBottom w:val="0"/>
      <w:divBdr>
        <w:top w:val="none" w:sz="0" w:space="0" w:color="auto"/>
        <w:left w:val="none" w:sz="0" w:space="0" w:color="auto"/>
        <w:bottom w:val="none" w:sz="0" w:space="0" w:color="auto"/>
        <w:right w:val="none" w:sz="0" w:space="0" w:color="auto"/>
      </w:divBdr>
    </w:div>
    <w:div w:id="66258793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610895674">
      <w:bodyDiv w:val="1"/>
      <w:marLeft w:val="0"/>
      <w:marRight w:val="0"/>
      <w:marTop w:val="0"/>
      <w:marBottom w:val="0"/>
      <w:divBdr>
        <w:top w:val="none" w:sz="0" w:space="0" w:color="auto"/>
        <w:left w:val="none" w:sz="0" w:space="0" w:color="auto"/>
        <w:bottom w:val="none" w:sz="0" w:space="0" w:color="auto"/>
        <w:right w:val="none" w:sz="0" w:space="0" w:color="auto"/>
      </w:divBdr>
    </w:div>
    <w:div w:id="16635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sko.sk" TargetMode="External"/><Relationship Id="rId13" Type="http://schemas.openxmlformats.org/officeDocument/2006/relationships/hyperlink" Target="http://www.minv.sk/?statisticke-prehlady-evidencie-zbr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5.10.2020 13:12:53"/>
    <f:field ref="objchangedby" par="" text="Administrator, System"/>
    <f:field ref="objmodifiedat" par="" text="15.10.2020 13:12:5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8946</Words>
  <Characters>50998</Characters>
  <Application>Microsoft Office Word</Application>
  <DocSecurity>0</DocSecurity>
  <Lines>424</Lines>
  <Paragraphs>119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Marianna Ferancova</cp:lastModifiedBy>
  <cp:revision>7</cp:revision>
  <dcterms:created xsi:type="dcterms:W3CDTF">2020-10-15T11:12:00Z</dcterms:created>
  <dcterms:modified xsi:type="dcterms:W3CDTF">2021-03-30T10:20:00Z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Juraj Beník</vt:lpwstr>
  </property>
  <property fmtid="{D5CDD505-2E9C-101B-9397-08002B2CF9AE}" pid="9" name="FSC#SKEDITIONSLOVLEX@103.510:zodppredkladatel">
    <vt:lpwstr>Ing. Roman Mikulec</vt:lpwstr>
  </property>
  <property fmtid="{D5CDD505-2E9C-101B-9397-08002B2CF9AE}" pid="10" name="FSC#SKEDITIONSLOVLEX@103.510:nazovpredpis">
    <vt:lpwstr>, ktorým sa mení a dopĺňa zákon č. 190/2003 Z. z. o strelných zbraniach a strelive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vnútra Slovenskej republiky</vt:lpwstr>
  </property>
  <property fmtid="{D5CDD505-2E9C-101B-9397-08002B2CF9AE}" pid="13"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14" name="FSC#SKEDITIONSLOVLEX@103.510:autorpredpis">
    <vt:lpwstr/>
  </property>
  <property fmtid="{D5CDD505-2E9C-101B-9397-08002B2CF9AE}" pid="15" name="FSC#SKEDITIONSLOVLEX@103.510:podnetpredpis">
    <vt:lpwstr>Bod B.4 uznesenia vlády SR č. 427 z 13. septembra 2017</vt:lpwstr>
  </property>
  <property fmtid="{D5CDD505-2E9C-101B-9397-08002B2CF9AE}" pid="16" name="FSC#SKEDITIONSLOVLEX@103.510:plnynazovpredpis">
    <vt:lpwstr> Zákon, ktorým sa mení a dopĺňa zákon č. 190/2003 Z. z. o strelných zbraniach a strelive a o zmene a doplnení niektorých zákonov v znení neskorších predpisov a ktorým sa menia a dopĺňajú niektoré zákony</vt:lpwstr>
  </property>
  <property fmtid="{D5CDD505-2E9C-101B-9397-08002B2CF9AE}" pid="17" name="FSC#SKEDITIONSLOVLEX@103.510:rezortcislopredpis">
    <vt:lpwstr>KM-OBL-230-10/2018</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LP/2020/464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 čl. 114</vt:lpwstr>
  </property>
  <property fmtid="{D5CDD505-2E9C-101B-9397-08002B2CF9AE}" pid="37" name="FSC#SKEDITIONSLOVLEX@103.510:AttrStrListDocPropSekundarneLegPravoPO">
    <vt:lpwstr>Smernica Rady z 18. júna 1991 o kontrole získavania a vlastnenia zbraní (91/477/EHS) (Mimoriadne vydanie Ú. v. EÚ, kap. 13/zv. 11) v platnom znení.  Gestor: MV SR, Spolugestor: ÚNMS SR_x000d_
Smernica Európskeho parlamentu a Rady (EÚ) 2017/853 zo 17. mája 2017,</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Rozsudok Súdneho dvora Európskej únie z 3. decembra 2019 vo veci  C 482/17 (ECLI: ECLI:EU:C:2019:1035)</vt:lpwstr>
  </property>
  <property fmtid="{D5CDD505-2E9C-101B-9397-08002B2CF9AE}" pid="42" name="FSC#SKEDITIONSLOVLEX@103.510:AttrStrListDocPropLehotaPrebratieSmernice">
    <vt:lpwstr>Lehota na prebratie smernice Európskeho parlamentu a Rady (EÚ) 2017/853 zo 17. mája 2017, ktorou sa mení smernica Rady 91/477/EHS o kontrole získavania a vlastnenia zbraní je 14. september 2018 okrem čl. 4 ods. 3 a čl. 4 ods. 4, kde je lehota 14. december</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konanie o porušení zmlúv č. 2018/0394 z dôvodu uplynutia transpozičnej lehoty smernice</vt:lpwstr>
  </property>
  <property fmtid="{D5CDD505-2E9C-101B-9397-08002B2CF9AE}" pid="45" name="FSC#SKEDITIONSLOVLEX@103.510:AttrStrListDocPropInfoUzPreberanePP">
    <vt:lpwstr>- smernica Rady z 18. júna 1991 o kontrole získavania a vlastnenia zbraní (91/477/EHS) (Mimoriadne vydanie Ú. v. EÚ, kap. 13/zv. 11) v znení do uverejnenia smernice Európskeho parlamentu a Rady (EÚ) 2017/853 zo 17. mája 2017, ktorou sa mení smernica Rady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16. 4. 2018</vt:lpwstr>
  </property>
  <property fmtid="{D5CDD505-2E9C-101B-9397-08002B2CF9AE}" pid="49" name="FSC#SKEDITIONSLOVLEX@103.510:AttrDateDocPropUkonceniePKK">
    <vt:lpwstr>30. 4. 2018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&lt;p&gt;Návrh zákona predpokladá negatívny vplyv na rozpočet verejnej správy. Vyžaduje si zvýšenie limitu finančných prostriedkov, ktoré nie sú zohľadnené v rozpočte kapitoly MV SR na rok 2020 a ani v návrhu rozpočtu verejnej správy na roky 2021– 2024. MV SR n</vt:lpwstr>
  </property>
  <property fmtid="{D5CDD505-2E9C-101B-9397-08002B2CF9AE}" pid="5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57" name="FSC#SKEDITIONSLOVLEX@103.510:AttrStrListDocPropStanoviskoGest">
    <vt:lpwstr>&lt;p&gt;Stanovisko komisie (predbežné pripomienkové konanie) k návrhu zákona, ktorým sa mení a dopĺňa zákon&amp;nbsp;&amp;nbsp;&amp;nbsp;&amp;nbsp;&amp;nbsp;&amp;nbsp;&amp;nbsp;&amp;nbsp; č. 190/2003 Z. z. o strelných zbraniach a strelive a o zmene a doplnení niektorých zákonov v znení nesko</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vnútra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justify;"&gt;&amp;nbsp;&amp;nbsp;&amp;nbsp;&amp;nbsp;&amp;nbsp;&amp;nbsp;&amp;nbsp;&amp;nbsp;&amp;nbsp;&amp;nbsp;&amp;nbsp;&amp;nbsp; Ministerstvo vnútra Slovenskej republiky vypracovalo návrh zákona, ktorým sa mení a&amp;nbsp;dopĺňa zákon č. 190/2003 Z. z. o strelných zbraniach a streli</vt:lpwstr>
  </property>
  <property fmtid="{D5CDD505-2E9C-101B-9397-08002B2CF9AE}" pid="130" name="FSC#COOSYSTEM@1.1:Container">
    <vt:lpwstr>COO.2145.1000.3.4049635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width="100%"&gt;	&lt;tbody&gt;		&lt;tr&gt;			&lt;td colspan="5" style="width:100.0%;height:37px;"&gt;			&lt;h2 align="center"&gt;&lt;strong&gt;Správa o účasti verejnosti na tvorbe právneho predpisu&lt;/strong&gt;&lt;/h2&gt;			&lt;h2&gt;&lt;strong</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vnútra Slovenskej republiky</vt:lpwstr>
  </property>
  <property fmtid="{D5CDD505-2E9C-101B-9397-08002B2CF9AE}" pid="145" name="FSC#SKEDITIONSLOVLEX@103.510:funkciaZodpPredAkuzativ">
    <vt:lpwstr>Ministra vnútra Slovenskej republiky</vt:lpwstr>
  </property>
  <property fmtid="{D5CDD505-2E9C-101B-9397-08002B2CF9AE}" pid="146" name="FSC#SKEDITIONSLOVLEX@103.510:funkciaZodpPredDativ">
    <vt:lpwstr>Ministrovi vnútra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Roman Mikulec_x000d_
minister vnútra Slovenskej republiky</vt:lpwstr>
  </property>
  <property fmtid="{D5CDD505-2E9C-101B-9397-08002B2CF9AE}" pid="151" name="FSC#SKEDITIONSLOVLEX@103.510:aktualnyrok">
    <vt:lpwstr>2020</vt:lpwstr>
  </property>
  <property fmtid="{D5CDD505-2E9C-101B-9397-08002B2CF9AE}" pid="152" name="FSC#SKEDITIONSLOVLEX@103.510:vytvorenedna">
    <vt:lpwstr>15. 10. 2020</vt:lpwstr>
  </property>
</Properties>
</file>