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D07F65" w:rsidRPr="00D07F65" w:rsidTr="00B5245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jc w:val="center"/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 xml:space="preserve">Analýza vplyvov na podnikateľské prostredie </w:t>
            </w:r>
          </w:p>
          <w:p w:rsidR="00D07F65" w:rsidRPr="00D07F65" w:rsidRDefault="00D07F65" w:rsidP="00B5245C">
            <w:pPr>
              <w:jc w:val="center"/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(vrátane testu MSP)</w:t>
            </w:r>
          </w:p>
        </w:tc>
      </w:tr>
      <w:tr w:rsidR="00D07F65" w:rsidRPr="00D07F65" w:rsidTr="00B5245C">
        <w:trPr>
          <w:trHeight w:val="441"/>
        </w:trPr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Materiál bude mať vplyv s ohľadom na veľkostnú kategóriu podnikov:</w:t>
            </w:r>
          </w:p>
        </w:tc>
      </w:tr>
      <w:tr w:rsidR="00D07F65" w:rsidRPr="00D07F65" w:rsidTr="00B5245C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 w:rsidR="00D07F65" w:rsidRPr="00D07F65" w:rsidTr="00B5245C">
              <w:sdt>
                <w:sdtPr>
                  <w:rPr>
                    <w:sz w:val="20"/>
                    <w:szCs w:val="20"/>
                  </w:rPr>
                  <w:id w:val="43339831"/>
                </w:sdtPr>
                <w:sdtContent>
                  <w:tc>
                    <w:tcPr>
                      <w:tcW w:w="436" w:type="dxa"/>
                    </w:tcPr>
                    <w:p w:rsidR="00D07F65" w:rsidRPr="00D07F65" w:rsidRDefault="00D07F65" w:rsidP="00B524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7F65">
                        <w:rPr>
                          <w:rFonts w:ascii="Segoe UI Symbol" w:eastAsia="MS Mincho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07F65" w:rsidRPr="00D07F65" w:rsidRDefault="00D07F65" w:rsidP="00B5245C">
                  <w:pPr>
                    <w:rPr>
                      <w:b/>
                      <w:sz w:val="20"/>
                      <w:szCs w:val="20"/>
                    </w:rPr>
                  </w:pPr>
                  <w:r w:rsidRPr="00D07F65">
                    <w:rPr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D07F65" w:rsidRPr="00D07F65" w:rsidTr="00B5245C">
              <w:sdt>
                <w:sdtPr>
                  <w:rPr>
                    <w:sz w:val="20"/>
                    <w:szCs w:val="20"/>
                  </w:rPr>
                  <w:id w:val="-79453833"/>
                </w:sdtPr>
                <w:sdtContent>
                  <w:tc>
                    <w:tcPr>
                      <w:tcW w:w="436" w:type="dxa"/>
                    </w:tcPr>
                    <w:p w:rsidR="00D07F65" w:rsidRPr="00D07F65" w:rsidRDefault="00D07F65" w:rsidP="00B524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7F65">
                        <w:rPr>
                          <w:rFonts w:ascii="Segoe UI Symbol" w:eastAsia="MS Mincho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07F65" w:rsidRPr="00D07F65" w:rsidRDefault="00D07F65" w:rsidP="00B5245C">
                  <w:pPr>
                    <w:rPr>
                      <w:b/>
                      <w:sz w:val="20"/>
                      <w:szCs w:val="20"/>
                    </w:rPr>
                  </w:pPr>
                  <w:r w:rsidRPr="00D07F65">
                    <w:rPr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D07F65" w:rsidRPr="00D07F65" w:rsidTr="00B5245C">
              <w:sdt>
                <w:sdtPr>
                  <w:rPr>
                    <w:sz w:val="20"/>
                    <w:szCs w:val="20"/>
                  </w:rPr>
                  <w:id w:val="1290634502"/>
                </w:sdtPr>
                <w:sdtContent>
                  <w:tc>
                    <w:tcPr>
                      <w:tcW w:w="436" w:type="dxa"/>
                    </w:tcPr>
                    <w:p w:rsidR="00D07F65" w:rsidRPr="00D07F65" w:rsidRDefault="00D07F65" w:rsidP="00B524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7F6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07F65" w:rsidRPr="00D07F65" w:rsidRDefault="00D07F65" w:rsidP="00B5245C">
                  <w:pPr>
                    <w:rPr>
                      <w:sz w:val="20"/>
                      <w:szCs w:val="20"/>
                    </w:rPr>
                  </w:pPr>
                  <w:r w:rsidRPr="00D07F65">
                    <w:rPr>
                      <w:b/>
                      <w:sz w:val="20"/>
                      <w:szCs w:val="20"/>
                    </w:rPr>
                    <w:t xml:space="preserve">na všetky kategórie </w:t>
                  </w:r>
                  <w:r w:rsidR="00BB527A">
                    <w:rPr>
                      <w:b/>
                      <w:sz w:val="20"/>
                      <w:szCs w:val="20"/>
                    </w:rPr>
                    <w:t>podnikov</w:t>
                  </w:r>
                </w:p>
              </w:tc>
            </w:tr>
          </w:tbl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</w:p>
        </w:tc>
      </w:tr>
      <w:tr w:rsidR="00D07F65" w:rsidRPr="00D07F65" w:rsidTr="00B5245C"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3.1 Dotknuté podnikateľské subjekty</w:t>
            </w:r>
          </w:p>
          <w:p w:rsidR="00D07F65" w:rsidRPr="00D07F65" w:rsidRDefault="00D07F65" w:rsidP="00B5245C">
            <w:pPr>
              <w:ind w:left="284"/>
              <w:rPr>
                <w:b/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 - </w:t>
            </w:r>
            <w:r w:rsidRPr="00D07F65">
              <w:rPr>
                <w:b/>
                <w:sz w:val="20"/>
                <w:szCs w:val="20"/>
              </w:rPr>
              <w:t>z toho MSP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Aký je ich počet?</w:t>
            </w:r>
          </w:p>
        </w:tc>
      </w:tr>
      <w:tr w:rsidR="00D07F65" w:rsidRPr="00D07F65" w:rsidTr="00504D62">
        <w:trPr>
          <w:trHeight w:val="903"/>
        </w:trPr>
        <w:tc>
          <w:tcPr>
            <w:tcW w:w="9212" w:type="dxa"/>
            <w:tcBorders>
              <w:bottom w:val="single" w:sz="4" w:space="0" w:color="auto"/>
            </w:tcBorders>
          </w:tcPr>
          <w:p w:rsidR="004624CB" w:rsidRDefault="00D07F65" w:rsidP="006C2446">
            <w:pPr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Vzhľadom na to, že návrhom </w:t>
            </w:r>
            <w:r w:rsidR="004624CB" w:rsidRPr="004624CB">
              <w:rPr>
                <w:sz w:val="20"/>
                <w:szCs w:val="20"/>
              </w:rPr>
              <w:t xml:space="preserve">nariadenia vlády </w:t>
            </w:r>
            <w:r w:rsidR="00A10EEA" w:rsidRPr="00A10EEA">
              <w:rPr>
                <w:sz w:val="20"/>
                <w:szCs w:val="20"/>
              </w:rPr>
              <w:t>Slovenskej republiky</w:t>
            </w:r>
            <w:r w:rsidR="00337D94">
              <w:rPr>
                <w:sz w:val="20"/>
                <w:szCs w:val="20"/>
              </w:rPr>
              <w:t>,</w:t>
            </w:r>
            <w:r w:rsidR="00337D94" w:rsidRPr="00A974C6">
              <w:t xml:space="preserve"> </w:t>
            </w:r>
            <w:r w:rsidR="00337D94" w:rsidRPr="00337D94">
              <w:rPr>
                <w:sz w:val="20"/>
                <w:szCs w:val="20"/>
              </w:rPr>
              <w:t>ktorým sa mení a dopĺňa nariadenie vlády Slovenskej republiky č. 342/2014 Z. z., ktorým sa ustanovujú pravidlá poskytovania podpory v poľnohospodárstve v súvislosti so schémami oddelených priamych platieb v znení neskorších predpisov</w:t>
            </w:r>
            <w:r w:rsidR="00337D94">
              <w:rPr>
                <w:sz w:val="20"/>
                <w:szCs w:val="20"/>
              </w:rPr>
              <w:t xml:space="preserve"> (ďalej len „návrh nariadenia vlády“)</w:t>
            </w:r>
            <w:r w:rsidR="00A10EEA" w:rsidRPr="00A10EEA">
              <w:rPr>
                <w:sz w:val="20"/>
                <w:szCs w:val="20"/>
              </w:rPr>
              <w:t xml:space="preserve"> </w:t>
            </w:r>
            <w:r w:rsidR="004624CB">
              <w:rPr>
                <w:sz w:val="20"/>
                <w:szCs w:val="20"/>
              </w:rPr>
              <w:t>sa upravujú</w:t>
            </w:r>
            <w:r w:rsidR="004624CB" w:rsidRPr="004624CB">
              <w:rPr>
                <w:sz w:val="20"/>
                <w:szCs w:val="20"/>
              </w:rPr>
              <w:t xml:space="preserve"> všeobecné požiadavky na poskytnutie priamych platieb, </w:t>
            </w:r>
            <w:r w:rsidR="00504D62" w:rsidRPr="00504D62">
              <w:rPr>
                <w:sz w:val="20"/>
                <w:szCs w:val="20"/>
              </w:rPr>
              <w:t xml:space="preserve">dotýka </w:t>
            </w:r>
            <w:r w:rsidR="00504D62">
              <w:rPr>
                <w:sz w:val="20"/>
                <w:szCs w:val="20"/>
              </w:rPr>
              <w:t>sa návrh</w:t>
            </w:r>
            <w:r w:rsidR="00337D94">
              <w:rPr>
                <w:sz w:val="20"/>
                <w:szCs w:val="20"/>
              </w:rPr>
              <w:t xml:space="preserve"> nariadenia vlády</w:t>
            </w:r>
            <w:r w:rsidR="00504D62">
              <w:rPr>
                <w:sz w:val="20"/>
                <w:szCs w:val="20"/>
              </w:rPr>
              <w:t xml:space="preserve"> žiadateľov o priame platby, ktorých je každoročne približne 18 000.</w:t>
            </w:r>
          </w:p>
          <w:p w:rsidR="007A07DF" w:rsidRPr="00D07F65" w:rsidRDefault="00D07F65" w:rsidP="00284696">
            <w:pPr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Z širšieho hľadiska sú návrhom </w:t>
            </w:r>
            <w:r w:rsidR="00504D62" w:rsidRPr="00504D62">
              <w:rPr>
                <w:sz w:val="20"/>
                <w:szCs w:val="20"/>
              </w:rPr>
              <w:t xml:space="preserve">nariadenia vlády </w:t>
            </w:r>
            <w:r w:rsidRPr="00D07F65">
              <w:rPr>
                <w:sz w:val="20"/>
                <w:szCs w:val="20"/>
              </w:rPr>
              <w:t>nepriamo dotknuté všetky subjek</w:t>
            </w:r>
            <w:r w:rsidR="00504D62">
              <w:rPr>
                <w:sz w:val="20"/>
                <w:szCs w:val="20"/>
              </w:rPr>
              <w:t>ty v sektore poľnohospodárstva.</w:t>
            </w:r>
          </w:p>
        </w:tc>
      </w:tr>
      <w:tr w:rsidR="00D07F65" w:rsidRPr="00D07F65" w:rsidTr="00B5245C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3.2 Vyhodnotenie konzultácií</w:t>
            </w:r>
          </w:p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       - </w:t>
            </w:r>
            <w:r w:rsidRPr="00D07F65">
              <w:rPr>
                <w:b/>
                <w:sz w:val="20"/>
                <w:szCs w:val="20"/>
              </w:rPr>
              <w:t>z toho MSP</w:t>
            </w:r>
          </w:p>
        </w:tc>
      </w:tr>
      <w:tr w:rsidR="00D07F65" w:rsidRPr="00D07F65" w:rsidTr="00B5245C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Ako dlho trvali konzultácie?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 xml:space="preserve">Uveďte hlavné body konzultácií a výsledky konzultácií. </w:t>
            </w:r>
          </w:p>
        </w:tc>
      </w:tr>
      <w:tr w:rsidR="00D07F65" w:rsidRPr="00D07F65" w:rsidTr="006C2446">
        <w:trPr>
          <w:trHeight w:val="933"/>
        </w:trPr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6C2446" w:rsidP="006C24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Predbežná informácia bola </w:t>
            </w:r>
            <w:r w:rsidR="00D07F65" w:rsidRPr="00D07F65">
              <w:rPr>
                <w:sz w:val="20"/>
                <w:szCs w:val="20"/>
              </w:rPr>
              <w:t xml:space="preserve">uverejnená na portáli Slov-lex pod číslom </w:t>
            </w:r>
            <w:r w:rsidRPr="006C2446">
              <w:rPr>
                <w:sz w:val="20"/>
                <w:szCs w:val="20"/>
              </w:rPr>
              <w:t>PI/2020/242</w:t>
            </w:r>
            <w:r w:rsidR="00D07F65" w:rsidRPr="00D07F65">
              <w:rPr>
                <w:sz w:val="20"/>
                <w:szCs w:val="20"/>
              </w:rPr>
              <w:t>. V priebehu procesu neboli vznesené pripomienky.</w:t>
            </w:r>
          </w:p>
          <w:p w:rsidR="00D07F65" w:rsidRPr="00D07F65" w:rsidRDefault="00D07F65" w:rsidP="006C2446">
            <w:pPr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Podklad na konzultác</w:t>
            </w:r>
            <w:r w:rsidR="006C2446">
              <w:rPr>
                <w:sz w:val="20"/>
                <w:szCs w:val="20"/>
              </w:rPr>
              <w:t>ie bol zároveň uverejnený dňa 30.10</w:t>
            </w:r>
            <w:r w:rsidRPr="00D07F65">
              <w:rPr>
                <w:sz w:val="20"/>
                <w:szCs w:val="20"/>
              </w:rPr>
              <w:t>.2020 na webovom sídle predkladateľa s</w:t>
            </w:r>
            <w:r w:rsidR="006C2446">
              <w:rPr>
                <w:sz w:val="20"/>
                <w:szCs w:val="20"/>
              </w:rPr>
              <w:t xml:space="preserve"> dobou trvania konzultácií od 30.10. </w:t>
            </w:r>
            <w:r w:rsidR="00ED4186">
              <w:rPr>
                <w:sz w:val="20"/>
                <w:szCs w:val="20"/>
              </w:rPr>
              <w:t xml:space="preserve">2020 </w:t>
            </w:r>
            <w:r w:rsidR="006C2446">
              <w:rPr>
                <w:sz w:val="20"/>
                <w:szCs w:val="20"/>
              </w:rPr>
              <w:t>do 30.11</w:t>
            </w:r>
            <w:r w:rsidRPr="00D07F65">
              <w:rPr>
                <w:sz w:val="20"/>
                <w:szCs w:val="20"/>
              </w:rPr>
              <w:t xml:space="preserve">.2020. </w:t>
            </w:r>
            <w:r w:rsidRPr="007A07DF">
              <w:rPr>
                <w:sz w:val="20"/>
                <w:szCs w:val="20"/>
              </w:rPr>
              <w:t xml:space="preserve">O konzultáciu </w:t>
            </w:r>
            <w:r w:rsidR="007A07DF">
              <w:rPr>
                <w:sz w:val="20"/>
                <w:szCs w:val="20"/>
              </w:rPr>
              <w:t>nepožiadali</w:t>
            </w:r>
            <w:r w:rsidRPr="007A07DF">
              <w:rPr>
                <w:sz w:val="20"/>
                <w:szCs w:val="20"/>
              </w:rPr>
              <w:t xml:space="preserve"> </w:t>
            </w:r>
            <w:r w:rsidR="007A07DF">
              <w:rPr>
                <w:sz w:val="20"/>
                <w:szCs w:val="20"/>
              </w:rPr>
              <w:t>žiadne subjekty.</w:t>
            </w:r>
          </w:p>
        </w:tc>
      </w:tr>
      <w:tr w:rsidR="00D07F65" w:rsidRPr="00D07F65" w:rsidTr="00B5245C"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3.3 Náklady regulácie</w:t>
            </w:r>
          </w:p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      - </w:t>
            </w:r>
            <w:r w:rsidRPr="00D07F65">
              <w:rPr>
                <w:b/>
                <w:sz w:val="20"/>
                <w:szCs w:val="20"/>
              </w:rPr>
              <w:t>z toho MSP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  <w:r w:rsidRPr="00D07F65">
              <w:rPr>
                <w:b/>
                <w:i/>
                <w:sz w:val="20"/>
                <w:szCs w:val="20"/>
              </w:rPr>
              <w:t>3.3.1 Priame finančné náklady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</w:p>
          <w:p w:rsidR="00D07F65" w:rsidRPr="00D07F65" w:rsidRDefault="00D07F65" w:rsidP="006C2446">
            <w:pPr>
              <w:rPr>
                <w:b/>
                <w:i/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Návrh </w:t>
            </w:r>
            <w:r w:rsidR="00D857AE">
              <w:rPr>
                <w:sz w:val="20"/>
                <w:szCs w:val="20"/>
              </w:rPr>
              <w:t xml:space="preserve">nariadenia vlády </w:t>
            </w:r>
            <w:r w:rsidRPr="00D07F65">
              <w:rPr>
                <w:sz w:val="20"/>
                <w:szCs w:val="20"/>
              </w:rPr>
              <w:t>nezakladá priame finančné vplyvy na podnikateľské prostredie.</w:t>
            </w:r>
          </w:p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  <w:r w:rsidRPr="00D07F65">
              <w:rPr>
                <w:b/>
                <w:i/>
                <w:sz w:val="20"/>
                <w:szCs w:val="20"/>
              </w:rPr>
              <w:t>3.3.2 Nepriame finančné náklady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sz w:val="20"/>
                <w:szCs w:val="20"/>
              </w:rPr>
            </w:pPr>
          </w:p>
          <w:p w:rsidR="00D07F65" w:rsidRDefault="006C2446" w:rsidP="00B5245C">
            <w:pPr>
              <w:jc w:val="both"/>
              <w:rPr>
                <w:sz w:val="20"/>
                <w:szCs w:val="20"/>
              </w:rPr>
            </w:pPr>
            <w:r w:rsidRPr="006C2446">
              <w:rPr>
                <w:sz w:val="20"/>
                <w:szCs w:val="20"/>
              </w:rPr>
              <w:t xml:space="preserve">Návrh nariadenia vlády nezakladá </w:t>
            </w:r>
            <w:r>
              <w:rPr>
                <w:sz w:val="20"/>
                <w:szCs w:val="20"/>
              </w:rPr>
              <w:t>ne</w:t>
            </w:r>
            <w:r w:rsidRPr="006C2446">
              <w:rPr>
                <w:sz w:val="20"/>
                <w:szCs w:val="20"/>
              </w:rPr>
              <w:t>priame finančné vplyvy na podnikateľské prostredie.</w:t>
            </w:r>
          </w:p>
          <w:p w:rsidR="006C2446" w:rsidRPr="00D07F65" w:rsidRDefault="006C2446" w:rsidP="00B5245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  <w:r w:rsidRPr="00D07F65">
              <w:rPr>
                <w:b/>
                <w:i/>
                <w:sz w:val="20"/>
                <w:szCs w:val="20"/>
              </w:rPr>
              <w:t>3.3.3 Administratívne náklady</w:t>
            </w:r>
          </w:p>
          <w:p w:rsidR="00DB6279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B6279" w:rsidRDefault="00DB6279" w:rsidP="00DB6279">
            <w:pPr>
              <w:jc w:val="both"/>
              <w:rPr>
                <w:sz w:val="20"/>
                <w:szCs w:val="20"/>
              </w:rPr>
            </w:pPr>
          </w:p>
          <w:p w:rsidR="00DB6279" w:rsidRPr="00DB6279" w:rsidRDefault="00A072F6" w:rsidP="00DB6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B6279" w:rsidRPr="00DB6279">
              <w:rPr>
                <w:sz w:val="20"/>
                <w:szCs w:val="20"/>
              </w:rPr>
              <w:t>áklady pri podávaní žiadosti o priame platby vychádzajú</w:t>
            </w:r>
            <w:r>
              <w:rPr>
                <w:sz w:val="20"/>
                <w:szCs w:val="20"/>
              </w:rPr>
              <w:t xml:space="preserve"> na</w:t>
            </w:r>
            <w:r w:rsidR="00DB6279" w:rsidRPr="00DB6279">
              <w:rPr>
                <w:sz w:val="20"/>
                <w:szCs w:val="20"/>
              </w:rPr>
              <w:t xml:space="preserve"> 22,75 € na 1 podnikateľský subjekt</w:t>
            </w:r>
            <w:r>
              <w:rPr>
                <w:sz w:val="20"/>
                <w:szCs w:val="20"/>
              </w:rPr>
              <w:t>, čo</w:t>
            </w:r>
            <w:r w:rsidR="00DB6279" w:rsidRPr="00DB6279">
              <w:rPr>
                <w:sz w:val="20"/>
                <w:szCs w:val="20"/>
              </w:rPr>
              <w:t xml:space="preserve"> pri odhadovanom počte 18 000 dotknutých subjektov </w:t>
            </w:r>
            <w:r>
              <w:rPr>
                <w:sz w:val="20"/>
                <w:szCs w:val="20"/>
              </w:rPr>
              <w:t>predstavuje</w:t>
            </w:r>
            <w:r w:rsidR="00DB6279" w:rsidRPr="00DB6279">
              <w:rPr>
                <w:sz w:val="20"/>
                <w:szCs w:val="20"/>
              </w:rPr>
              <w:t xml:space="preserve"> celkov</w:t>
            </w:r>
            <w:r>
              <w:rPr>
                <w:sz w:val="20"/>
                <w:szCs w:val="20"/>
              </w:rPr>
              <w:t>ú</w:t>
            </w:r>
            <w:r w:rsidR="00DB6279" w:rsidRPr="00DB6279">
              <w:rPr>
                <w:sz w:val="20"/>
                <w:szCs w:val="20"/>
              </w:rPr>
              <w:t xml:space="preserve"> záťaž 409 500 €.</w:t>
            </w:r>
          </w:p>
          <w:p w:rsidR="00DB6279" w:rsidRPr="00DB6279" w:rsidRDefault="00DB6279" w:rsidP="00DB6279">
            <w:pPr>
              <w:jc w:val="both"/>
              <w:rPr>
                <w:sz w:val="20"/>
                <w:szCs w:val="20"/>
              </w:rPr>
            </w:pPr>
            <w:r w:rsidRPr="00DB6279">
              <w:rPr>
                <w:sz w:val="20"/>
                <w:szCs w:val="20"/>
              </w:rPr>
              <w:t>Návrhom</w:t>
            </w:r>
            <w:r w:rsidR="00A072F6">
              <w:rPr>
                <w:sz w:val="20"/>
                <w:szCs w:val="20"/>
              </w:rPr>
              <w:t xml:space="preserve"> nariadenia vlády</w:t>
            </w:r>
            <w:r w:rsidRPr="00DB6279">
              <w:rPr>
                <w:sz w:val="20"/>
                <w:szCs w:val="20"/>
              </w:rPr>
              <w:t xml:space="preserve"> bude </w:t>
            </w:r>
            <w:r w:rsidR="00A072F6">
              <w:rPr>
                <w:sz w:val="20"/>
                <w:szCs w:val="20"/>
              </w:rPr>
              <w:t>u</w:t>
            </w:r>
            <w:r w:rsidRPr="00DB6279">
              <w:rPr>
                <w:sz w:val="20"/>
                <w:szCs w:val="20"/>
              </w:rPr>
              <w:t xml:space="preserve">stanovený rámec pre poskytovanie </w:t>
            </w:r>
            <w:proofErr w:type="spellStart"/>
            <w:r w:rsidRPr="00DB6279">
              <w:rPr>
                <w:sz w:val="20"/>
                <w:szCs w:val="20"/>
              </w:rPr>
              <w:t>redistributívnej</w:t>
            </w:r>
            <w:proofErr w:type="spellEnd"/>
            <w:r w:rsidRPr="00DB6279">
              <w:rPr>
                <w:sz w:val="20"/>
                <w:szCs w:val="20"/>
              </w:rPr>
              <w:t xml:space="preserve"> platby. Priemerná veľkosť poľnohospodárskeho podniku v</w:t>
            </w:r>
            <w:r w:rsidR="00A072F6">
              <w:rPr>
                <w:sz w:val="20"/>
                <w:szCs w:val="20"/>
              </w:rPr>
              <w:t> </w:t>
            </w:r>
            <w:r w:rsidRPr="00DB6279">
              <w:rPr>
                <w:sz w:val="20"/>
                <w:szCs w:val="20"/>
              </w:rPr>
              <w:t>S</w:t>
            </w:r>
            <w:r w:rsidR="00A072F6">
              <w:rPr>
                <w:sz w:val="20"/>
                <w:szCs w:val="20"/>
              </w:rPr>
              <w:t>lovenskej republike</w:t>
            </w:r>
            <w:r w:rsidRPr="00DB6279">
              <w:rPr>
                <w:sz w:val="20"/>
                <w:szCs w:val="20"/>
              </w:rPr>
              <w:t xml:space="preserve"> je </w:t>
            </w:r>
            <w:r w:rsidR="00777E26">
              <w:rPr>
                <w:sz w:val="20"/>
                <w:szCs w:val="20"/>
              </w:rPr>
              <w:t>u</w:t>
            </w:r>
            <w:r w:rsidRPr="00DB6279">
              <w:rPr>
                <w:sz w:val="20"/>
                <w:szCs w:val="20"/>
              </w:rPr>
              <w:t>stanovená v prílohe VIII k</w:t>
            </w:r>
            <w:r w:rsidR="00A072F6">
              <w:rPr>
                <w:sz w:val="20"/>
                <w:szCs w:val="20"/>
              </w:rPr>
              <w:t> </w:t>
            </w:r>
            <w:r w:rsidRPr="00DB6279">
              <w:rPr>
                <w:sz w:val="20"/>
                <w:szCs w:val="20"/>
              </w:rPr>
              <w:t>nariadeniu</w:t>
            </w:r>
            <w:r w:rsidR="00A072F6">
              <w:rPr>
                <w:sz w:val="20"/>
                <w:szCs w:val="20"/>
              </w:rPr>
              <w:t xml:space="preserve"> Európskeho parlamentu a Rady </w:t>
            </w:r>
            <w:r w:rsidRPr="00DB6279">
              <w:rPr>
                <w:sz w:val="20"/>
                <w:szCs w:val="20"/>
              </w:rPr>
              <w:t>(EÚ) č. 1307/2013</w:t>
            </w:r>
            <w:r w:rsidR="00A072F6">
              <w:rPr>
                <w:sz w:val="20"/>
                <w:szCs w:val="20"/>
              </w:rPr>
              <w:t xml:space="preserve"> zo 17. decembra 2013, ktorým sa ustanovujú pravidlá priamych platieb pre poľnohospodárov na základe režimov podpory v rámci spoločnej poľnohospodárskej politiky a ktorým sa zrušuje nariadenie Rady (ES) č. 637/2008 a nariadenie Rady (ES) č. 73/2009 (Ú. v. EÚ L 347, 20.12.2013)</w:t>
            </w:r>
            <w:r w:rsidR="00EA5D0A">
              <w:rPr>
                <w:sz w:val="20"/>
                <w:szCs w:val="20"/>
              </w:rPr>
              <w:t xml:space="preserve"> v platnom znení</w:t>
            </w:r>
            <w:r w:rsidRPr="00DB6279">
              <w:rPr>
                <w:sz w:val="20"/>
                <w:szCs w:val="20"/>
              </w:rPr>
              <w:t xml:space="preserve"> a predstavuje 28 hektárov, čo je prahová hodnota, keď sa na farme dosiahne zlepšený stav z hľadiska potenciálnej životaschopnosti. Predpokladá sa, že z financovania </w:t>
            </w:r>
            <w:proofErr w:type="spellStart"/>
            <w:r w:rsidRPr="00DB6279">
              <w:rPr>
                <w:sz w:val="20"/>
                <w:szCs w:val="20"/>
              </w:rPr>
              <w:t>redistributívnej</w:t>
            </w:r>
            <w:proofErr w:type="spellEnd"/>
            <w:r w:rsidRPr="00DB6279">
              <w:rPr>
                <w:sz w:val="20"/>
                <w:szCs w:val="20"/>
              </w:rPr>
              <w:t xml:space="preserve"> platby budú profitovať aj subjekty </w:t>
            </w:r>
            <w:r w:rsidR="009446A4">
              <w:rPr>
                <w:sz w:val="20"/>
                <w:szCs w:val="20"/>
              </w:rPr>
              <w:t>s</w:t>
            </w:r>
            <w:r w:rsidRPr="00DB6279">
              <w:rPr>
                <w:sz w:val="20"/>
                <w:szCs w:val="20"/>
              </w:rPr>
              <w:t xml:space="preserve"> výmerou do 349 hektárov a naopak negatívne budú ovplyvnené jej zavedením subjekty</w:t>
            </w:r>
            <w:r w:rsidR="009446A4">
              <w:rPr>
                <w:sz w:val="20"/>
                <w:szCs w:val="20"/>
              </w:rPr>
              <w:t xml:space="preserve"> s výmerou</w:t>
            </w:r>
            <w:r w:rsidRPr="00DB6279">
              <w:rPr>
                <w:sz w:val="20"/>
                <w:szCs w:val="20"/>
              </w:rPr>
              <w:t xml:space="preserve"> nad 350 hektárov.</w:t>
            </w:r>
          </w:p>
          <w:p w:rsidR="00DB6279" w:rsidRPr="00DB6279" w:rsidRDefault="00DB6279" w:rsidP="00DB6279">
            <w:pPr>
              <w:jc w:val="both"/>
              <w:rPr>
                <w:sz w:val="20"/>
                <w:szCs w:val="20"/>
              </w:rPr>
            </w:pPr>
            <w:r w:rsidRPr="00DB6279">
              <w:rPr>
                <w:sz w:val="20"/>
                <w:szCs w:val="20"/>
              </w:rPr>
              <w:t xml:space="preserve">Zavedenú </w:t>
            </w:r>
            <w:proofErr w:type="spellStart"/>
            <w:r w:rsidRPr="00DB6279">
              <w:rPr>
                <w:sz w:val="20"/>
                <w:szCs w:val="20"/>
              </w:rPr>
              <w:t>redistributívnu</w:t>
            </w:r>
            <w:proofErr w:type="spellEnd"/>
            <w:r w:rsidRPr="00DB6279">
              <w:rPr>
                <w:sz w:val="20"/>
                <w:szCs w:val="20"/>
              </w:rPr>
              <w:t xml:space="preserve"> platbu je možné považovať za pozitívny vplyv na celé podnikateľské prostredie. Celkovo bude predstavovať sumu 11 100 000 €. </w:t>
            </w:r>
          </w:p>
          <w:p w:rsidR="00DB6279" w:rsidRPr="00DB6279" w:rsidRDefault="00DB6279" w:rsidP="00DB6279">
            <w:pPr>
              <w:jc w:val="both"/>
              <w:rPr>
                <w:sz w:val="20"/>
                <w:szCs w:val="20"/>
              </w:rPr>
            </w:pPr>
            <w:r w:rsidRPr="00DB6279">
              <w:rPr>
                <w:sz w:val="20"/>
                <w:szCs w:val="20"/>
              </w:rPr>
              <w:lastRenderedPageBreak/>
              <w:t xml:space="preserve">Priame platby sa navýšia formou </w:t>
            </w:r>
            <w:proofErr w:type="spellStart"/>
            <w:r w:rsidRPr="00DB6279">
              <w:rPr>
                <w:sz w:val="20"/>
                <w:szCs w:val="20"/>
              </w:rPr>
              <w:t>redistribúcie</w:t>
            </w:r>
            <w:proofErr w:type="spellEnd"/>
            <w:r w:rsidRPr="00DB6279">
              <w:rPr>
                <w:sz w:val="20"/>
                <w:szCs w:val="20"/>
              </w:rPr>
              <w:t xml:space="preserve"> o 50 €/1 h</w:t>
            </w:r>
            <w:r w:rsidR="00794C8F">
              <w:rPr>
                <w:sz w:val="20"/>
                <w:szCs w:val="20"/>
              </w:rPr>
              <w:t>ektár</w:t>
            </w:r>
            <w:r w:rsidRPr="00DB6279">
              <w:rPr>
                <w:sz w:val="20"/>
                <w:szCs w:val="20"/>
              </w:rPr>
              <w:t>, ale len na prvých 28 h</w:t>
            </w:r>
            <w:r w:rsidR="00794C8F">
              <w:rPr>
                <w:sz w:val="20"/>
                <w:szCs w:val="20"/>
              </w:rPr>
              <w:t>ektárov</w:t>
            </w:r>
            <w:r w:rsidRPr="00DB6279">
              <w:rPr>
                <w:sz w:val="20"/>
                <w:szCs w:val="20"/>
              </w:rPr>
              <w:t>. Takže konkrétny vplyv na 1 podnikateľský subjekt bude závisieť od výmery jeho pozemku. Pri odhadovanom počte 18 000 dotknutých subjektov, je možné náklady na 1 podnikateľský subjekt vyčísliť ako priemernú výšku priamej platby = 616,67€.</w:t>
            </w:r>
          </w:p>
          <w:p w:rsidR="006C2446" w:rsidRDefault="00DB6279" w:rsidP="00DB6279">
            <w:pPr>
              <w:jc w:val="both"/>
              <w:rPr>
                <w:sz w:val="20"/>
                <w:szCs w:val="20"/>
              </w:rPr>
            </w:pPr>
            <w:r w:rsidRPr="00DB6279">
              <w:rPr>
                <w:sz w:val="20"/>
                <w:szCs w:val="20"/>
              </w:rPr>
              <w:t>Zdroj údajov: http://www.mpsr.sk a administratívne náklady sú vyčíslené prostredníctvom kalkulačky vplyvov M</w:t>
            </w:r>
            <w:r w:rsidR="00777E26">
              <w:rPr>
                <w:sz w:val="20"/>
                <w:szCs w:val="20"/>
              </w:rPr>
              <w:t>inisterstva hospodárstva</w:t>
            </w:r>
            <w:r w:rsidRPr="00DB6279">
              <w:rPr>
                <w:sz w:val="20"/>
                <w:szCs w:val="20"/>
              </w:rPr>
              <w:t xml:space="preserve"> S</w:t>
            </w:r>
            <w:r w:rsidR="00777E26">
              <w:rPr>
                <w:sz w:val="20"/>
                <w:szCs w:val="20"/>
              </w:rPr>
              <w:t>lovenskej republiky</w:t>
            </w:r>
            <w:r w:rsidRPr="00DB6279">
              <w:rPr>
                <w:sz w:val="20"/>
                <w:szCs w:val="20"/>
              </w:rPr>
              <w:t>.</w:t>
            </w:r>
          </w:p>
          <w:p w:rsidR="006C2446" w:rsidRPr="006C2446" w:rsidRDefault="006C2446" w:rsidP="006C2446">
            <w:pPr>
              <w:jc w:val="both"/>
              <w:rPr>
                <w:sz w:val="20"/>
                <w:szCs w:val="20"/>
              </w:rPr>
            </w:pPr>
          </w:p>
        </w:tc>
      </w:tr>
      <w:tr w:rsidR="00D07F65" w:rsidRPr="00D07F65" w:rsidTr="00B5245C">
        <w:trPr>
          <w:trHeight w:val="19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b/>
                <w:i/>
                <w:sz w:val="20"/>
                <w:szCs w:val="20"/>
              </w:rPr>
              <w:lastRenderedPageBreak/>
              <w:t>3.3.4 Súhrnná tabuľka nákladov regulácie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2949"/>
              <w:gridCol w:w="2941"/>
              <w:gridCol w:w="2946"/>
            </w:tblGrid>
            <w:tr w:rsidR="00D07F65" w:rsidRPr="00D07F65" w:rsidTr="006C2446">
              <w:tc>
                <w:tcPr>
                  <w:tcW w:w="2949" w:type="dxa"/>
                </w:tcPr>
                <w:p w:rsidR="00D07F65" w:rsidRPr="00D07F65" w:rsidRDefault="00D07F65" w:rsidP="00B5245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</w:tcPr>
                <w:p w:rsidR="00D07F65" w:rsidRPr="006C2446" w:rsidRDefault="00D07F65" w:rsidP="00B5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2446">
                    <w:rPr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46" w:type="dxa"/>
                </w:tcPr>
                <w:p w:rsidR="00D07F65" w:rsidRPr="006C2446" w:rsidRDefault="00D07F65" w:rsidP="00B5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2446">
                    <w:rPr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 w:rsidR="00CC3E67" w:rsidRPr="00D07F65" w:rsidTr="006C2446">
              <w:tc>
                <w:tcPr>
                  <w:tcW w:w="2949" w:type="dxa"/>
                </w:tcPr>
                <w:p w:rsidR="00CC3E67" w:rsidRPr="00D07F65" w:rsidRDefault="00CC3E67" w:rsidP="00CC3E67">
                  <w:pPr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41" w:type="dxa"/>
                </w:tcPr>
                <w:p w:rsidR="00CC3E67" w:rsidRPr="006C2446" w:rsidRDefault="00CC3E67" w:rsidP="00CC3E6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podľa textu</w:t>
                  </w:r>
                </w:p>
              </w:tc>
              <w:tc>
                <w:tcPr>
                  <w:tcW w:w="2946" w:type="dxa"/>
                </w:tcPr>
                <w:p w:rsidR="00CC3E67" w:rsidRPr="006C2446" w:rsidRDefault="00CC3E67" w:rsidP="00CC3E6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podľa textu</w:t>
                  </w:r>
                </w:p>
              </w:tc>
            </w:tr>
            <w:tr w:rsidR="00CC3E67" w:rsidRPr="00D07F65" w:rsidTr="006C2446">
              <w:tc>
                <w:tcPr>
                  <w:tcW w:w="2949" w:type="dxa"/>
                </w:tcPr>
                <w:p w:rsidR="00CC3E67" w:rsidRPr="00D07F65" w:rsidRDefault="00CC3E67" w:rsidP="00CC3E67">
                  <w:pPr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41" w:type="dxa"/>
                </w:tcPr>
                <w:p w:rsidR="00CC3E67" w:rsidRPr="006C2446" w:rsidRDefault="00CC3E67" w:rsidP="00CC3E6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podľa textu</w:t>
                  </w:r>
                </w:p>
              </w:tc>
              <w:tc>
                <w:tcPr>
                  <w:tcW w:w="2946" w:type="dxa"/>
                </w:tcPr>
                <w:p w:rsidR="00CC3E67" w:rsidRPr="006C2446" w:rsidRDefault="00CC3E67" w:rsidP="00CC3E6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podľa textu</w:t>
                  </w:r>
                </w:p>
              </w:tc>
            </w:tr>
            <w:tr w:rsidR="00CC3E67" w:rsidRPr="00D07F65" w:rsidTr="006C2446">
              <w:tc>
                <w:tcPr>
                  <w:tcW w:w="2949" w:type="dxa"/>
                </w:tcPr>
                <w:p w:rsidR="00CC3E67" w:rsidRPr="00D07F65" w:rsidRDefault="00CC3E67" w:rsidP="00CC3E67">
                  <w:pPr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41" w:type="dxa"/>
                </w:tcPr>
                <w:p w:rsidR="00CC3E67" w:rsidRPr="006C2446" w:rsidRDefault="00CC3E67" w:rsidP="00CC3E6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podľa textu</w:t>
                  </w:r>
                </w:p>
              </w:tc>
              <w:tc>
                <w:tcPr>
                  <w:tcW w:w="2946" w:type="dxa"/>
                </w:tcPr>
                <w:p w:rsidR="00CC3E67" w:rsidRPr="006C2446" w:rsidRDefault="00CC3E67" w:rsidP="00CC3E6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podľa textu</w:t>
                  </w:r>
                </w:p>
              </w:tc>
            </w:tr>
            <w:tr w:rsidR="00CC3E67" w:rsidRPr="00D07F65" w:rsidTr="006C2446">
              <w:trPr>
                <w:trHeight w:val="70"/>
              </w:trPr>
              <w:tc>
                <w:tcPr>
                  <w:tcW w:w="2949" w:type="dxa"/>
                </w:tcPr>
                <w:p w:rsidR="00CC3E67" w:rsidRPr="00D07F65" w:rsidRDefault="00CC3E67" w:rsidP="00CC3E6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D07F65">
                    <w:rPr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41" w:type="dxa"/>
                </w:tcPr>
                <w:p w:rsidR="00CC3E67" w:rsidRPr="00CC3E67" w:rsidRDefault="00CC3E67" w:rsidP="00CC3E6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CC3E67">
                    <w:rPr>
                      <w:b/>
                      <w:i/>
                      <w:sz w:val="20"/>
                      <w:szCs w:val="20"/>
                    </w:rPr>
                    <w:t>podľa textu</w:t>
                  </w:r>
                </w:p>
              </w:tc>
              <w:tc>
                <w:tcPr>
                  <w:tcW w:w="2946" w:type="dxa"/>
                </w:tcPr>
                <w:p w:rsidR="00CC3E67" w:rsidRPr="00CC3E67" w:rsidRDefault="00CC3E67" w:rsidP="00CC3E6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CC3E67">
                    <w:rPr>
                      <w:b/>
                      <w:i/>
                      <w:sz w:val="20"/>
                      <w:szCs w:val="20"/>
                    </w:rPr>
                    <w:t>podľa textu</w:t>
                  </w:r>
                </w:p>
              </w:tc>
            </w:tr>
          </w:tbl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</w:p>
        </w:tc>
      </w:tr>
      <w:tr w:rsidR="00D07F65" w:rsidRPr="00D07F65" w:rsidTr="00B5245C"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3.4 Konkurencieschopnosť a správanie sa podnikov na trhu</w:t>
            </w:r>
          </w:p>
          <w:p w:rsidR="00D07F65" w:rsidRPr="00D07F65" w:rsidRDefault="00D07F65" w:rsidP="00B5245C">
            <w:pPr>
              <w:rPr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 xml:space="preserve">       </w:t>
            </w:r>
            <w:r w:rsidRPr="00D07F65">
              <w:rPr>
                <w:sz w:val="20"/>
                <w:szCs w:val="20"/>
              </w:rPr>
              <w:t xml:space="preserve">- </w:t>
            </w:r>
            <w:r w:rsidRPr="00D07F65">
              <w:rPr>
                <w:b/>
                <w:sz w:val="20"/>
                <w:szCs w:val="20"/>
              </w:rPr>
              <w:t>z toho MSP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D07F65">
              <w:rPr>
                <w:i/>
                <w:sz w:val="20"/>
                <w:szCs w:val="20"/>
              </w:rPr>
              <w:t>mikro</w:t>
            </w:r>
            <w:proofErr w:type="spellEnd"/>
            <w:r w:rsidRPr="00D07F65">
              <w:rPr>
                <w:i/>
                <w:sz w:val="20"/>
                <w:szCs w:val="20"/>
              </w:rPr>
              <w:t>, malé a stredné podniky tzv. MSP)? Ak áno, popíšte.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Ovplyvňuje prístup k financiám? Ak áno, ako?</w:t>
            </w:r>
          </w:p>
        </w:tc>
      </w:tr>
      <w:tr w:rsidR="00D07F65" w:rsidRPr="00D07F65" w:rsidTr="00B5245C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BC1313" w:rsidRDefault="006C2446" w:rsidP="00A10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Predpokladá sa pozitívny aj negatívny vplyv</w:t>
            </w:r>
            <w:r w:rsidRPr="006C2446">
              <w:rPr>
                <w:sz w:val="20"/>
                <w:szCs w:val="20"/>
              </w:rPr>
              <w:t xml:space="preserve"> na podnikateľské prostredie</w:t>
            </w:r>
            <w:r>
              <w:rPr>
                <w:sz w:val="20"/>
                <w:szCs w:val="20"/>
              </w:rPr>
              <w:t>.</w:t>
            </w:r>
            <w:r w:rsidR="00A10EEA">
              <w:rPr>
                <w:sz w:val="20"/>
                <w:szCs w:val="20"/>
              </w:rPr>
              <w:t xml:space="preserve"> Za </w:t>
            </w:r>
            <w:r w:rsidR="00A10EEA" w:rsidRPr="00A10EEA">
              <w:rPr>
                <w:sz w:val="20"/>
                <w:szCs w:val="20"/>
              </w:rPr>
              <w:t>účelom zabezpečenia spravodlivejšieho rozdelenia podpory príjmu, legislatíva E</w:t>
            </w:r>
            <w:r w:rsidR="00777E26">
              <w:rPr>
                <w:sz w:val="20"/>
                <w:szCs w:val="20"/>
              </w:rPr>
              <w:t>urópskej únie</w:t>
            </w:r>
            <w:r w:rsidR="00A10EEA" w:rsidRPr="00A10EEA">
              <w:rPr>
                <w:sz w:val="20"/>
                <w:szCs w:val="20"/>
              </w:rPr>
              <w:t xml:space="preserve"> umožňuje členským štátom</w:t>
            </w:r>
            <w:r w:rsidR="00777E26">
              <w:rPr>
                <w:sz w:val="20"/>
                <w:szCs w:val="20"/>
              </w:rPr>
              <w:t xml:space="preserve"> Európskej únie</w:t>
            </w:r>
            <w:r w:rsidR="00A10EEA" w:rsidRPr="00A10EEA">
              <w:rPr>
                <w:sz w:val="20"/>
                <w:szCs w:val="20"/>
              </w:rPr>
              <w:t xml:space="preserve"> použiť určitú sumu priamych platieb na financovanie </w:t>
            </w:r>
            <w:proofErr w:type="spellStart"/>
            <w:r w:rsidR="00A10EEA" w:rsidRPr="00A10EEA">
              <w:rPr>
                <w:sz w:val="20"/>
                <w:szCs w:val="20"/>
              </w:rPr>
              <w:t>redistributívnej</w:t>
            </w:r>
            <w:proofErr w:type="spellEnd"/>
            <w:r w:rsidR="00A10EEA" w:rsidRPr="00A10EEA">
              <w:rPr>
                <w:sz w:val="20"/>
                <w:szCs w:val="20"/>
              </w:rPr>
              <w:t xml:space="preserve"> platby. Vzhľadom na uznanú potrebu a s cieľom propagovať vyváženejšie rozdelenie podpory medzi malé a stredne veľké poľnohospodárske podniky, vi</w:t>
            </w:r>
            <w:r w:rsidR="00A10EEA">
              <w:rPr>
                <w:sz w:val="20"/>
                <w:szCs w:val="20"/>
              </w:rPr>
              <w:t>diteľným a merateľným spôsobom</w:t>
            </w:r>
            <w:r w:rsidR="00A10EEA" w:rsidRPr="00A10EEA">
              <w:rPr>
                <w:sz w:val="20"/>
                <w:szCs w:val="20"/>
              </w:rPr>
              <w:t xml:space="preserve">, bude </w:t>
            </w:r>
            <w:r w:rsidR="00A10EEA">
              <w:rPr>
                <w:sz w:val="20"/>
                <w:szCs w:val="20"/>
              </w:rPr>
              <w:t xml:space="preserve">návrhom nariadenia vlády </w:t>
            </w:r>
            <w:r w:rsidR="00777E26">
              <w:rPr>
                <w:sz w:val="20"/>
                <w:szCs w:val="20"/>
              </w:rPr>
              <w:t>u</w:t>
            </w:r>
            <w:r w:rsidR="00A10EEA" w:rsidRPr="00A10EEA">
              <w:rPr>
                <w:sz w:val="20"/>
                <w:szCs w:val="20"/>
              </w:rPr>
              <w:t xml:space="preserve">stanovený rámec pre poskytovanie </w:t>
            </w:r>
            <w:proofErr w:type="spellStart"/>
            <w:r w:rsidR="00A10EEA" w:rsidRPr="00A10EEA">
              <w:rPr>
                <w:sz w:val="20"/>
                <w:szCs w:val="20"/>
              </w:rPr>
              <w:t>redistributívnej</w:t>
            </w:r>
            <w:proofErr w:type="spellEnd"/>
            <w:r w:rsidR="00A10EEA" w:rsidRPr="00A10EEA">
              <w:rPr>
                <w:sz w:val="20"/>
                <w:szCs w:val="20"/>
              </w:rPr>
              <w:t xml:space="preserve"> platby. </w:t>
            </w:r>
          </w:p>
          <w:p w:rsidR="007A07DF" w:rsidRPr="00D07F65" w:rsidRDefault="00BC1313" w:rsidP="00777E26">
            <w:pPr>
              <w:jc w:val="both"/>
              <w:rPr>
                <w:sz w:val="20"/>
                <w:szCs w:val="20"/>
              </w:rPr>
            </w:pPr>
            <w:r w:rsidRPr="00BC1313">
              <w:rPr>
                <w:sz w:val="20"/>
                <w:szCs w:val="20"/>
              </w:rPr>
              <w:t xml:space="preserve">Priemerná veľkosť poľnohospodárskeho podniku </w:t>
            </w:r>
            <w:r>
              <w:rPr>
                <w:sz w:val="20"/>
                <w:szCs w:val="20"/>
              </w:rPr>
              <w:t>v</w:t>
            </w:r>
            <w:r w:rsidRPr="00BC1313">
              <w:rPr>
                <w:sz w:val="20"/>
                <w:szCs w:val="20"/>
              </w:rPr>
              <w:t xml:space="preserve"> Slovenskej republike </w:t>
            </w:r>
            <w:r>
              <w:rPr>
                <w:sz w:val="20"/>
                <w:szCs w:val="20"/>
              </w:rPr>
              <w:t xml:space="preserve">je </w:t>
            </w:r>
            <w:r w:rsidR="00777E26">
              <w:rPr>
                <w:sz w:val="20"/>
                <w:szCs w:val="20"/>
              </w:rPr>
              <w:t>u</w:t>
            </w:r>
            <w:r w:rsidRPr="00BC1313">
              <w:rPr>
                <w:sz w:val="20"/>
                <w:szCs w:val="20"/>
              </w:rPr>
              <w:t>stanovená v prílohe VIII k</w:t>
            </w:r>
            <w:r w:rsidR="00777E26">
              <w:rPr>
                <w:sz w:val="20"/>
                <w:szCs w:val="20"/>
              </w:rPr>
              <w:t> </w:t>
            </w:r>
            <w:r w:rsidRPr="00BC1313">
              <w:rPr>
                <w:sz w:val="20"/>
                <w:szCs w:val="20"/>
              </w:rPr>
              <w:t>nariadeniu</w:t>
            </w:r>
            <w:r w:rsidR="00777E26">
              <w:rPr>
                <w:sz w:val="20"/>
                <w:szCs w:val="20"/>
              </w:rPr>
              <w:t xml:space="preserve"> Európskeho parlamentu a Rady </w:t>
            </w:r>
            <w:r w:rsidR="00777E26" w:rsidRPr="00DB6279">
              <w:rPr>
                <w:sz w:val="20"/>
                <w:szCs w:val="20"/>
              </w:rPr>
              <w:t>(EÚ) č. 1307/2013</w:t>
            </w:r>
            <w:r w:rsidR="00777E26">
              <w:rPr>
                <w:sz w:val="20"/>
                <w:szCs w:val="20"/>
              </w:rPr>
              <w:t xml:space="preserve"> zo 17. decembra 2013, ktorým sa ustanovujú pravidlá priamych platieb pre poľnohospodárov na základe režimov podpory v rámci spoločnej poľnohospodárskej politiky a ktorým sa zrušuje nariadenie Rady (ES) č. 637/2008 a nariadenie Rady (ES) č. 73/2009 (Ú. v. EÚ L 347, 20.12.2013</w:t>
            </w:r>
            <w:r w:rsidRPr="00BC1313">
              <w:rPr>
                <w:sz w:val="20"/>
                <w:szCs w:val="20"/>
              </w:rPr>
              <w:t>)</w:t>
            </w:r>
            <w:r w:rsidR="00EA5D0A">
              <w:rPr>
                <w:sz w:val="20"/>
                <w:szCs w:val="20"/>
              </w:rPr>
              <w:t xml:space="preserve"> v platnom znení</w:t>
            </w:r>
            <w:r w:rsidRPr="00BC13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 predstavuje </w:t>
            </w:r>
            <w:r w:rsidRPr="00BC1313">
              <w:rPr>
                <w:sz w:val="20"/>
                <w:szCs w:val="20"/>
              </w:rPr>
              <w:t xml:space="preserve">28 hektárov. Vykonávanie poľnohospodárskej činnosti si vo veľkej miere vyžaduje podobný stupeň vstupov, čo však vytvára neprimeranú záťaž pre malé a stredné poľnohospodárske podniky, ktoré nemôžu ťažiť z úspor z rozsahu, a tým ovplyvňuje ich životaschopnosť. Všeobecne možno 28 hektárov považovať za prahovú hodnotu, keď sa na farme dosiahne zlepšený stav z hľadiska potenciálnej životaschopnosti. Prínos z </w:t>
            </w:r>
            <w:proofErr w:type="spellStart"/>
            <w:r w:rsidRPr="00BC1313">
              <w:rPr>
                <w:sz w:val="20"/>
                <w:szCs w:val="20"/>
              </w:rPr>
              <w:t>redistributívnej</w:t>
            </w:r>
            <w:proofErr w:type="spellEnd"/>
            <w:r w:rsidRPr="00BC1313">
              <w:rPr>
                <w:sz w:val="20"/>
                <w:szCs w:val="20"/>
              </w:rPr>
              <w:t xml:space="preserve"> platby v súlade s danou hranicou povedie k vyššej priemernej platbe na hektár pre malé a stredné poľnohospodárske podniky, čím s</w:t>
            </w:r>
            <w:r>
              <w:rPr>
                <w:sz w:val="20"/>
                <w:szCs w:val="20"/>
              </w:rPr>
              <w:t>a vyrovná ich príjmová priepasť. Predpokladá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sa, že z financovania </w:t>
            </w:r>
            <w:proofErr w:type="spellStart"/>
            <w:r>
              <w:rPr>
                <w:sz w:val="20"/>
                <w:szCs w:val="20"/>
              </w:rPr>
              <w:t>redistributívnej</w:t>
            </w:r>
            <w:proofErr w:type="spellEnd"/>
            <w:r>
              <w:rPr>
                <w:sz w:val="20"/>
                <w:szCs w:val="20"/>
              </w:rPr>
              <w:t xml:space="preserve"> platby budú profitovať </w:t>
            </w:r>
            <w:r w:rsidR="00777E26">
              <w:rPr>
                <w:sz w:val="20"/>
                <w:szCs w:val="20"/>
              </w:rPr>
              <w:t>aj subjekty s</w:t>
            </w:r>
            <w:r w:rsidR="00ED4186">
              <w:rPr>
                <w:sz w:val="20"/>
                <w:szCs w:val="20"/>
              </w:rPr>
              <w:t xml:space="preserve"> výmerou do 349 hektárov </w:t>
            </w:r>
            <w:r w:rsidR="008E46E9">
              <w:rPr>
                <w:sz w:val="20"/>
                <w:szCs w:val="20"/>
              </w:rPr>
              <w:t xml:space="preserve">a naopak negatívne budú </w:t>
            </w:r>
            <w:r w:rsidR="00ED4186">
              <w:rPr>
                <w:sz w:val="20"/>
                <w:szCs w:val="20"/>
              </w:rPr>
              <w:t>ovplyvnené</w:t>
            </w:r>
            <w:r w:rsidR="008E46E9">
              <w:rPr>
                <w:sz w:val="20"/>
                <w:szCs w:val="20"/>
              </w:rPr>
              <w:t xml:space="preserve"> jej zavedením subjekty</w:t>
            </w:r>
            <w:r w:rsidR="009446A4">
              <w:rPr>
                <w:sz w:val="20"/>
                <w:szCs w:val="20"/>
              </w:rPr>
              <w:t xml:space="preserve"> s výmerou</w:t>
            </w:r>
            <w:r w:rsidR="008E46E9">
              <w:rPr>
                <w:sz w:val="20"/>
                <w:szCs w:val="20"/>
              </w:rPr>
              <w:t xml:space="preserve"> nad </w:t>
            </w:r>
            <w:r w:rsidR="00ED4186">
              <w:rPr>
                <w:sz w:val="20"/>
                <w:szCs w:val="20"/>
              </w:rPr>
              <w:t xml:space="preserve">350 </w:t>
            </w:r>
            <w:r w:rsidR="00ED4186" w:rsidRPr="00ED4186">
              <w:rPr>
                <w:sz w:val="20"/>
                <w:szCs w:val="20"/>
              </w:rPr>
              <w:t>hektárov</w:t>
            </w:r>
            <w:r w:rsidR="00ED4186">
              <w:rPr>
                <w:sz w:val="20"/>
                <w:szCs w:val="20"/>
              </w:rPr>
              <w:t>.</w:t>
            </w:r>
          </w:p>
        </w:tc>
      </w:tr>
      <w:tr w:rsidR="00D07F65" w:rsidRPr="00D07F65" w:rsidTr="00B5245C"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 xml:space="preserve">3.5 Inovácie </w:t>
            </w:r>
          </w:p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       - </w:t>
            </w:r>
            <w:r w:rsidRPr="00D07F65">
              <w:rPr>
                <w:b/>
                <w:sz w:val="20"/>
                <w:szCs w:val="20"/>
              </w:rPr>
              <w:t>z toho MSP</w:t>
            </w:r>
          </w:p>
        </w:tc>
      </w:tr>
      <w:tr w:rsidR="00D07F65" w:rsidRPr="00D07F65" w:rsidTr="00B5245C">
        <w:tc>
          <w:tcPr>
            <w:tcW w:w="9212" w:type="dxa"/>
          </w:tcPr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Uveďte, ako podporuje navrhovaná zmena inovácie.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D07F65" w:rsidRPr="00D07F65" w:rsidRDefault="00D07F65" w:rsidP="00B5245C">
            <w:pPr>
              <w:rPr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  <w:tr w:rsidR="00D07F65" w:rsidRPr="00D07F65" w:rsidTr="00B5245C">
        <w:trPr>
          <w:trHeight w:val="767"/>
        </w:trPr>
        <w:tc>
          <w:tcPr>
            <w:tcW w:w="9212" w:type="dxa"/>
          </w:tcPr>
          <w:p w:rsidR="00D07F65" w:rsidRPr="00D07F65" w:rsidRDefault="00D07F65" w:rsidP="00B5245C">
            <w:pPr>
              <w:rPr>
                <w:sz w:val="20"/>
                <w:szCs w:val="20"/>
              </w:rPr>
            </w:pPr>
          </w:p>
          <w:p w:rsidR="00D07F65" w:rsidRPr="00D07F65" w:rsidRDefault="00D07F65" w:rsidP="00777E26">
            <w:pPr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Návrh </w:t>
            </w:r>
            <w:r w:rsidR="006C2446" w:rsidRPr="006C2446">
              <w:rPr>
                <w:sz w:val="20"/>
                <w:szCs w:val="20"/>
              </w:rPr>
              <w:t xml:space="preserve">nariadenia vlády </w:t>
            </w:r>
            <w:r w:rsidRPr="00D07F65">
              <w:rPr>
                <w:sz w:val="20"/>
                <w:szCs w:val="20"/>
              </w:rPr>
              <w:t>nebude mať vplyv na inovácie.</w:t>
            </w:r>
          </w:p>
        </w:tc>
      </w:tr>
    </w:tbl>
    <w:p w:rsidR="00D07F65" w:rsidRPr="00D07F65" w:rsidRDefault="00D07F65" w:rsidP="00D07F65">
      <w:pPr>
        <w:rPr>
          <w:sz w:val="20"/>
          <w:szCs w:val="20"/>
        </w:rPr>
      </w:pPr>
    </w:p>
    <w:p w:rsidR="00D07F65" w:rsidRPr="00D07F65" w:rsidRDefault="00D07F65" w:rsidP="00D07F65">
      <w:pPr>
        <w:rPr>
          <w:sz w:val="20"/>
          <w:szCs w:val="20"/>
        </w:rPr>
      </w:pPr>
    </w:p>
    <w:p w:rsidR="002D09B0" w:rsidRPr="00D07F65" w:rsidRDefault="002D09B0" w:rsidP="00D07F65">
      <w:pPr>
        <w:rPr>
          <w:sz w:val="20"/>
          <w:szCs w:val="20"/>
        </w:rPr>
      </w:pPr>
    </w:p>
    <w:sectPr w:rsidR="002D09B0" w:rsidRPr="00D07F65" w:rsidSect="0042343A">
      <w:footerReference w:type="default" r:id="rId7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81" w:rsidRDefault="00BD5581">
      <w:r>
        <w:separator/>
      </w:r>
    </w:p>
  </w:endnote>
  <w:endnote w:type="continuationSeparator" w:id="0">
    <w:p w:rsidR="00BD5581" w:rsidRDefault="00BD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7126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92370" w:rsidRPr="00D36C6F" w:rsidRDefault="001671C9">
        <w:pPr>
          <w:pStyle w:val="Pta"/>
          <w:jc w:val="center"/>
          <w:rPr>
            <w:sz w:val="22"/>
            <w:szCs w:val="22"/>
          </w:rPr>
        </w:pPr>
        <w:r w:rsidRPr="00D36C6F">
          <w:rPr>
            <w:sz w:val="22"/>
            <w:szCs w:val="22"/>
          </w:rPr>
          <w:fldChar w:fldCharType="begin"/>
        </w:r>
        <w:r w:rsidR="001444E9" w:rsidRPr="00D36C6F">
          <w:rPr>
            <w:sz w:val="22"/>
            <w:szCs w:val="22"/>
          </w:rPr>
          <w:instrText>PAGE   \* MERGEFORMAT</w:instrText>
        </w:r>
        <w:r w:rsidRPr="00D36C6F">
          <w:rPr>
            <w:sz w:val="22"/>
            <w:szCs w:val="22"/>
          </w:rPr>
          <w:fldChar w:fldCharType="separate"/>
        </w:r>
        <w:r w:rsidR="00794C8F">
          <w:rPr>
            <w:noProof/>
            <w:sz w:val="22"/>
            <w:szCs w:val="22"/>
          </w:rPr>
          <w:t>9</w:t>
        </w:r>
        <w:r w:rsidRPr="00D36C6F">
          <w:rPr>
            <w:sz w:val="22"/>
            <w:szCs w:val="22"/>
          </w:rPr>
          <w:fldChar w:fldCharType="end"/>
        </w:r>
      </w:p>
    </w:sdtContent>
  </w:sdt>
  <w:p w:rsidR="00D92370" w:rsidRDefault="00BD558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81" w:rsidRDefault="00BD5581">
      <w:r>
        <w:separator/>
      </w:r>
    </w:p>
  </w:footnote>
  <w:footnote w:type="continuationSeparator" w:id="0">
    <w:p w:rsidR="00BD5581" w:rsidRDefault="00BD5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5CB"/>
    <w:rsid w:val="00061543"/>
    <w:rsid w:val="001444E9"/>
    <w:rsid w:val="00162444"/>
    <w:rsid w:val="001671C9"/>
    <w:rsid w:val="0020033F"/>
    <w:rsid w:val="002333CF"/>
    <w:rsid w:val="00284696"/>
    <w:rsid w:val="002C1165"/>
    <w:rsid w:val="002D09B0"/>
    <w:rsid w:val="00337D94"/>
    <w:rsid w:val="0042343A"/>
    <w:rsid w:val="004624CB"/>
    <w:rsid w:val="00504D62"/>
    <w:rsid w:val="006C2446"/>
    <w:rsid w:val="00755375"/>
    <w:rsid w:val="00777E26"/>
    <w:rsid w:val="00794C8F"/>
    <w:rsid w:val="007A07DF"/>
    <w:rsid w:val="0084276E"/>
    <w:rsid w:val="008E46E9"/>
    <w:rsid w:val="00920A3A"/>
    <w:rsid w:val="009446A4"/>
    <w:rsid w:val="009C55EE"/>
    <w:rsid w:val="00A00EE7"/>
    <w:rsid w:val="00A072F6"/>
    <w:rsid w:val="00A10EEA"/>
    <w:rsid w:val="00A87901"/>
    <w:rsid w:val="00AB65CB"/>
    <w:rsid w:val="00AE6755"/>
    <w:rsid w:val="00B04C5C"/>
    <w:rsid w:val="00BA577C"/>
    <w:rsid w:val="00BB527A"/>
    <w:rsid w:val="00BC1313"/>
    <w:rsid w:val="00BD5581"/>
    <w:rsid w:val="00C0611D"/>
    <w:rsid w:val="00C80A76"/>
    <w:rsid w:val="00CC3E67"/>
    <w:rsid w:val="00D07F65"/>
    <w:rsid w:val="00D857AE"/>
    <w:rsid w:val="00DB6279"/>
    <w:rsid w:val="00EA5D0A"/>
    <w:rsid w:val="00ED4186"/>
    <w:rsid w:val="00F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1444E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1444E9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44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44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67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AE67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AE6755"/>
    <w:rPr>
      <w:rFonts w:cs="Times New Roman"/>
    </w:rPr>
  </w:style>
  <w:style w:type="table" w:styleId="Mriekatabuky">
    <w:name w:val="Table Grid"/>
    <w:basedOn w:val="Normlnatabuka"/>
    <w:uiPriority w:val="59"/>
    <w:rsid w:val="00D0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07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7F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7F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7F6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7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0C28-2564-45DD-A721-1C716650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Autor1</cp:lastModifiedBy>
  <cp:revision>15</cp:revision>
  <cp:lastPrinted>2020-12-14T08:12:00Z</cp:lastPrinted>
  <dcterms:created xsi:type="dcterms:W3CDTF">2020-12-14T08:57:00Z</dcterms:created>
  <dcterms:modified xsi:type="dcterms:W3CDTF">2021-03-22T13:02:00Z</dcterms:modified>
</cp:coreProperties>
</file>