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E3" w:rsidRDefault="00882DF5">
      <w:pPr>
        <w:jc w:val="center"/>
        <w:rPr>
          <w:b/>
          <w:bCs/>
        </w:rPr>
      </w:pPr>
      <w:r>
        <w:rPr>
          <w:b/>
          <w:bCs/>
        </w:rPr>
        <w:t>Doložka vybraných vplyvov</w:t>
      </w:r>
    </w:p>
    <w:p w:rsidR="001B2EE3" w:rsidRDefault="001B2EE3">
      <w:pPr>
        <w:pStyle w:val="Odsekzoznamu"/>
        <w:ind w:left="426"/>
        <w:rPr>
          <w:rFonts w:ascii="Times New Roman" w:hAnsi="Times New Roman" w:cs="Times New Roman"/>
          <w:b/>
          <w:sz w:val="20"/>
          <w:szCs w:val="20"/>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1B2EE3">
        <w:tc>
          <w:tcPr>
            <w:tcW w:w="9180" w:type="dxa"/>
            <w:gridSpan w:val="10"/>
            <w:tcBorders>
              <w:bottom w:val="single" w:sz="4" w:space="0" w:color="FFFFFF" w:themeColor="background1"/>
            </w:tcBorders>
            <w:shd w:val="clear" w:color="auto" w:fill="E2E2E2"/>
          </w:tcPr>
          <w:p w:rsidR="001B2EE3" w:rsidRDefault="00882DF5">
            <w:pPr>
              <w:pStyle w:val="Odsekzoznamu"/>
              <w:numPr>
                <w:ilvl w:val="0"/>
                <w:numId w:val="1"/>
              </w:num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Základné údaje</w:t>
            </w:r>
          </w:p>
        </w:tc>
      </w:tr>
      <w:tr w:rsidR="001B2EE3">
        <w:tc>
          <w:tcPr>
            <w:tcW w:w="9180" w:type="dxa"/>
            <w:gridSpan w:val="10"/>
            <w:tcBorders>
              <w:bottom w:val="single" w:sz="4" w:space="0" w:color="FFFFFF" w:themeColor="background1"/>
            </w:tcBorders>
            <w:shd w:val="clear" w:color="auto" w:fill="E2E2E2"/>
          </w:tcPr>
          <w:p w:rsidR="001B2EE3" w:rsidRDefault="00882DF5">
            <w:pPr>
              <w:pStyle w:val="Odsekzoznamu"/>
              <w:ind w:left="142"/>
              <w:rPr>
                <w:rFonts w:ascii="Times New Roman" w:hAnsi="Times New Roman" w:cs="Times New Roman"/>
                <w:b/>
                <w:sz w:val="20"/>
                <w:szCs w:val="20"/>
              </w:rPr>
            </w:pPr>
            <w:r>
              <w:rPr>
                <w:rFonts w:ascii="Times New Roman" w:hAnsi="Times New Roman" w:cs="Times New Roman"/>
                <w:b/>
                <w:sz w:val="20"/>
                <w:szCs w:val="20"/>
              </w:rPr>
              <w:t>Názov materiálu</w:t>
            </w:r>
          </w:p>
        </w:tc>
      </w:tr>
      <w:tr w:rsidR="001B2EE3">
        <w:tc>
          <w:tcPr>
            <w:tcW w:w="9180" w:type="dxa"/>
            <w:gridSpan w:val="10"/>
            <w:tcBorders>
              <w:top w:val="single" w:sz="4" w:space="0" w:color="FFFFFF" w:themeColor="background1"/>
              <w:bottom w:val="single" w:sz="4" w:space="0" w:color="auto"/>
            </w:tcBorders>
          </w:tcPr>
          <w:p w:rsidR="001B2EE3" w:rsidRDefault="00882DF5">
            <w:pPr>
              <w:jc w:val="both"/>
            </w:pPr>
            <w:r>
              <w:t>Nariadenie vlády Slovenskej republiky, ktorým sa mení a dopĺňa nariadenie vlády Slovenskej republiky č. 75/2015 Z. z., ktorým sa ustanovujú pravidlá poskytovania podpory v súvislosti s opatreniami programu rozvoja vidieka v znení neskorších predpisov</w:t>
            </w:r>
          </w:p>
        </w:tc>
      </w:tr>
      <w:tr w:rsidR="001B2EE3">
        <w:tc>
          <w:tcPr>
            <w:tcW w:w="9180" w:type="dxa"/>
            <w:gridSpan w:val="10"/>
            <w:tcBorders>
              <w:top w:val="single" w:sz="4" w:space="0" w:color="auto"/>
              <w:left w:val="single" w:sz="4" w:space="0" w:color="auto"/>
              <w:bottom w:val="single" w:sz="4" w:space="0" w:color="FFFFFF" w:themeColor="background1"/>
            </w:tcBorders>
            <w:shd w:val="clear" w:color="auto" w:fill="E2E2E2"/>
          </w:tcPr>
          <w:p w:rsidR="001B2EE3" w:rsidRDefault="00882DF5">
            <w:pPr>
              <w:pStyle w:val="Odsekzoznamu"/>
              <w:ind w:left="142"/>
              <w:rPr>
                <w:rFonts w:ascii="Times New Roman" w:hAnsi="Times New Roman" w:cs="Times New Roman"/>
                <w:b/>
                <w:sz w:val="20"/>
                <w:szCs w:val="20"/>
              </w:rPr>
            </w:pPr>
            <w:r>
              <w:rPr>
                <w:rFonts w:ascii="Times New Roman" w:hAnsi="Times New Roman" w:cs="Times New Roman"/>
                <w:b/>
                <w:sz w:val="20"/>
                <w:szCs w:val="20"/>
              </w:rPr>
              <w:t>Predkladateľ (a spolupredkladateľ)</w:t>
            </w:r>
          </w:p>
        </w:tc>
      </w:tr>
      <w:tr w:rsidR="001B2EE3">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1B2EE3" w:rsidRDefault="00882DF5">
            <w:r>
              <w:t>Ministerstvo pôdohospodárstva a rozvoja vidieka Slovenskej republiky</w:t>
            </w:r>
          </w:p>
        </w:tc>
      </w:tr>
      <w:tr w:rsidR="001B2EE3">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1B2EE3" w:rsidRDefault="00882DF5">
            <w:pPr>
              <w:pStyle w:val="Odsekzoznamu"/>
              <w:ind w:left="142"/>
              <w:rPr>
                <w:rFonts w:ascii="Times New Roman" w:hAnsi="Times New Roman" w:cs="Times New Roman"/>
                <w:b/>
                <w:sz w:val="20"/>
                <w:szCs w:val="20"/>
              </w:rPr>
            </w:pPr>
            <w:r>
              <w:rPr>
                <w:rFonts w:ascii="Times New Roman" w:hAnsi="Times New Roman" w:cs="Times New Roman"/>
                <w:b/>
                <w:sz w:val="20"/>
                <w:szCs w:val="20"/>
              </w:rPr>
              <w:t>Charakter predkladaného materiálu</w:t>
            </w:r>
          </w:p>
        </w:tc>
        <w:sdt>
          <w:sdt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1B2EE3" w:rsidRDefault="00882DF5">
                <w:pPr>
                  <w:jc w:val="center"/>
                </w:pPr>
                <w:r>
                  <w:rPr>
                    <w:rFonts w:ascii="Segoe UI Symbol" w:eastAsia="MS Gothic" w:hAnsi="Segoe UI Symbol" w:cs="Segoe UI Symbol"/>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1B2EE3" w:rsidRDefault="00882DF5">
            <w:r>
              <w:t>Materiál nelegislatívnej povahy</w:t>
            </w:r>
          </w:p>
        </w:tc>
      </w:tr>
      <w:tr w:rsidR="001B2EE3">
        <w:tc>
          <w:tcPr>
            <w:tcW w:w="4212" w:type="dxa"/>
            <w:gridSpan w:val="2"/>
            <w:vMerge/>
            <w:tcBorders>
              <w:top w:val="nil"/>
              <w:left w:val="single" w:sz="4" w:space="0" w:color="auto"/>
              <w:bottom w:val="single" w:sz="4" w:space="0" w:color="FFFFFF" w:themeColor="background1"/>
            </w:tcBorders>
            <w:shd w:val="clear" w:color="auto" w:fill="E2E2E2"/>
          </w:tcPr>
          <w:p w:rsidR="001B2EE3" w:rsidRDefault="001B2EE3"/>
        </w:tc>
        <w:sdt>
          <w:sdt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1B2EE3" w:rsidRDefault="00882DF5">
                <w:pPr>
                  <w:jc w:val="center"/>
                </w:pPr>
                <w:r>
                  <w:rPr>
                    <w:rFonts w:ascii="Segoe UI Symbol" w:eastAsia="MS Gothic" w:hAnsi="Segoe UI Symbol" w:cs="Segoe UI Symbol"/>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1B2EE3" w:rsidRDefault="00882DF5">
            <w:pPr>
              <w:ind w:left="175" w:hanging="175"/>
            </w:pPr>
            <w:r>
              <w:t>Materiál legislatívnej povahy</w:t>
            </w:r>
          </w:p>
        </w:tc>
      </w:tr>
      <w:tr w:rsidR="001B2EE3">
        <w:tc>
          <w:tcPr>
            <w:tcW w:w="4212" w:type="dxa"/>
            <w:gridSpan w:val="2"/>
            <w:vMerge/>
            <w:tcBorders>
              <w:top w:val="nil"/>
              <w:left w:val="single" w:sz="4" w:space="0" w:color="auto"/>
              <w:bottom w:val="single" w:sz="4" w:space="0" w:color="auto"/>
            </w:tcBorders>
            <w:shd w:val="clear" w:color="auto" w:fill="E2E2E2"/>
          </w:tcPr>
          <w:p w:rsidR="001B2EE3" w:rsidRDefault="001B2EE3"/>
        </w:tc>
        <w:sdt>
          <w:sdtPr>
            <w:id w:val="-1883475976"/>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1B2EE3" w:rsidRDefault="00882DF5">
                <w:pPr>
                  <w:jc w:val="center"/>
                </w:pPr>
                <w:r>
                  <w:rPr>
                    <w:rFonts w:ascii="Segoe UI Symbol" w:eastAsia="MS Gothic" w:hAnsi="Segoe UI Symbol" w:cs="Segoe UI Symbol"/>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1B2EE3" w:rsidRDefault="00882DF5">
            <w:r>
              <w:t>Transpozícia práva EÚ</w:t>
            </w:r>
          </w:p>
        </w:tc>
      </w:tr>
      <w:tr w:rsidR="001B2EE3">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1B2EE3" w:rsidRDefault="00882DF5">
            <w:r>
              <w:rPr>
                <w:i/>
              </w:rPr>
              <w:t>V prípade transpozície uveďte zoznam transponovaných predpisov:</w:t>
            </w:r>
          </w:p>
        </w:tc>
      </w:tr>
      <w:tr w:rsidR="001B2EE3">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1B2EE3" w:rsidRDefault="00882DF5">
            <w:pPr>
              <w:pStyle w:val="Odsekzoznamu"/>
              <w:ind w:left="142"/>
              <w:rPr>
                <w:rFonts w:ascii="Times New Roman" w:hAnsi="Times New Roman" w:cs="Times New Roman"/>
                <w:b/>
                <w:sz w:val="20"/>
                <w:szCs w:val="20"/>
              </w:rPr>
            </w:pPr>
            <w:r>
              <w:rPr>
                <w:rFonts w:ascii="Times New Roman" w:hAnsi="Times New Roman" w:cs="Times New Roman"/>
                <w:b/>
                <w:sz w:val="20"/>
                <w:szCs w:val="20"/>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1B2EE3" w:rsidRDefault="00882DF5">
            <w:r>
              <w:t>11.12. 2020 - 28.12. 2020</w:t>
            </w:r>
          </w:p>
        </w:tc>
      </w:tr>
      <w:tr w:rsidR="001B2EE3">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1B2EE3" w:rsidRDefault="00882DF5">
            <w:pPr>
              <w:pStyle w:val="Odsekzoznamu"/>
              <w:ind w:left="142"/>
              <w:rPr>
                <w:rFonts w:ascii="Times New Roman" w:hAnsi="Times New Roman" w:cs="Times New Roman"/>
                <w:b/>
                <w:sz w:val="20"/>
                <w:szCs w:val="20"/>
              </w:rPr>
            </w:pPr>
            <w:r>
              <w:rPr>
                <w:rFonts w:ascii="Times New Roman" w:hAnsi="Times New Roman" w:cs="Times New Roman"/>
                <w:b/>
                <w:sz w:val="20"/>
                <w:szCs w:val="20"/>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rsidR="001B2EE3" w:rsidRDefault="00882DF5">
            <w:r>
              <w:t>MPK:  18. 1. 2021 -  5. 2. 2021</w:t>
            </w:r>
          </w:p>
        </w:tc>
      </w:tr>
      <w:tr w:rsidR="001B2EE3">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1B2EE3" w:rsidRDefault="00882DF5">
            <w:pPr>
              <w:pStyle w:val="Odsekzoznamu"/>
              <w:ind w:left="142"/>
              <w:rPr>
                <w:rFonts w:ascii="Times New Roman" w:hAnsi="Times New Roman" w:cs="Times New Roman"/>
                <w:b/>
                <w:sz w:val="20"/>
                <w:szCs w:val="20"/>
              </w:rPr>
            </w:pPr>
            <w:r>
              <w:rPr>
                <w:rFonts w:ascii="Times New Roman" w:hAnsi="Times New Roman" w:cs="Times New Roman"/>
                <w:b/>
                <w:sz w:val="20"/>
                <w:szCs w:val="20"/>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rsidR="001B2EE3" w:rsidRDefault="00882DF5">
            <w:r>
              <w:t>Marec  2021</w:t>
            </w:r>
          </w:p>
        </w:tc>
      </w:tr>
      <w:tr w:rsidR="001B2EE3">
        <w:tc>
          <w:tcPr>
            <w:tcW w:w="9180" w:type="dxa"/>
            <w:gridSpan w:val="10"/>
            <w:tcBorders>
              <w:top w:val="single" w:sz="4" w:space="0" w:color="auto"/>
              <w:left w:val="nil"/>
              <w:bottom w:val="single" w:sz="4" w:space="0" w:color="auto"/>
              <w:right w:val="nil"/>
            </w:tcBorders>
            <w:shd w:val="clear" w:color="auto" w:fill="FFFFFF" w:themeFill="background1"/>
          </w:tcPr>
          <w:p w:rsidR="001B2EE3" w:rsidRDefault="001B2EE3"/>
        </w:tc>
      </w:tr>
      <w:tr w:rsidR="001B2EE3">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1B2EE3" w:rsidRDefault="00882DF5">
            <w:pPr>
              <w:pStyle w:val="Odsekzoznamu"/>
              <w:numPr>
                <w:ilvl w:val="0"/>
                <w:numId w:val="1"/>
              </w:num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Definícia problému</w:t>
            </w:r>
          </w:p>
        </w:tc>
      </w:tr>
      <w:tr w:rsidR="001B2EE3">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1B2EE3" w:rsidRDefault="00882DF5">
            <w:pPr>
              <w:rPr>
                <w:i/>
              </w:rPr>
            </w:pPr>
            <w:r>
              <w:rPr>
                <w:i/>
              </w:rPr>
              <w:t>Uveďte základné problémy, na ktoré navrhovaná regulácia reaguje.</w:t>
            </w:r>
          </w:p>
          <w:p w:rsidR="001B2EE3" w:rsidRDefault="00882DF5">
            <w:pPr>
              <w:ind w:left="284"/>
              <w:jc w:val="both"/>
              <w:rPr>
                <w:rFonts w:eastAsiaTheme="minorHAnsi"/>
              </w:rPr>
            </w:pPr>
            <w:r>
              <w:t>Základným problémom na ktorý navrhované nariadenie vlády reaguje je absencia legislatívnych podmienok, ktoré budú žiadatelia o poskytnutie podpory  na agroenvironmentálno - klimatické opatrenie (§ 1 ods. 1 písm. c) nariadenia vlády č. 75/2015 Z. z.) a na ekologické poľnohospodárstvo ( § 1 ods. 1 písm. d) nariadenia vlády č. 75/2015 Z. z.) povinní plniť počas prechodného obdobia, t. j.  v období roku 2021 a 2022, ako nový dvojročný záväzok.  Príčina problému spočíva v tom, že podľa doterajšieho právneho stavu boli žiadatelia o poskytnutie podpory povinní plniť podmienky počas päťročného záväzkového obdobia. Nakoľko podľa nariadenie Európskeho parlamentu a Rady (EÚ) č. 2020/2220, ktorým sa stanovujú určité prechodné ustanovenia týkajúce sa podpory z Európskeho poľnohospodárskeho fondu pre rozvoj vidieka (EPFRV) a Európskeho poľnohospodárskeho záručného fondu (EPZF) v rokoch 2021 a 2022 a ktorým sa menia nariadenia (EÚ) č. 1305/2013, (EÚ) č. 1306/2013 a (EÚ) č. 1307/2013, pokiaľ ide o zdroje a uplatňovanie v rokoch 2021 a 2022, a nariadenie (EÚ) č. 1308/2013, pokiaľ ide o zdroje a distribúciu tejto podpory v rokoch 2021 a 2022, je možné záväzkové obdobie v najbližšom období stanoviť ako dvojročné, je nevyhnutné aktualizovať (novelizovať) platné nariadenie vlády SR č. 75/2015 Z. z. v znení neskorších predpisov a modifikovať podmienky, ktoré budú žiadatelia o poskytnutie podpory na agroenvironmentálno - klimatické opatrenie a na ekologické poľnohospodárstvo povinní plniť v prechodnom období, t. j. v roku 2021 a 2022. Predkladaný návrh nariadenia vlády sa bude vzťahovať na cca 150 žiadateľov o poskytnutie podpory na agroenvironmentálno - klimatické opatrenie a na ekologické poľnohospodárstvo, ktorí budú na základe výzvy predkladať žiadosti o poskytnutie podpory Pôdohospodárskej platobnej agentúre v máji 2021.</w:t>
            </w:r>
          </w:p>
          <w:p w:rsidR="001B2EE3" w:rsidRDefault="001B2EE3">
            <w:pPr>
              <w:ind w:firstLine="447"/>
              <w:jc w:val="both"/>
            </w:pPr>
          </w:p>
        </w:tc>
      </w:tr>
      <w:tr w:rsidR="001B2EE3">
        <w:tc>
          <w:tcPr>
            <w:tcW w:w="9180" w:type="dxa"/>
            <w:gridSpan w:val="10"/>
            <w:tcBorders>
              <w:top w:val="single" w:sz="4" w:space="0" w:color="auto"/>
              <w:left w:val="single" w:sz="4" w:space="0" w:color="auto"/>
              <w:bottom w:val="nil"/>
              <w:right w:val="single" w:sz="4" w:space="0" w:color="auto"/>
            </w:tcBorders>
            <w:shd w:val="clear" w:color="auto" w:fill="E2E2E2"/>
          </w:tcPr>
          <w:p w:rsidR="001B2EE3" w:rsidRDefault="00882DF5">
            <w:pPr>
              <w:pStyle w:val="Odsekzoznamu"/>
              <w:numPr>
                <w:ilvl w:val="0"/>
                <w:numId w:val="1"/>
              </w:num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Ciele a výsledný stav</w:t>
            </w:r>
          </w:p>
        </w:tc>
      </w:tr>
      <w:tr w:rsidR="001B2EE3">
        <w:trPr>
          <w:trHeight w:val="575"/>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1B2EE3" w:rsidRDefault="00882DF5">
            <w:pPr>
              <w:spacing w:line="276" w:lineRule="auto"/>
              <w:jc w:val="both"/>
            </w:pPr>
            <w:r>
              <w:t xml:space="preserve">Cieľom navrhovaného </w:t>
            </w:r>
            <w:r>
              <w:rPr>
                <w:bCs/>
              </w:rPr>
              <w:t xml:space="preserve">nariadenia vlády </w:t>
            </w:r>
            <w:r>
              <w:t>je najmä ustanovenie podmienok pre poskytnutie podpory pre žiadateľov počas dvojročného záväzkového obdobia ( 2021- 2022), vypustenie podmienky ustanovenej v § 32 ods. 1 nariadenia vlády č. 75/2015 Z. z. pre žiadateľa o poskytnutie podpory na ekologické poľnohospodárstvo, mať v systéme ekologickej poľnohospodárskej výroby registrovaných najmenej 51 % výmery poľnohospodárskej pôdy v registri ekologickej poľnohospodárskej výroby, ak zároveň hospodári aj neekologickým spôsobom, prijatie   úpravy</w:t>
            </w:r>
            <w:r>
              <w:rPr>
                <w:sz w:val="22"/>
                <w:szCs w:val="22"/>
              </w:rPr>
              <w:t xml:space="preserve"> </w:t>
            </w:r>
            <w:r>
              <w:t xml:space="preserve">prílohy č. 16a,  nakoľko presuny odchovaných výkrmových ošípaných,  ktoré môže žiadateľ o platbu uviesť ako oprávnené pre účely platby na výkrm ošípaných, sa rozšíria aj o predaj ošípanej na domácu spotrebu, ktorá v platnom nariadení vlády nie je ustanovená a doplnenie § 20 ods. 2 a § 40 ods.12, ktorým sa  povolí dočasný presun zvierat, evidovaný v centrálnom registri zvierat v rozsahu najviac 14 dní, napríklad za účelom ich účasti na výstavách,  bez povinnosti ich náhrady počas týchto najviac 14 dní, čím sa podporí aj genetický fond zvierat. </w:t>
            </w:r>
          </w:p>
          <w:p w:rsidR="001B2EE3" w:rsidRDefault="00882DF5">
            <w:pPr>
              <w:widowControl w:val="0"/>
              <w:jc w:val="both"/>
              <w:rPr>
                <w:bCs/>
              </w:rPr>
            </w:pPr>
            <w:r>
              <w:t xml:space="preserve">Navrhované nariadenia vlády bude súčasne obsahovať aj ďalšie ustanovenia doplnené na základe aplikačnej </w:t>
            </w:r>
            <w:r>
              <w:lastRenderedPageBreak/>
              <w:t xml:space="preserve">praxe  </w:t>
            </w:r>
            <w:r>
              <w:rPr>
                <w:bCs/>
              </w:rPr>
              <w:t>nariadenia vlády č. 75/2015 Z. z. v znení neskorších predpisov.</w:t>
            </w:r>
          </w:p>
          <w:p w:rsidR="001B2EE3" w:rsidRDefault="00882DF5">
            <w:pPr>
              <w:widowControl w:val="0"/>
              <w:jc w:val="both"/>
            </w:pPr>
            <w:r>
              <w:rPr>
                <w:bCs/>
              </w:rPr>
              <w:t xml:space="preserve">         Prijatím navrhovaného nariadenia vlády sa ustanovia podmienky pre </w:t>
            </w:r>
            <w:r>
              <w:t xml:space="preserve"> žiadateľov o poskytnutie podpory  na agroenvironmentálno - klimatické opatrenie  a na ekologické poľnohospodárstvo, ktoré budú povinní plniť a dodržiavať počas dvojročného záväzkového obdobia (2021 - 2022).  Na základe prijatého nariadenia vlády budú žiadatelia o poskytnutie podpory na agroenvironmentálno - klimatické opatrenie  a na ekologické poľnohospodárstvo,  predkladať na základe výzvy Pôdohospodárskej platobnej agentúre žiadosti o poskytnutie podpory, čím sa dosiahne cieľ predkladaného návrhu nariadenia vlády. Prijatím navrhovaného nariadenia vlády nevzniknú žiadne nároky na rozpočet verejnej správy.</w:t>
            </w:r>
          </w:p>
          <w:p w:rsidR="001B2EE3" w:rsidRDefault="00882DF5">
            <w:pPr>
              <w:widowControl w:val="0"/>
              <w:jc w:val="both"/>
            </w:pPr>
            <w:r>
              <w:t xml:space="preserve">         Cieľ navrhovaného nariadenia vlády sa dosiahne predložením žiadostí o poskytnutie podpory na agroenvironmentálno - klimatické opatrenie  a na ekologické poľnohospodárstvo, ktoré predložia žiadatelia o poskytnutie podpory Pôdohospodárskej platobnej agentúre v máji 2021 a následným čerpaním podpôr žiadateľmi o poskytnutie podpôr v dvojročnom záväzkovom období 2021 až 2022.</w:t>
            </w:r>
          </w:p>
          <w:p w:rsidR="001B2EE3" w:rsidRDefault="001B2EE3">
            <w:pPr>
              <w:ind w:firstLine="447"/>
              <w:jc w:val="both"/>
            </w:pPr>
          </w:p>
        </w:tc>
      </w:tr>
      <w:tr w:rsidR="001B2EE3">
        <w:tc>
          <w:tcPr>
            <w:tcW w:w="9180" w:type="dxa"/>
            <w:gridSpan w:val="10"/>
            <w:tcBorders>
              <w:top w:val="single" w:sz="4" w:space="0" w:color="auto"/>
              <w:left w:val="single" w:sz="4" w:space="0" w:color="auto"/>
              <w:bottom w:val="nil"/>
              <w:right w:val="single" w:sz="4" w:space="0" w:color="auto"/>
            </w:tcBorders>
            <w:shd w:val="clear" w:color="auto" w:fill="E2E2E2"/>
          </w:tcPr>
          <w:p w:rsidR="001B2EE3" w:rsidRDefault="00882DF5">
            <w:pPr>
              <w:pStyle w:val="Odsekzoznamu"/>
              <w:numPr>
                <w:ilvl w:val="0"/>
                <w:numId w:val="1"/>
              </w:num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lastRenderedPageBreak/>
              <w:t>Dotknuté subjekty</w:t>
            </w:r>
          </w:p>
        </w:tc>
      </w:tr>
      <w:tr w:rsidR="001B2EE3">
        <w:trPr>
          <w:trHeight w:val="1155"/>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1B2EE3" w:rsidRDefault="00882DF5">
            <w:pPr>
              <w:jc w:val="both"/>
            </w:pPr>
            <w:r>
              <w:t xml:space="preserve">         Žiadatelia o poskytnutie podpory na opatrenia programu rozvoja vidieka v prechodnom období 2021 - 2022, Pôdohospodárska platobná agentúra, Ministerstvo pôdohospodárstva a rozvoja vidieka Slovenskej republiky.</w:t>
            </w:r>
          </w:p>
        </w:tc>
      </w:tr>
      <w:tr w:rsidR="001B2EE3">
        <w:tc>
          <w:tcPr>
            <w:tcW w:w="9180" w:type="dxa"/>
            <w:gridSpan w:val="10"/>
            <w:tcBorders>
              <w:top w:val="single" w:sz="4" w:space="0" w:color="auto"/>
              <w:left w:val="single" w:sz="4" w:space="0" w:color="auto"/>
              <w:bottom w:val="nil"/>
              <w:right w:val="single" w:sz="4" w:space="0" w:color="auto"/>
            </w:tcBorders>
            <w:shd w:val="clear" w:color="auto" w:fill="E2E2E2"/>
          </w:tcPr>
          <w:p w:rsidR="001B2EE3" w:rsidRDefault="00882DF5">
            <w:pPr>
              <w:pStyle w:val="Odsekzoznamu"/>
              <w:numPr>
                <w:ilvl w:val="0"/>
                <w:numId w:val="1"/>
              </w:num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Alternatívne riešenia</w:t>
            </w:r>
          </w:p>
        </w:tc>
      </w:tr>
      <w:tr w:rsidR="001B2EE3">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1B2EE3" w:rsidRDefault="00882DF5">
            <w:pPr>
              <w:rPr>
                <w:i/>
              </w:rPr>
            </w:pPr>
            <w:r>
              <w:rPr>
                <w:i/>
              </w:rPr>
              <w:t>Aké alternatívne riešenia boli posudzované?</w:t>
            </w:r>
          </w:p>
          <w:p w:rsidR="001B2EE3" w:rsidRDefault="00882DF5">
            <w:pPr>
              <w:rPr>
                <w:i/>
              </w:rPr>
            </w:pPr>
            <w:r>
              <w:rPr>
                <w:i/>
              </w:rPr>
              <w:t>Uveďte, aké alternatívne spôsoby na odstránenie definovaného problému boli identifikované a posudzované.</w:t>
            </w:r>
          </w:p>
          <w:p w:rsidR="001B2EE3" w:rsidRDefault="00882DF5">
            <w:pPr>
              <w:rPr>
                <w:i/>
              </w:rPr>
            </w:pPr>
            <w:r>
              <w:rPr>
                <w:i/>
              </w:rPr>
              <w:t>- - -</w:t>
            </w:r>
          </w:p>
        </w:tc>
      </w:tr>
      <w:tr w:rsidR="001B2EE3">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1B2EE3" w:rsidRDefault="00882DF5">
            <w:pPr>
              <w:pStyle w:val="Odsekzoznamu"/>
              <w:numPr>
                <w:ilvl w:val="0"/>
                <w:numId w:val="1"/>
              </w:num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Vykonávacie predpisy</w:t>
            </w:r>
          </w:p>
        </w:tc>
      </w:tr>
      <w:tr w:rsidR="001B2EE3">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1B2EE3" w:rsidRDefault="00882DF5">
            <w:pPr>
              <w:rPr>
                <w:i/>
              </w:rPr>
            </w:pPr>
            <w:r>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1B2EE3" w:rsidRDefault="00F338BC">
            <w:pPr>
              <w:jc w:val="center"/>
            </w:pPr>
            <w:sdt>
              <w:sdtPr>
                <w:id w:val="-1407611648"/>
              </w:sdtPr>
              <w:sdtEndPr/>
              <w:sdtContent>
                <w:r w:rsidR="00882DF5">
                  <w:rPr>
                    <w:rFonts w:ascii="Segoe UI Symbol" w:eastAsia="MS Gothic" w:hAnsi="Segoe UI Symbol" w:cs="Segoe UI Symbol"/>
                  </w:rPr>
                  <w:t>☐</w:t>
                </w:r>
              </w:sdtContent>
            </w:sdt>
            <w:r w:rsidR="00882DF5">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1B2EE3" w:rsidRDefault="00F338BC">
            <w:pPr>
              <w:jc w:val="center"/>
            </w:pPr>
            <w:sdt>
              <w:sdtPr>
                <w:id w:val="-1625842802"/>
              </w:sdtPr>
              <w:sdtEndPr/>
              <w:sdtContent>
                <w:r w:rsidR="00882DF5">
                  <w:rPr>
                    <w:rFonts w:ascii="Segoe UI Symbol" w:eastAsia="MS Gothic" w:hAnsi="Segoe UI Symbol" w:cs="Segoe UI Symbol"/>
                  </w:rPr>
                  <w:t>☒</w:t>
                </w:r>
              </w:sdtContent>
            </w:sdt>
            <w:r w:rsidR="00882DF5">
              <w:t xml:space="preserve">  Nie</w:t>
            </w:r>
          </w:p>
        </w:tc>
      </w:tr>
      <w:tr w:rsidR="001B2EE3">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1B2EE3" w:rsidRDefault="00882DF5">
            <w:pPr>
              <w:rPr>
                <w:i/>
              </w:rPr>
            </w:pPr>
            <w:r>
              <w:rPr>
                <w:i/>
              </w:rPr>
              <w:t>Ak áno, uveďte ktoré oblasti budú nimi upravené, resp. ktorých vykonávacích predpisov sa zmena dotkne:</w:t>
            </w:r>
          </w:p>
          <w:p w:rsidR="001B2EE3" w:rsidRDefault="001B2EE3"/>
        </w:tc>
      </w:tr>
      <w:tr w:rsidR="001B2EE3">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1B2EE3" w:rsidRDefault="00882DF5">
            <w:pPr>
              <w:pStyle w:val="Odsekzoznamu"/>
              <w:numPr>
                <w:ilvl w:val="0"/>
                <w:numId w:val="1"/>
              </w:num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 xml:space="preserve">Transpozícia práva EÚ </w:t>
            </w:r>
          </w:p>
        </w:tc>
      </w:tr>
      <w:tr w:rsidR="001B2EE3">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1B2EE3" w:rsidRDefault="00882DF5">
            <w:pPr>
              <w:rPr>
                <w:i/>
              </w:rPr>
            </w:pPr>
            <w:r>
              <w:rPr>
                <w:i/>
              </w:rPr>
              <w:t>Uveďte, v ktorých ustanoveniach ide národná právna úprava nad rámec minimálnych požiadaviek EÚ spolu s odôvodnením.</w:t>
            </w:r>
          </w:p>
        </w:tc>
      </w:tr>
      <w:tr w:rsidR="001B2EE3">
        <w:trPr>
          <w:trHeight w:val="80"/>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1B2EE3" w:rsidRDefault="00882DF5">
            <w:r>
              <w:rPr>
                <w:i/>
              </w:rPr>
              <w:t>- - -</w:t>
            </w:r>
          </w:p>
        </w:tc>
      </w:tr>
      <w:tr w:rsidR="001B2EE3">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1B2EE3" w:rsidRDefault="00882DF5">
            <w:pPr>
              <w:pStyle w:val="Odsekzoznamu"/>
              <w:numPr>
                <w:ilvl w:val="0"/>
                <w:numId w:val="1"/>
              </w:num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Preskúmanie účelnosti**</w:t>
            </w:r>
          </w:p>
        </w:tc>
      </w:tr>
      <w:tr w:rsidR="001B2EE3">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1B2EE3" w:rsidRDefault="00882DF5">
            <w:pPr>
              <w:rPr>
                <w:i/>
              </w:rPr>
            </w:pPr>
            <w:r>
              <w:rPr>
                <w:i/>
              </w:rPr>
              <w:t>Uveďte termín, kedy by malo dôjsť k preskúmaniu účinnosti a účelnosti navrhovaného predpisu.</w:t>
            </w:r>
          </w:p>
          <w:p w:rsidR="001B2EE3" w:rsidRDefault="00882DF5">
            <w:pPr>
              <w:rPr>
                <w:i/>
              </w:rPr>
            </w:pPr>
            <w:r>
              <w:rPr>
                <w:i/>
              </w:rPr>
              <w:t>Uveďte kritériá, na základe ktorých bude preskúmanie vykonané.</w:t>
            </w:r>
          </w:p>
          <w:p w:rsidR="001B2EE3" w:rsidRDefault="00882DF5">
            <w:pPr>
              <w:rPr>
                <w:i/>
              </w:rPr>
            </w:pPr>
            <w:r>
              <w:rPr>
                <w:i/>
              </w:rPr>
              <w:t>- - -</w:t>
            </w:r>
          </w:p>
        </w:tc>
      </w:tr>
      <w:tr w:rsidR="001B2EE3">
        <w:trPr>
          <w:trHeight w:val="715"/>
        </w:trPr>
        <w:tc>
          <w:tcPr>
            <w:tcW w:w="9180" w:type="dxa"/>
            <w:gridSpan w:val="10"/>
            <w:tcBorders>
              <w:top w:val="single" w:sz="4" w:space="0" w:color="auto"/>
              <w:left w:val="nil"/>
              <w:bottom w:val="nil"/>
              <w:right w:val="nil"/>
            </w:tcBorders>
            <w:shd w:val="clear" w:color="auto" w:fill="FFFFFF" w:themeFill="background1"/>
          </w:tcPr>
          <w:p w:rsidR="001B2EE3" w:rsidRDefault="001B2EE3">
            <w:pPr>
              <w:ind w:left="142" w:hanging="142"/>
            </w:pPr>
          </w:p>
          <w:p w:rsidR="001B2EE3" w:rsidRDefault="001B2EE3">
            <w:pPr>
              <w:ind w:left="142" w:hanging="142"/>
            </w:pPr>
          </w:p>
          <w:p w:rsidR="001B2EE3" w:rsidRDefault="00882DF5">
            <w:pPr>
              <w:ind w:left="142" w:hanging="142"/>
            </w:pPr>
            <w:r>
              <w:t xml:space="preserve">* vyplniť iba v prípade, ak materiál nie je zahrnutý do Plánu práce vlády Slovenskej republiky alebo Plánu        legislatívnych úloh vlády Slovenskej republiky. </w:t>
            </w:r>
          </w:p>
          <w:p w:rsidR="001B2EE3" w:rsidRDefault="00882DF5">
            <w:r>
              <w:t>** nepovinné</w:t>
            </w:r>
          </w:p>
        </w:tc>
      </w:tr>
      <w:tr w:rsidR="001B2EE3">
        <w:tc>
          <w:tcPr>
            <w:tcW w:w="9180" w:type="dxa"/>
            <w:gridSpan w:val="10"/>
            <w:tcBorders>
              <w:top w:val="nil"/>
              <w:left w:val="nil"/>
              <w:bottom w:val="single" w:sz="4" w:space="0" w:color="auto"/>
              <w:right w:val="nil"/>
            </w:tcBorders>
            <w:shd w:val="clear" w:color="auto" w:fill="FFFFFF" w:themeFill="background1"/>
          </w:tcPr>
          <w:p w:rsidR="001B2EE3" w:rsidRDefault="001B2EE3">
            <w:pPr>
              <w:rPr>
                <w:b/>
              </w:rPr>
            </w:pPr>
          </w:p>
        </w:tc>
      </w:tr>
      <w:tr w:rsidR="001B2EE3">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1B2EE3" w:rsidRDefault="00882DF5">
            <w:pPr>
              <w:pStyle w:val="Odsekzoznamu"/>
              <w:numPr>
                <w:ilvl w:val="0"/>
                <w:numId w:val="1"/>
              </w:num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Vplyvy navrhovaného materiálu</w:t>
            </w:r>
          </w:p>
        </w:tc>
      </w:tr>
      <w:tr w:rsidR="001B2EE3">
        <w:tc>
          <w:tcPr>
            <w:tcW w:w="3812" w:type="dxa"/>
            <w:tcBorders>
              <w:top w:val="single" w:sz="4" w:space="0" w:color="auto"/>
              <w:left w:val="single" w:sz="4" w:space="0" w:color="auto"/>
              <w:bottom w:val="nil"/>
              <w:right w:val="single" w:sz="4" w:space="0" w:color="auto"/>
            </w:tcBorders>
            <w:shd w:val="clear" w:color="auto" w:fill="E2E2E2"/>
          </w:tcPr>
          <w:p w:rsidR="001B2EE3" w:rsidRDefault="00882DF5">
            <w:pPr>
              <w:rPr>
                <w:b/>
              </w:rPr>
            </w:pPr>
            <w:r>
              <w:rPr>
                <w:b/>
              </w:rPr>
              <w:t>Vplyvy na rozpočet verejnej správy</w:t>
            </w:r>
          </w:p>
        </w:tc>
        <w:sdt>
          <w:sdtPr>
            <w:rPr>
              <w:b/>
            </w:rPr>
            <w:id w:val="1121575439"/>
          </w:sdtPr>
          <w:sdtEndPr/>
          <w:sdtContent>
            <w:tc>
              <w:tcPr>
                <w:tcW w:w="541" w:type="dxa"/>
                <w:gridSpan w:val="2"/>
                <w:tcBorders>
                  <w:top w:val="single" w:sz="4" w:space="0" w:color="auto"/>
                  <w:left w:val="single" w:sz="4" w:space="0" w:color="auto"/>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rsidR="001B2EE3" w:rsidRDefault="00882DF5">
            <w:pPr>
              <w:rPr>
                <w:b/>
              </w:rPr>
            </w:pPr>
            <w:r>
              <w:rPr>
                <w:b/>
              </w:rPr>
              <w:t>Pozitívne</w:t>
            </w:r>
          </w:p>
        </w:tc>
        <w:sdt>
          <w:sdtPr>
            <w:rPr>
              <w:b/>
            </w:rPr>
            <w:id w:val="-916405887"/>
          </w:sdtPr>
          <w:sdtEndPr/>
          <w:sdtContent>
            <w:tc>
              <w:tcPr>
                <w:tcW w:w="569" w:type="dxa"/>
                <w:tcBorders>
                  <w:top w:val="single" w:sz="4" w:space="0" w:color="auto"/>
                  <w:left w:val="nil"/>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1B2EE3" w:rsidRDefault="00882DF5">
            <w:pPr>
              <w:rPr>
                <w:b/>
              </w:rPr>
            </w:pPr>
            <w:r>
              <w:rPr>
                <w:b/>
              </w:rPr>
              <w:t>Žiadne</w:t>
            </w:r>
          </w:p>
        </w:tc>
        <w:sdt>
          <w:sdtPr>
            <w:rPr>
              <w:b/>
            </w:rPr>
            <w:id w:val="-853649096"/>
          </w:sdtPr>
          <w:sdtEndPr/>
          <w:sdtContent>
            <w:sdt>
              <w:sdtPr>
                <w:rPr>
                  <w:b/>
                </w:rPr>
                <w:id w:val="1441404"/>
              </w:sdtPr>
              <w:sdtEndPr/>
              <w:sdtContent>
                <w:tc>
                  <w:tcPr>
                    <w:tcW w:w="547" w:type="dxa"/>
                    <w:gridSpan w:val="2"/>
                    <w:tcBorders>
                      <w:top w:val="single" w:sz="4" w:space="0" w:color="auto"/>
                      <w:left w:val="nil"/>
                      <w:bottom w:val="single" w:sz="4" w:space="0" w:color="auto"/>
                      <w:right w:val="nil"/>
                    </w:tcBorders>
                  </w:tcPr>
                  <w:p w:rsidR="001B2EE3" w:rsidRDefault="00882DF5">
                    <w:pPr>
                      <w:ind w:left="-107" w:right="-108"/>
                      <w:jc w:val="center"/>
                      <w:rPr>
                        <w:b/>
                      </w:rPr>
                    </w:pPr>
                    <w:r>
                      <w:rPr>
                        <w:rFonts w:ascii="Segoe UI Symbol" w:eastAsia="MS Gothic" w:hAnsi="Segoe UI Symbol" w:cs="Segoe UI Symbol"/>
                        <w:b/>
                      </w:rPr>
                      <w:t>☐</w:t>
                    </w:r>
                  </w:p>
                </w:tc>
              </w:sdtContent>
            </w:sdt>
          </w:sdtContent>
        </w:sdt>
        <w:tc>
          <w:tcPr>
            <w:tcW w:w="1297" w:type="dxa"/>
            <w:tcBorders>
              <w:top w:val="single" w:sz="4" w:space="0" w:color="auto"/>
              <w:left w:val="nil"/>
              <w:bottom w:val="single" w:sz="4" w:space="0" w:color="auto"/>
              <w:right w:val="single" w:sz="4" w:space="0" w:color="auto"/>
            </w:tcBorders>
          </w:tcPr>
          <w:p w:rsidR="001B2EE3" w:rsidRDefault="00882DF5">
            <w:pPr>
              <w:ind w:left="34"/>
              <w:rPr>
                <w:b/>
              </w:rPr>
            </w:pPr>
            <w:r>
              <w:rPr>
                <w:b/>
              </w:rPr>
              <w:t>Negatívne</w:t>
            </w:r>
          </w:p>
        </w:tc>
      </w:tr>
      <w:tr w:rsidR="001B2EE3">
        <w:tc>
          <w:tcPr>
            <w:tcW w:w="3812" w:type="dxa"/>
            <w:tcBorders>
              <w:top w:val="nil"/>
              <w:left w:val="single" w:sz="4" w:space="0" w:color="auto"/>
              <w:bottom w:val="single" w:sz="4" w:space="0" w:color="000000" w:themeColor="text1"/>
              <w:right w:val="single" w:sz="4" w:space="0" w:color="auto"/>
            </w:tcBorders>
            <w:shd w:val="clear" w:color="auto" w:fill="E2E2E2"/>
          </w:tcPr>
          <w:p w:rsidR="001B2EE3" w:rsidRDefault="00882DF5">
            <w:r>
              <w:t xml:space="preserve">    z toho rozpočtovo zabezpečené vplyvy</w:t>
            </w:r>
          </w:p>
        </w:tc>
        <w:sdt>
          <w:sdtPr>
            <w:id w:val="-2073729125"/>
          </w:sdtPr>
          <w:sdtEndPr/>
          <w:sdtContent>
            <w:tc>
              <w:tcPr>
                <w:tcW w:w="541" w:type="dxa"/>
                <w:gridSpan w:val="2"/>
                <w:tcBorders>
                  <w:top w:val="single" w:sz="4" w:space="0" w:color="auto"/>
                  <w:left w:val="single" w:sz="4" w:space="0" w:color="auto"/>
                  <w:bottom w:val="single" w:sz="4" w:space="0" w:color="auto"/>
                  <w:right w:val="nil"/>
                </w:tcBorders>
              </w:tcPr>
              <w:p w:rsidR="001B2EE3" w:rsidRDefault="00882DF5">
                <w:pPr>
                  <w:jc w:val="center"/>
                </w:pPr>
                <w:r>
                  <w:rPr>
                    <w:rFonts w:ascii="Segoe UI Symbol" w:eastAsia="MS Gothic" w:hAnsi="Segoe UI Symbol" w:cs="Segoe UI Symbol"/>
                  </w:rPr>
                  <w:t>☐</w:t>
                </w:r>
              </w:p>
            </w:tc>
          </w:sdtContent>
        </w:sdt>
        <w:tc>
          <w:tcPr>
            <w:tcW w:w="1281" w:type="dxa"/>
            <w:gridSpan w:val="2"/>
            <w:tcBorders>
              <w:top w:val="single" w:sz="4" w:space="0" w:color="auto"/>
              <w:left w:val="nil"/>
              <w:bottom w:val="single" w:sz="4" w:space="0" w:color="auto"/>
              <w:right w:val="nil"/>
            </w:tcBorders>
          </w:tcPr>
          <w:p w:rsidR="001B2EE3" w:rsidRDefault="00882DF5">
            <w:r>
              <w:t>Áno</w:t>
            </w:r>
          </w:p>
        </w:tc>
        <w:sdt>
          <w:sdtPr>
            <w:id w:val="-54388876"/>
          </w:sdtPr>
          <w:sdtEndPr/>
          <w:sdtContent>
            <w:tc>
              <w:tcPr>
                <w:tcW w:w="569" w:type="dxa"/>
                <w:tcBorders>
                  <w:top w:val="single" w:sz="4" w:space="0" w:color="auto"/>
                  <w:left w:val="nil"/>
                  <w:bottom w:val="single" w:sz="4" w:space="0" w:color="auto"/>
                  <w:right w:val="nil"/>
                </w:tcBorders>
              </w:tcPr>
              <w:p w:rsidR="001B2EE3" w:rsidRDefault="00882DF5">
                <w:pPr>
                  <w:jc w:val="center"/>
                </w:pPr>
                <w:r>
                  <w:rPr>
                    <w:rFonts w:ascii="Segoe UI Symbol" w:eastAsia="MS Gothic" w:hAnsi="Segoe UI Symbol" w:cs="Segoe UI Symbol"/>
                  </w:rPr>
                  <w:t>☐</w:t>
                </w:r>
              </w:p>
            </w:tc>
          </w:sdtContent>
        </w:sdt>
        <w:tc>
          <w:tcPr>
            <w:tcW w:w="1133" w:type="dxa"/>
            <w:tcBorders>
              <w:top w:val="single" w:sz="4" w:space="0" w:color="auto"/>
              <w:left w:val="nil"/>
              <w:bottom w:val="single" w:sz="4" w:space="0" w:color="auto"/>
              <w:right w:val="nil"/>
            </w:tcBorders>
          </w:tcPr>
          <w:p w:rsidR="001B2EE3" w:rsidRDefault="00882DF5">
            <w:r>
              <w:t>Nie</w:t>
            </w:r>
          </w:p>
        </w:tc>
        <w:sdt>
          <w:sdtPr>
            <w:id w:val="361940775"/>
          </w:sdtPr>
          <w:sdtEndPr/>
          <w:sdtContent>
            <w:tc>
              <w:tcPr>
                <w:tcW w:w="547" w:type="dxa"/>
                <w:gridSpan w:val="2"/>
                <w:tcBorders>
                  <w:top w:val="single" w:sz="4" w:space="0" w:color="auto"/>
                  <w:left w:val="nil"/>
                  <w:bottom w:val="single" w:sz="4" w:space="0" w:color="auto"/>
                  <w:right w:val="nil"/>
                </w:tcBorders>
              </w:tcPr>
              <w:p w:rsidR="001B2EE3" w:rsidRDefault="00882DF5">
                <w:pPr>
                  <w:ind w:left="-107" w:right="-108"/>
                  <w:jc w:val="center"/>
                </w:pPr>
                <w:r>
                  <w:rPr>
                    <w:rFonts w:ascii="Segoe UI Symbol" w:eastAsia="MS Gothic"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rsidR="001B2EE3" w:rsidRDefault="00882DF5">
            <w:pPr>
              <w:ind w:left="34"/>
            </w:pPr>
            <w:r>
              <w:t>Čiastočne</w:t>
            </w:r>
          </w:p>
        </w:tc>
      </w:tr>
      <w:tr w:rsidR="001B2EE3">
        <w:tc>
          <w:tcPr>
            <w:tcW w:w="3812" w:type="dxa"/>
            <w:tcBorders>
              <w:top w:val="nil"/>
              <w:left w:val="single" w:sz="4" w:space="0" w:color="auto"/>
              <w:bottom w:val="single" w:sz="4" w:space="0" w:color="000000" w:themeColor="text1"/>
              <w:right w:val="single" w:sz="4" w:space="0" w:color="auto"/>
            </w:tcBorders>
            <w:shd w:val="clear" w:color="auto" w:fill="E2E2E2"/>
            <w:vAlign w:val="center"/>
          </w:tcPr>
          <w:p w:rsidR="001B2EE3" w:rsidRDefault="00882DF5">
            <w:pPr>
              <w:widowControl w:val="0"/>
              <w:rPr>
                <w:b/>
              </w:rPr>
            </w:pPr>
            <w:r>
              <w:rPr>
                <w:b/>
              </w:rPr>
              <w:t xml:space="preserve">   Vplyvy na manželstvo, rodičovstvo a rodinu</w:t>
            </w:r>
          </w:p>
        </w:tc>
        <w:sdt>
          <w:sdtPr>
            <w:rPr>
              <w:b/>
            </w:rPr>
            <w:id w:val="-1693221353"/>
          </w:sdtPr>
          <w:sdtEndPr/>
          <w:sdtContent>
            <w:tc>
              <w:tcPr>
                <w:tcW w:w="541" w:type="dxa"/>
                <w:gridSpan w:val="2"/>
                <w:tcBorders>
                  <w:top w:val="single" w:sz="4" w:space="0" w:color="auto"/>
                  <w:left w:val="single" w:sz="4" w:space="0" w:color="auto"/>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rsidR="001B2EE3" w:rsidRDefault="00882DF5">
            <w:pPr>
              <w:ind w:right="-108"/>
              <w:rPr>
                <w:b/>
              </w:rPr>
            </w:pPr>
            <w:r>
              <w:rPr>
                <w:b/>
              </w:rPr>
              <w:t>Pozitívne</w:t>
            </w:r>
          </w:p>
        </w:tc>
        <w:sdt>
          <w:sdtPr>
            <w:rPr>
              <w:b/>
            </w:rPr>
            <w:id w:val="-1733148386"/>
          </w:sdtPr>
          <w:sdtEndPr/>
          <w:sdtContent>
            <w:tc>
              <w:tcPr>
                <w:tcW w:w="569" w:type="dxa"/>
                <w:tcBorders>
                  <w:top w:val="single" w:sz="4" w:space="0" w:color="auto"/>
                  <w:left w:val="nil"/>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1B2EE3" w:rsidRDefault="00882DF5">
            <w:pPr>
              <w:rPr>
                <w:b/>
              </w:rPr>
            </w:pPr>
            <w:r>
              <w:rPr>
                <w:b/>
              </w:rPr>
              <w:t>Žiadne</w:t>
            </w:r>
          </w:p>
        </w:tc>
        <w:sdt>
          <w:sdtPr>
            <w:rPr>
              <w:b/>
            </w:rPr>
            <w:id w:val="1737975224"/>
          </w:sdtPr>
          <w:sdtEndPr/>
          <w:sdtContent>
            <w:tc>
              <w:tcPr>
                <w:tcW w:w="547" w:type="dxa"/>
                <w:gridSpan w:val="2"/>
                <w:tcBorders>
                  <w:top w:val="single" w:sz="4" w:space="0" w:color="auto"/>
                  <w:left w:val="nil"/>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1B2EE3" w:rsidRDefault="00882DF5">
            <w:pPr>
              <w:ind w:left="54"/>
              <w:rPr>
                <w:b/>
              </w:rPr>
            </w:pPr>
            <w:r>
              <w:rPr>
                <w:b/>
              </w:rPr>
              <w:t>Negatívne</w:t>
            </w:r>
          </w:p>
        </w:tc>
      </w:tr>
      <w:tr w:rsidR="001B2EE3">
        <w:tc>
          <w:tcPr>
            <w:tcW w:w="3812" w:type="dxa"/>
            <w:tcBorders>
              <w:top w:val="single" w:sz="4" w:space="0" w:color="000000" w:themeColor="text1"/>
              <w:left w:val="single" w:sz="4" w:space="0" w:color="auto"/>
              <w:bottom w:val="nil"/>
              <w:right w:val="single" w:sz="4" w:space="0" w:color="auto"/>
            </w:tcBorders>
            <w:shd w:val="clear" w:color="auto" w:fill="E2E2E2"/>
          </w:tcPr>
          <w:p w:rsidR="001B2EE3" w:rsidRDefault="00882DF5">
            <w:pPr>
              <w:rPr>
                <w:b/>
              </w:rPr>
            </w:pPr>
            <w:r>
              <w:rPr>
                <w:b/>
              </w:rPr>
              <w:t>Vplyvy na podnikateľské prostredie</w:t>
            </w:r>
          </w:p>
        </w:tc>
        <w:sdt>
          <w:sdtPr>
            <w:rPr>
              <w:b/>
            </w:rPr>
            <w:id w:val="1328319843"/>
          </w:sdtPr>
          <w:sdtEndPr/>
          <w:sdtContent>
            <w:tc>
              <w:tcPr>
                <w:tcW w:w="541" w:type="dxa"/>
                <w:gridSpan w:val="2"/>
                <w:tcBorders>
                  <w:top w:val="single" w:sz="4" w:space="0" w:color="auto"/>
                  <w:left w:val="single" w:sz="4" w:space="0" w:color="auto"/>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rsidR="001B2EE3" w:rsidRDefault="00882DF5">
            <w:pPr>
              <w:ind w:right="-108"/>
              <w:rPr>
                <w:b/>
              </w:rPr>
            </w:pPr>
            <w:r>
              <w:rPr>
                <w:b/>
              </w:rPr>
              <w:t>Pozitívne</w:t>
            </w:r>
          </w:p>
        </w:tc>
        <w:sdt>
          <w:sdtPr>
            <w:rPr>
              <w:b/>
            </w:rPr>
            <w:id w:val="1564608664"/>
          </w:sdtPr>
          <w:sdtEndPr/>
          <w:sdtContent>
            <w:tc>
              <w:tcPr>
                <w:tcW w:w="569" w:type="dxa"/>
                <w:tcBorders>
                  <w:top w:val="single" w:sz="4" w:space="0" w:color="auto"/>
                  <w:left w:val="nil"/>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1B2EE3" w:rsidRDefault="00882DF5">
            <w:pPr>
              <w:rPr>
                <w:b/>
              </w:rPr>
            </w:pPr>
            <w:r>
              <w:rPr>
                <w:b/>
              </w:rPr>
              <w:t>Žiadne</w:t>
            </w:r>
          </w:p>
        </w:tc>
        <w:sdt>
          <w:sdtPr>
            <w:rPr>
              <w:b/>
            </w:rPr>
            <w:id w:val="2173546"/>
          </w:sdtPr>
          <w:sdtEndPr/>
          <w:sdtContent>
            <w:tc>
              <w:tcPr>
                <w:tcW w:w="547" w:type="dxa"/>
                <w:gridSpan w:val="2"/>
                <w:tcBorders>
                  <w:top w:val="single" w:sz="4" w:space="0" w:color="auto"/>
                  <w:left w:val="nil"/>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1B2EE3" w:rsidRDefault="00882DF5">
            <w:pPr>
              <w:ind w:left="54"/>
              <w:rPr>
                <w:b/>
              </w:rPr>
            </w:pPr>
            <w:r>
              <w:rPr>
                <w:b/>
              </w:rPr>
              <w:t>Negatívne</w:t>
            </w:r>
          </w:p>
        </w:tc>
      </w:tr>
      <w:tr w:rsidR="001B2EE3">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1B2EE3" w:rsidRDefault="00882DF5">
            <w:r>
              <w:t xml:space="preserve">    z toho vplyvy na MSP</w:t>
            </w:r>
          </w:p>
        </w:tc>
        <w:sdt>
          <w:sdtPr>
            <w:id w:val="1931938095"/>
          </w:sdtPr>
          <w:sdtEndPr/>
          <w:sdtContent>
            <w:tc>
              <w:tcPr>
                <w:tcW w:w="541" w:type="dxa"/>
                <w:gridSpan w:val="2"/>
                <w:tcBorders>
                  <w:top w:val="single" w:sz="4" w:space="0" w:color="auto"/>
                  <w:left w:val="single" w:sz="4" w:space="0" w:color="000000" w:themeColor="text1"/>
                  <w:bottom w:val="single" w:sz="4" w:space="0" w:color="auto"/>
                  <w:right w:val="nil"/>
                </w:tcBorders>
              </w:tcPr>
              <w:p w:rsidR="001B2EE3" w:rsidRDefault="00882DF5">
                <w:pPr>
                  <w:jc w:val="center"/>
                </w:pPr>
                <w:r>
                  <w:rPr>
                    <w:rFonts w:ascii="Segoe UI Symbol" w:eastAsia="MS Gothic" w:hAnsi="Segoe UI Symbol" w:cs="Segoe UI Symbol"/>
                  </w:rPr>
                  <w:t>☒</w:t>
                </w:r>
              </w:p>
            </w:tc>
          </w:sdtContent>
        </w:sdt>
        <w:tc>
          <w:tcPr>
            <w:tcW w:w="1281" w:type="dxa"/>
            <w:gridSpan w:val="2"/>
            <w:tcBorders>
              <w:top w:val="single" w:sz="4" w:space="0" w:color="auto"/>
              <w:left w:val="nil"/>
              <w:bottom w:val="single" w:sz="4" w:space="0" w:color="auto"/>
              <w:right w:val="nil"/>
            </w:tcBorders>
          </w:tcPr>
          <w:p w:rsidR="001B2EE3" w:rsidRDefault="00882DF5">
            <w:pPr>
              <w:ind w:right="-108"/>
            </w:pPr>
            <w:r>
              <w:t>Pozitívne</w:t>
            </w:r>
          </w:p>
        </w:tc>
        <w:sdt>
          <w:sdtPr>
            <w:id w:val="-1696063787"/>
          </w:sdtPr>
          <w:sdtEndPr/>
          <w:sdtContent>
            <w:tc>
              <w:tcPr>
                <w:tcW w:w="569" w:type="dxa"/>
                <w:tcBorders>
                  <w:top w:val="single" w:sz="4" w:space="0" w:color="auto"/>
                  <w:left w:val="nil"/>
                  <w:bottom w:val="single" w:sz="4" w:space="0" w:color="auto"/>
                  <w:right w:val="nil"/>
                </w:tcBorders>
              </w:tcPr>
              <w:p w:rsidR="001B2EE3" w:rsidRDefault="00882DF5">
                <w:pPr>
                  <w:jc w:val="center"/>
                </w:pPr>
                <w:r>
                  <w:rPr>
                    <w:rFonts w:ascii="Segoe UI Symbol" w:eastAsia="MS Gothic" w:hAnsi="Segoe UI Symbol" w:cs="Segoe UI Symbol"/>
                  </w:rPr>
                  <w:t>☐</w:t>
                </w:r>
              </w:p>
            </w:tc>
          </w:sdtContent>
        </w:sdt>
        <w:tc>
          <w:tcPr>
            <w:tcW w:w="1133" w:type="dxa"/>
            <w:tcBorders>
              <w:top w:val="single" w:sz="4" w:space="0" w:color="auto"/>
              <w:left w:val="nil"/>
              <w:bottom w:val="single" w:sz="4" w:space="0" w:color="auto"/>
              <w:right w:val="nil"/>
            </w:tcBorders>
          </w:tcPr>
          <w:p w:rsidR="001B2EE3" w:rsidRDefault="00882DF5">
            <w:r>
              <w:t>Žiadne</w:t>
            </w:r>
          </w:p>
        </w:tc>
        <w:sdt>
          <w:sdtPr>
            <w:id w:val="671765022"/>
          </w:sdtPr>
          <w:sdtEndPr/>
          <w:sdtContent>
            <w:tc>
              <w:tcPr>
                <w:tcW w:w="547" w:type="dxa"/>
                <w:gridSpan w:val="2"/>
                <w:tcBorders>
                  <w:top w:val="single" w:sz="4" w:space="0" w:color="auto"/>
                  <w:left w:val="nil"/>
                  <w:bottom w:val="single" w:sz="4" w:space="0" w:color="auto"/>
                  <w:right w:val="nil"/>
                </w:tcBorders>
              </w:tcPr>
              <w:p w:rsidR="001B2EE3" w:rsidRDefault="00882DF5">
                <w:pPr>
                  <w:jc w:val="center"/>
                </w:pPr>
                <w:r>
                  <w:rPr>
                    <w:rFonts w:ascii="Segoe UI Symbol" w:eastAsia="MS Gothic"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rsidR="001B2EE3" w:rsidRDefault="00882DF5">
            <w:pPr>
              <w:ind w:left="54"/>
            </w:pPr>
            <w:r>
              <w:t>Negatívne</w:t>
            </w:r>
          </w:p>
        </w:tc>
      </w:tr>
      <w:tr w:rsidR="001B2EE3">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1B2EE3" w:rsidRDefault="00882DF5">
            <w:pPr>
              <w:rPr>
                <w:b/>
              </w:rPr>
            </w:pPr>
            <w:r>
              <w:rPr>
                <w:b/>
              </w:rPr>
              <w:t>Sociálne vplyvy</w:t>
            </w:r>
          </w:p>
        </w:tc>
        <w:sdt>
          <w:sdtPr>
            <w:rPr>
              <w:b/>
            </w:rPr>
            <w:id w:val="449357865"/>
          </w:sdtPr>
          <w:sdtEndPr/>
          <w:sdtContent>
            <w:tc>
              <w:tcPr>
                <w:tcW w:w="541" w:type="dxa"/>
                <w:gridSpan w:val="2"/>
                <w:tcBorders>
                  <w:top w:val="single" w:sz="4" w:space="0" w:color="auto"/>
                  <w:left w:val="single" w:sz="4" w:space="0" w:color="auto"/>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rsidR="001B2EE3" w:rsidRDefault="00882DF5">
            <w:pPr>
              <w:ind w:right="-108"/>
              <w:rPr>
                <w:b/>
              </w:rPr>
            </w:pPr>
            <w:r>
              <w:rPr>
                <w:b/>
              </w:rPr>
              <w:t>Pozitívne</w:t>
            </w:r>
          </w:p>
        </w:tc>
        <w:sdt>
          <w:sdtPr>
            <w:rPr>
              <w:b/>
            </w:rPr>
            <w:id w:val="-1719425362"/>
          </w:sdtPr>
          <w:sdtEndPr/>
          <w:sdtContent>
            <w:tc>
              <w:tcPr>
                <w:tcW w:w="569" w:type="dxa"/>
                <w:tcBorders>
                  <w:top w:val="single" w:sz="4" w:space="0" w:color="auto"/>
                  <w:left w:val="nil"/>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1B2EE3" w:rsidRDefault="00882DF5">
            <w:pPr>
              <w:rPr>
                <w:b/>
              </w:rPr>
            </w:pPr>
            <w:r>
              <w:rPr>
                <w:b/>
              </w:rPr>
              <w:t>Žiadne</w:t>
            </w:r>
          </w:p>
        </w:tc>
        <w:sdt>
          <w:sdtPr>
            <w:rPr>
              <w:b/>
            </w:rPr>
            <w:id w:val="-870833546"/>
          </w:sdtPr>
          <w:sdtEndPr/>
          <w:sdtContent>
            <w:tc>
              <w:tcPr>
                <w:tcW w:w="547" w:type="dxa"/>
                <w:gridSpan w:val="2"/>
                <w:tcBorders>
                  <w:top w:val="single" w:sz="4" w:space="0" w:color="auto"/>
                  <w:left w:val="nil"/>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1B2EE3" w:rsidRDefault="00882DF5">
            <w:pPr>
              <w:ind w:left="54"/>
              <w:rPr>
                <w:b/>
              </w:rPr>
            </w:pPr>
            <w:r>
              <w:rPr>
                <w:b/>
              </w:rPr>
              <w:t>Negatívne</w:t>
            </w:r>
          </w:p>
        </w:tc>
      </w:tr>
      <w:tr w:rsidR="001B2EE3">
        <w:tc>
          <w:tcPr>
            <w:tcW w:w="3812" w:type="dxa"/>
            <w:tcBorders>
              <w:top w:val="single" w:sz="4" w:space="0" w:color="auto"/>
              <w:left w:val="single" w:sz="4" w:space="0" w:color="auto"/>
              <w:bottom w:val="single" w:sz="4" w:space="0" w:color="auto"/>
              <w:right w:val="single" w:sz="4" w:space="0" w:color="auto"/>
            </w:tcBorders>
            <w:shd w:val="clear" w:color="auto" w:fill="E2E2E2"/>
          </w:tcPr>
          <w:p w:rsidR="001B2EE3" w:rsidRDefault="00882DF5">
            <w:pPr>
              <w:rPr>
                <w:b/>
              </w:rPr>
            </w:pPr>
            <w:r>
              <w:rPr>
                <w:b/>
              </w:rPr>
              <w:t>Vplyvy na životné prostredie</w:t>
            </w:r>
          </w:p>
        </w:tc>
        <w:sdt>
          <w:sdtPr>
            <w:rPr>
              <w:b/>
            </w:rPr>
            <w:id w:val="304755157"/>
          </w:sdtPr>
          <w:sdtEndPr/>
          <w:sdtContent>
            <w:tc>
              <w:tcPr>
                <w:tcW w:w="541" w:type="dxa"/>
                <w:gridSpan w:val="2"/>
                <w:tcBorders>
                  <w:top w:val="single" w:sz="4" w:space="0" w:color="auto"/>
                  <w:left w:val="single" w:sz="4" w:space="0" w:color="auto"/>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rsidR="001B2EE3" w:rsidRDefault="00882DF5">
            <w:pPr>
              <w:ind w:right="-108"/>
              <w:rPr>
                <w:b/>
              </w:rPr>
            </w:pPr>
            <w:r>
              <w:rPr>
                <w:b/>
              </w:rPr>
              <w:t>Pozitívne</w:t>
            </w:r>
          </w:p>
        </w:tc>
        <w:sdt>
          <w:sdtPr>
            <w:rPr>
              <w:b/>
            </w:rPr>
            <w:id w:val="235136192"/>
          </w:sdtPr>
          <w:sdtEndPr/>
          <w:sdtContent>
            <w:tc>
              <w:tcPr>
                <w:tcW w:w="569" w:type="dxa"/>
                <w:tcBorders>
                  <w:top w:val="single" w:sz="4" w:space="0" w:color="auto"/>
                  <w:left w:val="nil"/>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1B2EE3" w:rsidRDefault="00882DF5">
            <w:pPr>
              <w:rPr>
                <w:b/>
              </w:rPr>
            </w:pPr>
            <w:r>
              <w:rPr>
                <w:b/>
              </w:rPr>
              <w:t>Žiadne</w:t>
            </w:r>
          </w:p>
        </w:tc>
        <w:sdt>
          <w:sdtPr>
            <w:rPr>
              <w:b/>
            </w:rPr>
            <w:id w:val="-131020046"/>
          </w:sdtPr>
          <w:sdtEndPr/>
          <w:sdtContent>
            <w:tc>
              <w:tcPr>
                <w:tcW w:w="547" w:type="dxa"/>
                <w:gridSpan w:val="2"/>
                <w:tcBorders>
                  <w:top w:val="single" w:sz="4" w:space="0" w:color="auto"/>
                  <w:left w:val="nil"/>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1B2EE3" w:rsidRDefault="00882DF5">
            <w:pPr>
              <w:ind w:left="54"/>
              <w:rPr>
                <w:b/>
              </w:rPr>
            </w:pPr>
            <w:r>
              <w:rPr>
                <w:b/>
              </w:rPr>
              <w:t>Negatívne</w:t>
            </w:r>
          </w:p>
        </w:tc>
      </w:tr>
      <w:tr w:rsidR="001B2EE3">
        <w:tc>
          <w:tcPr>
            <w:tcW w:w="3812" w:type="dxa"/>
            <w:tcBorders>
              <w:top w:val="single" w:sz="4" w:space="0" w:color="auto"/>
              <w:left w:val="single" w:sz="4" w:space="0" w:color="auto"/>
              <w:bottom w:val="single" w:sz="4" w:space="0" w:color="auto"/>
              <w:right w:val="single" w:sz="4" w:space="0" w:color="auto"/>
            </w:tcBorders>
            <w:shd w:val="clear" w:color="auto" w:fill="E2E2E2"/>
          </w:tcPr>
          <w:p w:rsidR="001B2EE3" w:rsidRDefault="00882DF5">
            <w:pPr>
              <w:rPr>
                <w:b/>
              </w:rPr>
            </w:pPr>
            <w:r>
              <w:rPr>
                <w:b/>
              </w:rPr>
              <w:t>Vplyvy na informatizáciu</w:t>
            </w:r>
          </w:p>
        </w:tc>
        <w:sdt>
          <w:sdtPr>
            <w:rPr>
              <w:b/>
            </w:rPr>
            <w:id w:val="-940751000"/>
          </w:sdtPr>
          <w:sdtEndPr/>
          <w:sdtContent>
            <w:tc>
              <w:tcPr>
                <w:tcW w:w="541" w:type="dxa"/>
                <w:gridSpan w:val="2"/>
                <w:tcBorders>
                  <w:top w:val="single" w:sz="4" w:space="0" w:color="auto"/>
                  <w:left w:val="single" w:sz="4" w:space="0" w:color="auto"/>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rsidR="001B2EE3" w:rsidRDefault="00882DF5">
            <w:pPr>
              <w:ind w:right="-108"/>
              <w:rPr>
                <w:b/>
              </w:rPr>
            </w:pPr>
            <w:r>
              <w:rPr>
                <w:b/>
              </w:rPr>
              <w:t>Pozitívne</w:t>
            </w:r>
          </w:p>
        </w:tc>
        <w:sdt>
          <w:sdtPr>
            <w:rPr>
              <w:b/>
            </w:rPr>
            <w:id w:val="-1126152168"/>
          </w:sdtPr>
          <w:sdtEndPr/>
          <w:sdtContent>
            <w:tc>
              <w:tcPr>
                <w:tcW w:w="569" w:type="dxa"/>
                <w:tcBorders>
                  <w:top w:val="single" w:sz="4" w:space="0" w:color="auto"/>
                  <w:left w:val="nil"/>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1B2EE3" w:rsidRDefault="00882DF5">
            <w:pPr>
              <w:rPr>
                <w:b/>
              </w:rPr>
            </w:pPr>
            <w:r>
              <w:rPr>
                <w:b/>
              </w:rPr>
              <w:t>Žiadne</w:t>
            </w:r>
          </w:p>
        </w:tc>
        <w:sdt>
          <w:sdtPr>
            <w:rPr>
              <w:b/>
            </w:rPr>
            <w:id w:val="378831873"/>
          </w:sdtPr>
          <w:sdtEndPr/>
          <w:sdtContent>
            <w:tc>
              <w:tcPr>
                <w:tcW w:w="547" w:type="dxa"/>
                <w:gridSpan w:val="2"/>
                <w:tcBorders>
                  <w:top w:val="single" w:sz="4" w:space="0" w:color="auto"/>
                  <w:left w:val="nil"/>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1B2EE3" w:rsidRDefault="00882DF5">
            <w:pPr>
              <w:ind w:left="54"/>
              <w:rPr>
                <w:b/>
              </w:rPr>
            </w:pPr>
            <w:r>
              <w:rPr>
                <w:b/>
              </w:rPr>
              <w:t>Negatívne</w:t>
            </w:r>
          </w:p>
        </w:tc>
      </w:tr>
      <w:tr w:rsidR="001B2EE3">
        <w:tc>
          <w:tcPr>
            <w:tcW w:w="3812" w:type="dxa"/>
            <w:tcBorders>
              <w:top w:val="single" w:sz="4" w:space="0" w:color="auto"/>
              <w:left w:val="single" w:sz="4" w:space="0" w:color="auto"/>
              <w:bottom w:val="single" w:sz="4" w:space="0" w:color="auto"/>
              <w:right w:val="single" w:sz="4" w:space="0" w:color="auto"/>
            </w:tcBorders>
            <w:shd w:val="clear" w:color="auto" w:fill="E2E2E2"/>
          </w:tcPr>
          <w:p w:rsidR="001B2EE3" w:rsidRDefault="00882DF5">
            <w:pPr>
              <w:rPr>
                <w:b/>
              </w:rPr>
            </w:pPr>
            <w:r>
              <w:rPr>
                <w:rFonts w:eastAsia="Calibri"/>
                <w:b/>
                <w:lang w:eastAsia="en-US"/>
              </w:rPr>
              <w:t>Vplyvy na služby verejnej správy pre občana, z toho</w:t>
            </w:r>
          </w:p>
        </w:tc>
        <w:tc>
          <w:tcPr>
            <w:tcW w:w="541" w:type="dxa"/>
            <w:gridSpan w:val="2"/>
            <w:tcBorders>
              <w:top w:val="single" w:sz="4" w:space="0" w:color="auto"/>
              <w:left w:val="single" w:sz="4" w:space="0" w:color="auto"/>
              <w:bottom w:val="single" w:sz="4" w:space="0" w:color="auto"/>
              <w:right w:val="nil"/>
            </w:tcBorders>
          </w:tcPr>
          <w:p w:rsidR="001B2EE3" w:rsidRDefault="001B2EE3">
            <w:pPr>
              <w:jc w:val="center"/>
              <w:rPr>
                <w:rFonts w:eastAsia="MS Mincho"/>
                <w:b/>
              </w:rPr>
            </w:pPr>
          </w:p>
        </w:tc>
        <w:tc>
          <w:tcPr>
            <w:tcW w:w="1281" w:type="dxa"/>
            <w:gridSpan w:val="2"/>
            <w:tcBorders>
              <w:top w:val="single" w:sz="4" w:space="0" w:color="auto"/>
              <w:left w:val="nil"/>
              <w:bottom w:val="single" w:sz="4" w:space="0" w:color="auto"/>
              <w:right w:val="nil"/>
            </w:tcBorders>
          </w:tcPr>
          <w:p w:rsidR="001B2EE3" w:rsidRDefault="001B2EE3">
            <w:pPr>
              <w:ind w:right="-108"/>
              <w:rPr>
                <w:b/>
              </w:rPr>
            </w:pPr>
          </w:p>
        </w:tc>
        <w:tc>
          <w:tcPr>
            <w:tcW w:w="569" w:type="dxa"/>
            <w:tcBorders>
              <w:top w:val="single" w:sz="4" w:space="0" w:color="auto"/>
              <w:left w:val="nil"/>
              <w:bottom w:val="single" w:sz="4" w:space="0" w:color="auto"/>
              <w:right w:val="nil"/>
            </w:tcBorders>
          </w:tcPr>
          <w:p w:rsidR="001B2EE3" w:rsidRDefault="001B2EE3">
            <w:pPr>
              <w:jc w:val="center"/>
              <w:rPr>
                <w:rFonts w:eastAsia="MS Mincho"/>
                <w:b/>
              </w:rPr>
            </w:pPr>
          </w:p>
        </w:tc>
        <w:tc>
          <w:tcPr>
            <w:tcW w:w="1133" w:type="dxa"/>
            <w:tcBorders>
              <w:top w:val="single" w:sz="4" w:space="0" w:color="auto"/>
              <w:left w:val="nil"/>
              <w:bottom w:val="single" w:sz="4" w:space="0" w:color="auto"/>
              <w:right w:val="nil"/>
            </w:tcBorders>
          </w:tcPr>
          <w:p w:rsidR="001B2EE3" w:rsidRDefault="001B2EE3">
            <w:pPr>
              <w:rPr>
                <w:b/>
              </w:rPr>
            </w:pPr>
          </w:p>
        </w:tc>
        <w:tc>
          <w:tcPr>
            <w:tcW w:w="547" w:type="dxa"/>
            <w:gridSpan w:val="2"/>
            <w:tcBorders>
              <w:top w:val="single" w:sz="4" w:space="0" w:color="auto"/>
              <w:left w:val="nil"/>
              <w:bottom w:val="single" w:sz="4" w:space="0" w:color="auto"/>
              <w:right w:val="nil"/>
            </w:tcBorders>
          </w:tcPr>
          <w:p w:rsidR="001B2EE3" w:rsidRDefault="001B2EE3">
            <w:pPr>
              <w:jc w:val="center"/>
              <w:rPr>
                <w:rFonts w:eastAsia="MS Mincho"/>
                <w:b/>
              </w:rPr>
            </w:pPr>
          </w:p>
        </w:tc>
        <w:tc>
          <w:tcPr>
            <w:tcW w:w="1297" w:type="dxa"/>
            <w:tcBorders>
              <w:top w:val="single" w:sz="4" w:space="0" w:color="auto"/>
              <w:left w:val="nil"/>
              <w:bottom w:val="single" w:sz="4" w:space="0" w:color="auto"/>
              <w:right w:val="single" w:sz="4" w:space="0" w:color="auto"/>
            </w:tcBorders>
          </w:tcPr>
          <w:p w:rsidR="001B2EE3" w:rsidRDefault="001B2EE3">
            <w:pPr>
              <w:ind w:left="54"/>
              <w:rPr>
                <w:b/>
              </w:rPr>
            </w:pPr>
          </w:p>
        </w:tc>
      </w:tr>
      <w:tr w:rsidR="001B2EE3">
        <w:tc>
          <w:tcPr>
            <w:tcW w:w="3812" w:type="dxa"/>
            <w:tcBorders>
              <w:top w:val="single" w:sz="4" w:space="0" w:color="auto"/>
              <w:left w:val="single" w:sz="4" w:space="0" w:color="auto"/>
              <w:bottom w:val="single" w:sz="4" w:space="0" w:color="auto"/>
              <w:right w:val="single" w:sz="4" w:space="0" w:color="auto"/>
            </w:tcBorders>
            <w:shd w:val="clear" w:color="auto" w:fill="E2E2E2"/>
          </w:tcPr>
          <w:p w:rsidR="001B2EE3" w:rsidRDefault="00882DF5">
            <w:pPr>
              <w:ind w:left="196" w:hanging="196"/>
              <w:rPr>
                <w:rFonts w:eastAsia="Calibri"/>
                <w:lang w:eastAsia="en-US"/>
              </w:rPr>
            </w:pPr>
            <w:r>
              <w:rPr>
                <w:rFonts w:eastAsia="Calibri"/>
                <w:lang w:eastAsia="en-US"/>
              </w:rPr>
              <w:t xml:space="preserve">    vplyvy služieb verejnej správy na občana</w:t>
            </w:r>
          </w:p>
        </w:tc>
        <w:sdt>
          <w:sdtPr>
            <w:rPr>
              <w:b/>
            </w:rPr>
            <w:id w:val="-1688362683"/>
          </w:sdtPr>
          <w:sdtEndPr/>
          <w:sdtContent>
            <w:tc>
              <w:tcPr>
                <w:tcW w:w="541" w:type="dxa"/>
                <w:gridSpan w:val="2"/>
                <w:tcBorders>
                  <w:top w:val="single" w:sz="4" w:space="0" w:color="auto"/>
                  <w:left w:val="single" w:sz="4" w:space="0" w:color="auto"/>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rsidR="001B2EE3" w:rsidRDefault="00882DF5">
            <w:pPr>
              <w:ind w:right="-108"/>
              <w:rPr>
                <w:b/>
              </w:rPr>
            </w:pPr>
            <w:r>
              <w:rPr>
                <w:b/>
              </w:rPr>
              <w:t>Pozitívne</w:t>
            </w:r>
          </w:p>
        </w:tc>
        <w:sdt>
          <w:sdtPr>
            <w:rPr>
              <w:b/>
            </w:rPr>
            <w:id w:val="884985506"/>
          </w:sdtPr>
          <w:sdtEndPr/>
          <w:sdtContent>
            <w:tc>
              <w:tcPr>
                <w:tcW w:w="569" w:type="dxa"/>
                <w:tcBorders>
                  <w:top w:val="single" w:sz="4" w:space="0" w:color="auto"/>
                  <w:left w:val="nil"/>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1B2EE3" w:rsidRDefault="00882DF5">
            <w:pPr>
              <w:rPr>
                <w:b/>
              </w:rPr>
            </w:pPr>
            <w:r>
              <w:rPr>
                <w:b/>
              </w:rPr>
              <w:t>Žiadne</w:t>
            </w:r>
          </w:p>
        </w:tc>
        <w:sdt>
          <w:sdtPr>
            <w:rPr>
              <w:b/>
            </w:rPr>
            <w:id w:val="-2146805846"/>
          </w:sdtPr>
          <w:sdtEndPr/>
          <w:sdtContent>
            <w:tc>
              <w:tcPr>
                <w:tcW w:w="547" w:type="dxa"/>
                <w:gridSpan w:val="2"/>
                <w:tcBorders>
                  <w:top w:val="single" w:sz="4" w:space="0" w:color="auto"/>
                  <w:left w:val="nil"/>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1B2EE3" w:rsidRDefault="00882DF5">
            <w:pPr>
              <w:ind w:left="54"/>
              <w:rPr>
                <w:b/>
              </w:rPr>
            </w:pPr>
            <w:r>
              <w:rPr>
                <w:b/>
              </w:rPr>
              <w:t>Negatívne</w:t>
            </w:r>
          </w:p>
        </w:tc>
      </w:tr>
      <w:tr w:rsidR="001B2EE3">
        <w:tc>
          <w:tcPr>
            <w:tcW w:w="3812" w:type="dxa"/>
            <w:tcBorders>
              <w:top w:val="single" w:sz="4" w:space="0" w:color="auto"/>
              <w:left w:val="single" w:sz="4" w:space="0" w:color="auto"/>
              <w:bottom w:val="single" w:sz="4" w:space="0" w:color="auto"/>
              <w:right w:val="single" w:sz="4" w:space="0" w:color="auto"/>
            </w:tcBorders>
            <w:shd w:val="clear" w:color="auto" w:fill="E2E2E2"/>
          </w:tcPr>
          <w:p w:rsidR="001B2EE3" w:rsidRDefault="00882DF5">
            <w:pPr>
              <w:ind w:left="168" w:hanging="168"/>
              <w:rPr>
                <w:rFonts w:eastAsia="Calibri"/>
                <w:lang w:eastAsia="en-US"/>
              </w:rPr>
            </w:pPr>
            <w:r>
              <w:rPr>
                <w:rFonts w:eastAsia="Calibri"/>
                <w:lang w:eastAsia="en-US"/>
              </w:rPr>
              <w:t xml:space="preserve">    vplyvy na procesy služieb vo verejnej správe</w:t>
            </w:r>
          </w:p>
        </w:tc>
        <w:sdt>
          <w:sdtPr>
            <w:rPr>
              <w:b/>
            </w:rPr>
            <w:id w:val="-113984565"/>
          </w:sdtPr>
          <w:sdtEndPr/>
          <w:sdtContent>
            <w:tc>
              <w:tcPr>
                <w:tcW w:w="541" w:type="dxa"/>
                <w:gridSpan w:val="2"/>
                <w:tcBorders>
                  <w:top w:val="single" w:sz="4" w:space="0" w:color="auto"/>
                  <w:left w:val="single" w:sz="4" w:space="0" w:color="auto"/>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rsidR="001B2EE3" w:rsidRDefault="00882DF5">
            <w:pPr>
              <w:ind w:right="-108"/>
              <w:rPr>
                <w:b/>
              </w:rPr>
            </w:pPr>
            <w:r>
              <w:rPr>
                <w:b/>
              </w:rPr>
              <w:t>Pozitívne</w:t>
            </w:r>
          </w:p>
        </w:tc>
        <w:sdt>
          <w:sdtPr>
            <w:rPr>
              <w:b/>
            </w:rPr>
            <w:id w:val="-1325040833"/>
          </w:sdtPr>
          <w:sdtEndPr/>
          <w:sdtContent>
            <w:tc>
              <w:tcPr>
                <w:tcW w:w="569" w:type="dxa"/>
                <w:tcBorders>
                  <w:top w:val="single" w:sz="4" w:space="0" w:color="auto"/>
                  <w:left w:val="nil"/>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1B2EE3" w:rsidRDefault="00882DF5">
            <w:pPr>
              <w:rPr>
                <w:b/>
              </w:rPr>
            </w:pPr>
            <w:r>
              <w:rPr>
                <w:b/>
              </w:rPr>
              <w:t>Žiadne</w:t>
            </w:r>
          </w:p>
        </w:tc>
        <w:sdt>
          <w:sdtPr>
            <w:rPr>
              <w:b/>
            </w:rPr>
            <w:id w:val="2018029189"/>
          </w:sdtPr>
          <w:sdtEndPr/>
          <w:sdtContent>
            <w:tc>
              <w:tcPr>
                <w:tcW w:w="547" w:type="dxa"/>
                <w:gridSpan w:val="2"/>
                <w:tcBorders>
                  <w:top w:val="single" w:sz="4" w:space="0" w:color="auto"/>
                  <w:left w:val="nil"/>
                  <w:bottom w:val="single" w:sz="4" w:space="0" w:color="auto"/>
                  <w:right w:val="nil"/>
                </w:tcBorders>
              </w:tcPr>
              <w:p w:rsidR="001B2EE3" w:rsidRDefault="00882DF5">
                <w:pPr>
                  <w:jc w:val="center"/>
                  <w:rPr>
                    <w:b/>
                  </w:rPr>
                </w:pPr>
                <w:r>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1B2EE3" w:rsidRDefault="00882DF5">
            <w:pPr>
              <w:ind w:left="54"/>
              <w:rPr>
                <w:b/>
              </w:rPr>
            </w:pPr>
            <w:r>
              <w:rPr>
                <w:b/>
              </w:rPr>
              <w:t>Negatívne</w:t>
            </w:r>
          </w:p>
        </w:tc>
      </w:tr>
    </w:tbl>
    <w:p w:rsidR="001B2EE3" w:rsidRDefault="001B2EE3">
      <w:pPr>
        <w:ind w:right="141"/>
        <w:rPr>
          <w:b/>
        </w:rPr>
      </w:pPr>
      <w:bookmarkStart w:id="0" w:name="_GoBack"/>
      <w:bookmarkEnd w:id="0"/>
    </w:p>
    <w:tbl>
      <w:tblPr>
        <w:tblStyle w:val="Mriekatabuky"/>
        <w:tblW w:w="9176" w:type="dxa"/>
        <w:tblLayout w:type="fixed"/>
        <w:tblLook w:val="04A0" w:firstRow="1" w:lastRow="0" w:firstColumn="1" w:lastColumn="0" w:noHBand="0" w:noVBand="1"/>
      </w:tblPr>
      <w:tblGrid>
        <w:gridCol w:w="9176"/>
      </w:tblGrid>
      <w:tr w:rsidR="001B2EE3">
        <w:tc>
          <w:tcPr>
            <w:tcW w:w="9176" w:type="dxa"/>
            <w:tcBorders>
              <w:top w:val="single" w:sz="4" w:space="0" w:color="auto"/>
              <w:left w:val="single" w:sz="4" w:space="0" w:color="auto"/>
              <w:bottom w:val="nil"/>
              <w:right w:val="single" w:sz="4" w:space="0" w:color="auto"/>
            </w:tcBorders>
            <w:shd w:val="clear" w:color="auto" w:fill="E2E2E2"/>
          </w:tcPr>
          <w:p w:rsidR="001B2EE3" w:rsidRDefault="00882DF5">
            <w:pPr>
              <w:pStyle w:val="Odsekzoznamu"/>
              <w:numPr>
                <w:ilvl w:val="0"/>
                <w:numId w:val="1"/>
              </w:num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Poznámky</w:t>
            </w:r>
          </w:p>
        </w:tc>
      </w:tr>
      <w:tr w:rsidR="001B2EE3">
        <w:trPr>
          <w:trHeight w:val="561"/>
        </w:trPr>
        <w:tc>
          <w:tcPr>
            <w:tcW w:w="9176" w:type="dxa"/>
            <w:tcBorders>
              <w:top w:val="nil"/>
              <w:left w:val="single" w:sz="4" w:space="0" w:color="auto"/>
              <w:bottom w:val="single" w:sz="4" w:space="0" w:color="FFFFFF" w:themeColor="background1"/>
              <w:right w:val="single" w:sz="4" w:space="0" w:color="auto"/>
            </w:tcBorders>
            <w:shd w:val="clear" w:color="auto" w:fill="auto"/>
          </w:tcPr>
          <w:p w:rsidR="001B2EE3" w:rsidRDefault="00882DF5">
            <w:pPr>
              <w:pStyle w:val="Default"/>
              <w:tabs>
                <w:tab w:val="left" w:pos="0"/>
                <w:tab w:val="left" w:pos="525"/>
              </w:tabs>
              <w:jc w:val="both"/>
              <w:rPr>
                <w:sz w:val="20"/>
                <w:szCs w:val="20"/>
              </w:rPr>
            </w:pPr>
            <w:r>
              <w:rPr>
                <w:sz w:val="20"/>
                <w:szCs w:val="20"/>
              </w:rPr>
              <w:t xml:space="preserve">Návrh  nariadenia vlády bude mať pozitívny vplyv na podnikateľské prostredie, nakoľko povinnosti  ustanovené pre žiadateľov o platby na agroenvironmentálno - klimatické opatrenia a na ekologické poľnohospodárstvo sa modifikujú v nadväznosti na prechodné obdobie 2021 - 2022.  </w:t>
            </w:r>
          </w:p>
          <w:p w:rsidR="001B2EE3" w:rsidRDefault="00882DF5">
            <w:pPr>
              <w:spacing w:line="276" w:lineRule="auto"/>
              <w:jc w:val="both"/>
            </w:pPr>
            <w:r>
              <w:rPr>
                <w:lang w:eastAsia="en-US"/>
              </w:rPr>
              <w:t>N</w:t>
            </w:r>
            <w:r>
              <w:t>ávrh nariadenia vlády bude mať pozitívny vplyv na podnikateľské prostredie tým, že sa vypustí podmienka ustanovená v § 32 ods. 1 nariadenia vlády č. 75/2015 Z. z. v znení neskorších predpisov pre žiadateľa o poskytnutie podpory na ekologické poľnohospodárstvo, mať v systéme ekologickej poľnohospodárskej výroby registrovaných najmenej 51 % výmery poľnohospodárskej pôdy v registri ekologickej poľnohospodárskej výroby, ak zároveň hospodári aj neekologickým spôsobom.</w:t>
            </w:r>
          </w:p>
          <w:p w:rsidR="001B2EE3" w:rsidRDefault="00882DF5">
            <w:pPr>
              <w:pStyle w:val="Default"/>
              <w:tabs>
                <w:tab w:val="left" w:pos="0"/>
                <w:tab w:val="left" w:pos="525"/>
              </w:tabs>
              <w:jc w:val="both"/>
              <w:rPr>
                <w:sz w:val="20"/>
                <w:szCs w:val="20"/>
              </w:rPr>
            </w:pPr>
            <w:r>
              <w:rPr>
                <w:sz w:val="20"/>
                <w:szCs w:val="20"/>
              </w:rPr>
              <w:t>Súčasne prijatie navrhovanej prílohy č. 16a k nariadeniu vlády SR č. 75/2015 Z. z. bude mať pozitívny vplyv na podnikateľské prostredie, nakoľko presuny odchovaných výkrmových ošípaných,  ktoré môže žiadateľ o platbu uviesť ako oprávnené pre účely platby na výkrm ošípaných, sa rozširujú aj o presun - predaj ošípanej na domácu spotrebu,  ktorá v platnom nariadení vlády nie je ustanovená.</w:t>
            </w:r>
          </w:p>
          <w:p w:rsidR="001B2EE3" w:rsidRDefault="00882DF5">
            <w:pPr>
              <w:spacing w:line="276" w:lineRule="auto"/>
              <w:jc w:val="both"/>
            </w:pPr>
            <w:r>
              <w:t xml:space="preserve">. Taktiež prijatie navrhovaného ustanovenia § 20 ods. 2 a § 40 ods. 12 bude mať pozitívny dopad na podnikateľské prostredie, nakoľko povolením dočasného presunu zvierat, evidovaného v centrálnom registri zvierat v rozsahu najviac 14 dní,  napríklad za účelom ich účasti na výstavách,  bez povinnosti  ich náhrady počas týchto najviac 14 dní, sa podporí aj genetický fond zvierat. Dočasný presun zvierat musí byť však evidovaný v centrálnom registri hospodárskych zvierat. </w:t>
            </w:r>
          </w:p>
          <w:p w:rsidR="001B2EE3" w:rsidRDefault="00882DF5">
            <w:pPr>
              <w:pStyle w:val="Default"/>
              <w:tabs>
                <w:tab w:val="left" w:pos="0"/>
                <w:tab w:val="left" w:pos="525"/>
              </w:tabs>
              <w:jc w:val="both"/>
              <w:rPr>
                <w:sz w:val="20"/>
                <w:szCs w:val="20"/>
              </w:rPr>
            </w:pPr>
            <w:r>
              <w:rPr>
                <w:sz w:val="20"/>
                <w:szCs w:val="20"/>
              </w:rPr>
              <w:t xml:space="preserve">        Nakoľko v súčasnom období nie je možné určiť počet žiadateľov o poskytnutie podpory na agroenvironmentálno - klimatické opatrenie a na ekologické poľnohospodárstvo  v prechodnom období (ide o dobrovoľný záväzok),  ani  počet predaných  ošípaných na domácu spotrebu, ani počet  žiadateľov, ktorí  budú realizovať dočasné presuny zvierat, evidované v centrálnom registri zvierat v rozsahu najviac 14 dní,</w:t>
            </w:r>
          </w:p>
          <w:p w:rsidR="001B2EE3" w:rsidRDefault="00882DF5">
            <w:pPr>
              <w:pStyle w:val="Default"/>
              <w:tabs>
                <w:tab w:val="left" w:pos="0"/>
                <w:tab w:val="left" w:pos="525"/>
              </w:tabs>
              <w:jc w:val="both"/>
              <w:rPr>
                <w:sz w:val="20"/>
                <w:szCs w:val="20"/>
              </w:rPr>
            </w:pPr>
            <w:r>
              <w:rPr>
                <w:sz w:val="20"/>
                <w:szCs w:val="20"/>
              </w:rPr>
              <w:t>nie je možné vyčísliť pozitívny vplyv navrhovaného nariadenia vlády na podnikateľské prostredie.</w:t>
            </w:r>
          </w:p>
          <w:p w:rsidR="001B2EE3" w:rsidRDefault="001B2EE3">
            <w:pPr>
              <w:jc w:val="both"/>
              <w:rPr>
                <w:b/>
              </w:rPr>
            </w:pPr>
          </w:p>
        </w:tc>
      </w:tr>
      <w:tr w:rsidR="001B2EE3">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1B2EE3" w:rsidRDefault="00882DF5">
            <w:pPr>
              <w:pStyle w:val="Odsekzoznamu"/>
              <w:numPr>
                <w:ilvl w:val="0"/>
                <w:numId w:val="1"/>
              </w:num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Kontakt na spracovateľa</w:t>
            </w:r>
          </w:p>
        </w:tc>
      </w:tr>
      <w:tr w:rsidR="001B2EE3">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1B2EE3" w:rsidRDefault="00882DF5">
            <w:r>
              <w:t>Ing. Zuzana Gergeľová, MPRV SR, telefón: 02/592 66 432</w:t>
            </w:r>
          </w:p>
          <w:p w:rsidR="001B2EE3" w:rsidRDefault="00F338BC">
            <w:hyperlink r:id="rId10" w:history="1">
              <w:r w:rsidR="00882DF5">
                <w:rPr>
                  <w:rStyle w:val="Hypertextovprepojenie"/>
                </w:rPr>
                <w:t>zuzana.gergelova@land.gov.sk</w:t>
              </w:r>
            </w:hyperlink>
            <w:r w:rsidR="00882DF5">
              <w:t xml:space="preserve"> ;</w:t>
            </w:r>
          </w:p>
        </w:tc>
      </w:tr>
      <w:tr w:rsidR="001B2EE3">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1B2EE3" w:rsidRDefault="00882DF5">
            <w:pPr>
              <w:pStyle w:val="Odsekzoznamu"/>
              <w:numPr>
                <w:ilvl w:val="0"/>
                <w:numId w:val="1"/>
              </w:num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Zdroje</w:t>
            </w:r>
          </w:p>
        </w:tc>
      </w:tr>
      <w:tr w:rsidR="001B2EE3">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1B2EE3" w:rsidRDefault="00882DF5">
            <w:pPr>
              <w:rPr>
                <w:i/>
              </w:rPr>
            </w:pPr>
            <w:r>
              <w:rPr>
                <w:i/>
              </w:rPr>
              <w:t>Uveďte zdroje (štatistiky, prieskumy, spoluprácu s odborníkmi a iné), z ktorých ste pri vypracovávaní doložky, príp. analýz vplyvov vychádzali.</w:t>
            </w:r>
          </w:p>
          <w:p w:rsidR="001B2EE3" w:rsidRDefault="001B2EE3">
            <w:pPr>
              <w:rPr>
                <w:i/>
              </w:rPr>
            </w:pPr>
          </w:p>
          <w:p w:rsidR="001B2EE3" w:rsidRDefault="001B2EE3">
            <w:pPr>
              <w:rPr>
                <w:b/>
              </w:rPr>
            </w:pPr>
          </w:p>
        </w:tc>
      </w:tr>
      <w:tr w:rsidR="001B2EE3">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1B2EE3" w:rsidRDefault="00882DF5">
            <w:pPr>
              <w:pStyle w:val="Odsekzoznamu"/>
              <w:numPr>
                <w:ilvl w:val="0"/>
                <w:numId w:val="1"/>
              </w:num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Stanovisko Komisie pre posudzovanie vybraných vplyvov z PPK</w:t>
            </w:r>
          </w:p>
        </w:tc>
      </w:tr>
      <w:tr w:rsidR="001B2EE3">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1B2EE3" w:rsidRDefault="00882DF5">
            <w:pPr>
              <w:rPr>
                <w:i/>
              </w:rPr>
            </w:pPr>
            <w:r>
              <w:rPr>
                <w:i/>
              </w:rPr>
              <w:t>Uveďte stanovisko Komisie pre posudzovanie vybraných vplyvov, ktoré Vám bolo zaslané v rámci predbežného pripomienkového konania</w:t>
            </w:r>
          </w:p>
          <w:p w:rsidR="001B2EE3" w:rsidRDefault="001B2EE3">
            <w:pPr>
              <w:rPr>
                <w:i/>
              </w:rPr>
            </w:pPr>
          </w:p>
          <w:p w:rsidR="001B2EE3" w:rsidRDefault="001B2EE3">
            <w:pPr>
              <w:pStyle w:val="Nadpis4"/>
              <w:keepLines w:val="0"/>
              <w:numPr>
                <w:ilvl w:val="3"/>
                <w:numId w:val="2"/>
              </w:numPr>
              <w:suppressAutoHyphens/>
              <w:spacing w:before="0" w:line="100" w:lineRule="atLeast"/>
              <w:ind w:right="-2"/>
              <w:jc w:val="center"/>
              <w:outlineLvl w:val="3"/>
              <w:rPr>
                <w:rFonts w:ascii="Times New Roman" w:hAnsi="Times New Roman" w:cs="Times New Roman"/>
              </w:rPr>
            </w:pPr>
          </w:p>
          <w:p w:rsidR="001B2EE3" w:rsidRDefault="00882DF5">
            <w:pPr>
              <w:pStyle w:val="Nadpis4"/>
              <w:keepLines w:val="0"/>
              <w:numPr>
                <w:ilvl w:val="3"/>
                <w:numId w:val="2"/>
              </w:numPr>
              <w:suppressAutoHyphens/>
              <w:spacing w:before="0" w:line="100" w:lineRule="atLeast"/>
              <w:ind w:right="-2"/>
              <w:jc w:val="center"/>
              <w:outlineLvl w:val="3"/>
              <w:rPr>
                <w:rFonts w:ascii="Times New Roman" w:hAnsi="Times New Roman" w:cs="Times New Roman"/>
                <w:color w:val="auto"/>
              </w:rPr>
            </w:pPr>
            <w:r>
              <w:rPr>
                <w:rFonts w:ascii="Times New Roman" w:hAnsi="Times New Roman" w:cs="Times New Roman"/>
                <w:color w:val="auto"/>
                <w:spacing w:val="20"/>
              </w:rPr>
              <w:t>Stanovisko komisie</w:t>
            </w:r>
            <w:r>
              <w:rPr>
                <w:rFonts w:ascii="Times New Roman" w:hAnsi="Times New Roman" w:cs="Times New Roman"/>
                <w:color w:val="auto"/>
              </w:rPr>
              <w:t xml:space="preserve"> </w:t>
            </w:r>
          </w:p>
          <w:p w:rsidR="001B2EE3" w:rsidRDefault="00882DF5">
            <w:pPr>
              <w:pStyle w:val="Nadpis4"/>
              <w:keepLines w:val="0"/>
              <w:numPr>
                <w:ilvl w:val="3"/>
                <w:numId w:val="2"/>
              </w:numPr>
              <w:suppressAutoHyphens/>
              <w:spacing w:before="0" w:line="100" w:lineRule="atLeast"/>
              <w:ind w:right="-2"/>
              <w:jc w:val="center"/>
              <w:outlineLvl w:val="3"/>
              <w:rPr>
                <w:rFonts w:ascii="Times New Roman" w:hAnsi="Times New Roman" w:cs="Times New Roman"/>
                <w:color w:val="auto"/>
              </w:rPr>
            </w:pPr>
            <w:r>
              <w:rPr>
                <w:rFonts w:ascii="Times New Roman" w:hAnsi="Times New Roman" w:cs="Times New Roman"/>
                <w:smallCaps/>
                <w:color w:val="auto"/>
              </w:rPr>
              <w:t>(predbežné pripomienkové konanie)</w:t>
            </w:r>
          </w:p>
          <w:p w:rsidR="001B2EE3" w:rsidRDefault="001B2EE3">
            <w:pPr>
              <w:ind w:right="-2"/>
              <w:jc w:val="center"/>
              <w:rPr>
                <w:b/>
                <w:smallCaps/>
              </w:rPr>
            </w:pPr>
          </w:p>
          <w:p w:rsidR="001B2EE3" w:rsidRDefault="00882DF5">
            <w:pPr>
              <w:ind w:right="-2"/>
              <w:jc w:val="center"/>
            </w:pPr>
            <w:r>
              <w:rPr>
                <w:b/>
                <w:smallCaps/>
              </w:rPr>
              <w:t>k materiálu</w:t>
            </w:r>
          </w:p>
          <w:p w:rsidR="001B2EE3" w:rsidRDefault="001B2EE3">
            <w:pPr>
              <w:ind w:right="-2"/>
              <w:jc w:val="center"/>
              <w:rPr>
                <w:b/>
                <w:smallCaps/>
              </w:rPr>
            </w:pPr>
          </w:p>
          <w:p w:rsidR="001B2EE3" w:rsidRDefault="00882DF5">
            <w:pPr>
              <w:pBdr>
                <w:top w:val="none" w:sz="0" w:space="0" w:color="000000"/>
                <w:left w:val="none" w:sz="0" w:space="0" w:color="000000"/>
                <w:bottom w:val="single" w:sz="4" w:space="1" w:color="000000"/>
                <w:right w:val="none" w:sz="0" w:space="0" w:color="000000"/>
              </w:pBdr>
              <w:ind w:right="-2"/>
              <w:jc w:val="center"/>
              <w:rPr>
                <w:b/>
                <w:smallCaps/>
              </w:rPr>
            </w:pPr>
            <w:r>
              <w:rPr>
                <w:b/>
                <w:bCs/>
              </w:rPr>
              <w:t>Nariadenie vlády Slovenskej republiky, ktorým sa mení a dopĺňa nariadenie vlády Slovenskej republiky č. 75/2015 Z. z., ktorým sa ustanovujú pravidlá poskytovania podpory v súvislosti s opatreniami programu rozvoja vidieka v znení neskorších predpisov</w:t>
            </w:r>
          </w:p>
          <w:p w:rsidR="001B2EE3" w:rsidRDefault="001B2EE3">
            <w:pPr>
              <w:jc w:val="both"/>
              <w:rPr>
                <w:b/>
                <w:bCs/>
              </w:rPr>
            </w:pPr>
          </w:p>
          <w:p w:rsidR="001B2EE3" w:rsidRDefault="00882DF5">
            <w:pPr>
              <w:jc w:val="both"/>
              <w:rPr>
                <w:b/>
                <w:bCs/>
              </w:rPr>
            </w:pPr>
            <w:r>
              <w:rPr>
                <w:b/>
                <w:bCs/>
              </w:rPr>
              <w:t xml:space="preserve">I. Úvod: </w:t>
            </w:r>
            <w:r>
              <w:rPr>
                <w:bCs/>
              </w:rPr>
              <w:t>Ministerstvo pôdohospodárstva a rozvoja vidieka SR dňa 10. decembra predložilo na PPK materiál „</w:t>
            </w:r>
            <w:r>
              <w:rPr>
                <w:bCs/>
                <w:i/>
                <w:iCs/>
              </w:rPr>
              <w:t>Nariadenie vlády Slovenskej republiky, ktorým sa mení a dopĺňa nariadenie vlády Slovenskej republiky č. 75/2015 Z. z., ktorým sa ustanovujú pravidlá poskytovania podpory v súvislosti s opatreniami programu rozvoja vidieka v znení neskorších predpisov“</w:t>
            </w:r>
            <w:r>
              <w:rPr>
                <w:bCs/>
                <w:iCs/>
              </w:rPr>
              <w:t>.</w:t>
            </w:r>
            <w:r>
              <w:rPr>
                <w:bCs/>
                <w:i/>
                <w:iCs/>
              </w:rPr>
              <w:t xml:space="preserve"> </w:t>
            </w:r>
            <w:r>
              <w:rPr>
                <w:bCs/>
                <w:iCs/>
                <w:color w:val="000000"/>
              </w:rPr>
              <w:t>Materiál predpokladá pozitívne vplyvy na podnikateľské prostredie, vrátane pozitívnych vplyvov na malé a stredné podniky.</w:t>
            </w:r>
          </w:p>
          <w:p w:rsidR="001B2EE3" w:rsidRDefault="00882DF5">
            <w:pPr>
              <w:jc w:val="both"/>
              <w:rPr>
                <w:bCs/>
              </w:rPr>
            </w:pPr>
            <w:r>
              <w:rPr>
                <w:b/>
                <w:bCs/>
              </w:rPr>
              <w:t>II. P</w:t>
            </w:r>
            <w:r>
              <w:rPr>
                <w:b/>
              </w:rPr>
              <w:t>r</w:t>
            </w:r>
            <w:r>
              <w:rPr>
                <w:b/>
                <w:bCs/>
              </w:rPr>
              <w:t>ipomienky a návrhy zm</w:t>
            </w:r>
            <w:r>
              <w:rPr>
                <w:b/>
              </w:rPr>
              <w:t>ie</w:t>
            </w:r>
            <w:r>
              <w:rPr>
                <w:b/>
                <w:bCs/>
              </w:rPr>
              <w:t xml:space="preserve">n: </w:t>
            </w:r>
            <w:r>
              <w:rPr>
                <w:bCs/>
              </w:rPr>
              <w:t>Komisia uplatňuje k materiálu nasledovné pripomienky a odporúčania:</w:t>
            </w:r>
          </w:p>
          <w:p w:rsidR="001B2EE3" w:rsidRDefault="00882DF5">
            <w:pPr>
              <w:tabs>
                <w:tab w:val="center" w:pos="6379"/>
              </w:tabs>
              <w:ind w:right="-2"/>
              <w:jc w:val="both"/>
              <w:rPr>
                <w:b/>
                <w:bCs/>
              </w:rPr>
            </w:pPr>
            <w:r>
              <w:rPr>
                <w:b/>
                <w:bCs/>
              </w:rPr>
              <w:t>K doložke vybraných vplyvov</w:t>
            </w:r>
          </w:p>
          <w:p w:rsidR="001B2EE3" w:rsidRDefault="00882DF5">
            <w:pPr>
              <w:tabs>
                <w:tab w:val="center" w:pos="6379"/>
              </w:tabs>
              <w:ind w:right="-2"/>
              <w:jc w:val="both"/>
              <w:rPr>
                <w:bCs/>
              </w:rPr>
            </w:pPr>
            <w:r>
              <w:rPr>
                <w:bCs/>
              </w:rPr>
              <w:t xml:space="preserve">V doložke vybraných vplyvov Komisia odporúča dopracovať časti 2. definícia problému a 3. Ciele a výsledný stav v súlade s Jednotnou metodikou na posudzovanie vybraných vplyvov. Predkladateľ v časti 2 tvrdí, že návrh reaguje na problematiku  poskytovania podpory, čo však nepredstavuje definíciu problému. Časť 2. má pomenúvať základné problémy, na ktoré návrh reaguje a popísať príčiny problému a prípadne aj kvantifikovať </w:t>
            </w:r>
            <w:r>
              <w:rPr>
                <w:bCs/>
              </w:rPr>
              <w:lastRenderedPageBreak/>
              <w:t>jeho rozsah. V časti 3. zase predkladateľ popisuje zvolené technické riešenie, hoci v tejto časti má byť jasne a zrozumiteľne zadefinovaný cieľový stav, ktorý sa má dosiahnuť prijatím materiálu. Tieto ciele by mali byť charakterizované kvalitatívne a kvantitatívne za uplatnenia metódy SMART.</w:t>
            </w:r>
          </w:p>
          <w:p w:rsidR="001B2EE3" w:rsidRDefault="001B2EE3">
            <w:pPr>
              <w:tabs>
                <w:tab w:val="center" w:pos="6379"/>
              </w:tabs>
              <w:ind w:right="-2"/>
              <w:jc w:val="both"/>
              <w:rPr>
                <w:bCs/>
              </w:rPr>
            </w:pPr>
          </w:p>
          <w:p w:rsidR="001B2EE3" w:rsidRDefault="00882DF5">
            <w:pPr>
              <w:tabs>
                <w:tab w:val="center" w:pos="6379"/>
              </w:tabs>
              <w:ind w:right="-2"/>
              <w:jc w:val="both"/>
            </w:pPr>
            <w:r>
              <w:rPr>
                <w:b/>
                <w:bCs/>
              </w:rPr>
              <w:t xml:space="preserve">K vplyvom na rozpočet verejnej správy </w:t>
            </w:r>
          </w:p>
          <w:p w:rsidR="001B2EE3" w:rsidRDefault="00882DF5">
            <w:pPr>
              <w:pStyle w:val="Zkladntext"/>
              <w:tabs>
                <w:tab w:val="center" w:pos="6379"/>
              </w:tabs>
              <w:spacing w:after="0" w:line="240" w:lineRule="auto"/>
              <w:jc w:val="both"/>
              <w:rPr>
                <w:bCs/>
                <w:color w:val="000000"/>
                <w:lang w:val="sk-SK"/>
              </w:rPr>
            </w:pPr>
            <w:r>
              <w:rPr>
                <w:bCs/>
                <w:color w:val="000000"/>
                <w:lang w:val="sk-SK"/>
              </w:rPr>
              <w:t>Predkladateľ vo vypracovanej doložke vybraných vplyvov označil vplyvy materiálu na rozpočet verejnej správy ako žiadne a zároveň aj ako negatívne bez označenia rozpočtovej zabezpečenosti negatívnych vplyvov. Okrem toho, že takáto kombinácia označenia vplyvov materiálu na rozpočet verejnej správy nie je správna, súčasne je v rozpore s konštatovaniami predkladateľa uvedenými v predkladacej správe a dôvodovej správe, že návrh nariadenia vlády SR nebude mať žiaden vplyv na rozpočet verejnej správy. Uvedené rozporné tvrdenia Komisia žiada zosúladiť v celom materiáli.</w:t>
            </w:r>
          </w:p>
          <w:p w:rsidR="001B2EE3" w:rsidRDefault="001B2EE3">
            <w:pPr>
              <w:pStyle w:val="Zkladntext"/>
              <w:tabs>
                <w:tab w:val="center" w:pos="6379"/>
              </w:tabs>
              <w:spacing w:after="0" w:line="240" w:lineRule="auto"/>
              <w:jc w:val="both"/>
              <w:rPr>
                <w:bCs/>
                <w:color w:val="000000"/>
                <w:lang w:val="sk-SK"/>
              </w:rPr>
            </w:pPr>
          </w:p>
          <w:p w:rsidR="001B2EE3" w:rsidRDefault="00882DF5">
            <w:pPr>
              <w:pStyle w:val="Zkladntext"/>
              <w:tabs>
                <w:tab w:val="center" w:pos="6379"/>
              </w:tabs>
              <w:spacing w:after="0" w:line="240" w:lineRule="auto"/>
              <w:jc w:val="both"/>
              <w:rPr>
                <w:b/>
                <w:bCs/>
                <w:color w:val="000000"/>
                <w:lang w:val="sk-SK"/>
              </w:rPr>
            </w:pPr>
            <w:r>
              <w:rPr>
                <w:bCs/>
                <w:color w:val="000000"/>
                <w:lang w:val="sk-SK"/>
              </w:rPr>
              <w:t>Zároveň Komisia uvádza, že pokiaľ by predkladateľ vyhodnotil vplyvy návrhu nariadenia vlády SR na rozpočet verejnej správy ako negatívne, potom je potrebné v časti 9. Vplyvy navrhovaného materiálu doložky vybraných vplyvov označiť možnosť „negatívne“ a pri rozpočtovej zabezpečenosti vplyvov možnosť „áno“, aby bolo zrejmé, že všetky prípadné negatívne vplyvy na rozpočet verejnej správy budú rozpočtovo zabezpečené. Predkladateľ je v takomto prípade povinný podľa § 33 ods. 1 zákona č. 523/2004 Z. z. o rozpočtových pravidlách verejnej správy a o zmene a doplnení niektorých zákonov v znení neskorších predpisov, ako aj podľa platnej Jednotnej metodiky na posudzovanie vybraných vplyvov vypracovať analýzu vplyvov na rozpočet verejnej správy, ktorá bude obsahovať kvantifikáciu negatívneho vplyvu návrhu nariadenia vlády SR na rozpočet verejnej správy na bežný rok a tri nasledujúce rozpočtové roky spolu s návrhom na úhradu zvýšených výdavkov alebo úbytku príjmov. MF SR uvádza, že s predmetným materiálom bude možné súhlasiť pod podmienkou, že prípadné negatívne vplyvy na rozpočet verejnej správy budú rozpočtovo zabezpečené.</w:t>
            </w:r>
          </w:p>
          <w:p w:rsidR="001B2EE3" w:rsidRDefault="001B2EE3">
            <w:pPr>
              <w:pStyle w:val="Zkladntext"/>
              <w:tabs>
                <w:tab w:val="center" w:pos="6379"/>
              </w:tabs>
              <w:spacing w:after="0" w:line="240" w:lineRule="auto"/>
              <w:ind w:right="-2"/>
              <w:jc w:val="both"/>
              <w:rPr>
                <w:b/>
                <w:bCs/>
                <w:color w:val="000000"/>
                <w:lang w:val="sk-SK"/>
              </w:rPr>
            </w:pPr>
          </w:p>
          <w:p w:rsidR="001B2EE3" w:rsidRDefault="00882DF5">
            <w:pPr>
              <w:pStyle w:val="Zkladntext"/>
              <w:tabs>
                <w:tab w:val="center" w:pos="6379"/>
              </w:tabs>
              <w:spacing w:after="0" w:line="240" w:lineRule="auto"/>
              <w:ind w:right="-2"/>
              <w:jc w:val="both"/>
              <w:rPr>
                <w:b/>
                <w:bCs/>
                <w:lang w:val="sk-SK"/>
              </w:rPr>
            </w:pPr>
            <w:r>
              <w:rPr>
                <w:b/>
                <w:bCs/>
                <w:color w:val="000000"/>
                <w:lang w:val="sk-SK"/>
              </w:rPr>
              <w:t>K vplyvom na podnikateľské prostredie</w:t>
            </w:r>
          </w:p>
          <w:p w:rsidR="001B2EE3" w:rsidRDefault="00882DF5">
            <w:pPr>
              <w:pStyle w:val="norm00e1lny"/>
              <w:spacing w:line="240" w:lineRule="atLeast"/>
              <w:jc w:val="both"/>
              <w:rPr>
                <w:rStyle w:val="norm00e1lnychar1"/>
                <w:bCs/>
              </w:rPr>
            </w:pPr>
            <w:r>
              <w:rPr>
                <w:rStyle w:val="norm00e1lnychar1"/>
                <w:bCs/>
              </w:rPr>
              <w:t>Predkladateľ uviedol v Analýze vplyvov na podnikateľské prostredia, že predmetný materiál má pozitívny vplyv na všetky kategórie podnikov a dochádza k úspore administratívnych nákladov, Komisia žiada predkladateľa o vyčíslenie úspor v časti 3.3.3 Administratívne náklady aspoň na jeden podnikateľský subjekt.</w:t>
            </w:r>
          </w:p>
          <w:p w:rsidR="001B2EE3" w:rsidRDefault="001B2EE3">
            <w:pPr>
              <w:pStyle w:val="norm00e1lny"/>
              <w:spacing w:line="240" w:lineRule="atLeast"/>
              <w:jc w:val="both"/>
              <w:rPr>
                <w:rStyle w:val="norm00e1lnychar1"/>
                <w:b/>
                <w:bCs/>
              </w:rPr>
            </w:pPr>
          </w:p>
          <w:p w:rsidR="001B2EE3" w:rsidRDefault="00882DF5">
            <w:pPr>
              <w:pStyle w:val="norm00e1lny"/>
              <w:spacing w:line="240" w:lineRule="atLeast"/>
              <w:jc w:val="both"/>
            </w:pPr>
            <w:r>
              <w:rPr>
                <w:rStyle w:val="norm00e1lnychar1"/>
                <w:b/>
                <w:bCs/>
              </w:rPr>
              <w:t xml:space="preserve">III. Záver: </w:t>
            </w:r>
            <w:r>
              <w:rPr>
                <w:rStyle w:val="norm00e1lnychar1"/>
              </w:rPr>
              <w:t xml:space="preserve">Stála pracovná komisia na posudzovanie vybraných vplyvov vyjadruje </w:t>
            </w:r>
          </w:p>
          <w:p w:rsidR="001B2EE3" w:rsidRDefault="00882DF5">
            <w:pPr>
              <w:pStyle w:val="norm00e1lny"/>
            </w:pPr>
            <w:r>
              <w:t> </w:t>
            </w:r>
          </w:p>
          <w:p w:rsidR="001B2EE3" w:rsidRDefault="00882DF5">
            <w:pPr>
              <w:pStyle w:val="norm00e1lny"/>
              <w:spacing w:line="240" w:lineRule="atLeast"/>
              <w:jc w:val="center"/>
            </w:pPr>
            <w:r>
              <w:rPr>
                <w:rStyle w:val="norm00e1lnychar1"/>
                <w:b/>
                <w:bCs/>
              </w:rPr>
              <w:t>nesúhlasné stanovisko</w:t>
            </w:r>
          </w:p>
          <w:p w:rsidR="001B2EE3" w:rsidRDefault="00882DF5">
            <w:pPr>
              <w:pStyle w:val="norm00e1lny"/>
            </w:pPr>
            <w:r>
              <w:t> </w:t>
            </w:r>
          </w:p>
          <w:p w:rsidR="001B2EE3" w:rsidRDefault="00882DF5">
            <w:pPr>
              <w:pStyle w:val="norm00e1lny"/>
              <w:spacing w:line="240" w:lineRule="atLeast"/>
              <w:jc w:val="both"/>
            </w:pPr>
            <w:r>
              <w:rPr>
                <w:rStyle w:val="norm00e1lnychar1"/>
              </w:rPr>
              <w:t>s materiálom predloženým na predbežné pripomienkové konanie s odporúčaním na jeho dopracovanie podľa pripomienok v bode II.</w:t>
            </w:r>
          </w:p>
          <w:p w:rsidR="001B2EE3" w:rsidRDefault="00882DF5">
            <w:pPr>
              <w:pStyle w:val="norm00e1lny"/>
            </w:pPr>
            <w:r>
              <w:t> </w:t>
            </w:r>
          </w:p>
          <w:p w:rsidR="001B2EE3" w:rsidRDefault="00882DF5">
            <w:pPr>
              <w:pStyle w:val="norm00e1lny"/>
              <w:spacing w:line="240" w:lineRule="atLeast"/>
              <w:jc w:val="both"/>
            </w:pPr>
            <w:r>
              <w:rPr>
                <w:rStyle w:val="norm00e1lnychar1"/>
                <w:b/>
                <w:bCs/>
              </w:rPr>
              <w:t>IV. Poznámka:</w:t>
            </w:r>
            <w:r>
              <w:rPr>
                <w:rStyle w:val="norm00e1lnychar1"/>
              </w:rPr>
              <w:t xml:space="preserve"> Predkladateľ zapracuje pripomienky a odporúčania na úpravu uvedené v bode II a uvedie stanovisko Komisie do doložky vybraných vplyvov spolu s vyhodnotením pripomienok.</w:t>
            </w:r>
          </w:p>
          <w:p w:rsidR="001B2EE3" w:rsidRDefault="00882DF5">
            <w:pPr>
              <w:pStyle w:val="norm00e1lny"/>
            </w:pPr>
            <w:r>
              <w:t> </w:t>
            </w:r>
          </w:p>
          <w:p w:rsidR="001B2EE3" w:rsidRDefault="00882DF5">
            <w:pPr>
              <w:pStyle w:val="z00e1kladn00fd0020text"/>
              <w:spacing w:after="0" w:line="240" w:lineRule="atLeast"/>
              <w:jc w:val="both"/>
            </w:pPr>
            <w:r>
              <w:rPr>
                <w:rStyle w:val="z00e1kladn00fd0020textchar1"/>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1B2EE3" w:rsidRDefault="001B2EE3">
            <w:pPr>
              <w:jc w:val="both"/>
            </w:pPr>
          </w:p>
          <w:p w:rsidR="001B2EE3" w:rsidRDefault="001B2EE3">
            <w:pPr>
              <w:tabs>
                <w:tab w:val="center" w:pos="6379"/>
              </w:tabs>
              <w:ind w:left="4536" w:right="-2"/>
              <w:jc w:val="center"/>
              <w:rPr>
                <w:b/>
                <w:bCs/>
              </w:rPr>
            </w:pPr>
          </w:p>
          <w:p w:rsidR="001B2EE3" w:rsidRDefault="001B2EE3">
            <w:pPr>
              <w:tabs>
                <w:tab w:val="center" w:pos="6379"/>
              </w:tabs>
              <w:ind w:left="4536" w:right="-2"/>
              <w:jc w:val="center"/>
              <w:rPr>
                <w:b/>
                <w:bCs/>
              </w:rPr>
            </w:pPr>
          </w:p>
          <w:p w:rsidR="001B2EE3" w:rsidRDefault="00882DF5">
            <w:pPr>
              <w:tabs>
                <w:tab w:val="center" w:pos="6379"/>
              </w:tabs>
              <w:ind w:left="4536" w:right="-2"/>
              <w:jc w:val="center"/>
            </w:pPr>
            <w:r>
              <w:rPr>
                <w:b/>
                <w:bCs/>
              </w:rPr>
              <w:t>PhDr. Ján Oravec, CSc.</w:t>
            </w:r>
          </w:p>
          <w:p w:rsidR="001B2EE3" w:rsidRDefault="00882DF5">
            <w:pPr>
              <w:tabs>
                <w:tab w:val="center" w:pos="6379"/>
              </w:tabs>
              <w:ind w:left="4536" w:right="-2"/>
              <w:jc w:val="center"/>
              <w:rPr>
                <w:bCs/>
              </w:rPr>
            </w:pPr>
            <w:r>
              <w:rPr>
                <w:bCs/>
              </w:rPr>
              <w:t>predseda Komisie</w:t>
            </w:r>
          </w:p>
          <w:p w:rsidR="001B2EE3" w:rsidRDefault="001B2EE3">
            <w:pPr>
              <w:tabs>
                <w:tab w:val="center" w:pos="6379"/>
              </w:tabs>
              <w:ind w:left="4536" w:right="-2"/>
              <w:jc w:val="center"/>
              <w:rPr>
                <w:bCs/>
              </w:rPr>
            </w:pPr>
          </w:p>
          <w:p w:rsidR="001B2EE3" w:rsidRDefault="001B2EE3">
            <w:pPr>
              <w:tabs>
                <w:tab w:val="center" w:pos="6379"/>
              </w:tabs>
              <w:ind w:left="4536" w:right="-2"/>
              <w:jc w:val="center"/>
            </w:pPr>
          </w:p>
          <w:p w:rsidR="001B2EE3" w:rsidRDefault="00882DF5">
            <w:pPr>
              <w:rPr>
                <w:b/>
              </w:rPr>
            </w:pPr>
            <w:r>
              <w:rPr>
                <w:b/>
              </w:rPr>
              <w:t>Vyhodnotenie pripomienok Komisie pre posudzovanie vybraných vplyvov z PPK:</w:t>
            </w:r>
          </w:p>
          <w:p w:rsidR="001B2EE3" w:rsidRDefault="001B2EE3">
            <w:pPr>
              <w:rPr>
                <w:b/>
              </w:rPr>
            </w:pPr>
          </w:p>
          <w:p w:rsidR="001B2EE3" w:rsidRDefault="00882DF5">
            <w:pPr>
              <w:pStyle w:val="norm00e1lny"/>
              <w:spacing w:line="240" w:lineRule="atLeast"/>
              <w:jc w:val="both"/>
              <w:rPr>
                <w:rStyle w:val="norm00e1lnychar1"/>
              </w:rPr>
            </w:pPr>
            <w:r>
              <w:rPr>
                <w:rStyle w:val="norm00e1lnychar1"/>
              </w:rPr>
              <w:t xml:space="preserve">       Predkladateľ - Ministerstvo pôdohospodárstva a rozvoja vidieka Slovenskej republiky, akceptovalo  všetky pripomienky a odporúčania na úpravu uvedené v bode II stanoviska Komisie pre posudzovanie vybraných vplyvov z PPK úpravou doložky vplyvov a analýzy vplyvov na podnikateľské prostredie. Prijatím navrhovaného nariadenia vlády  nevzniknú žiadne nároky na rozpočet verejnej správy. </w:t>
            </w:r>
          </w:p>
          <w:p w:rsidR="001B2EE3" w:rsidRDefault="001B2EE3">
            <w:pPr>
              <w:rPr>
                <w:i/>
              </w:rPr>
            </w:pPr>
          </w:p>
          <w:p w:rsidR="001B2EE3" w:rsidRDefault="001B2EE3">
            <w:pPr>
              <w:rPr>
                <w:b/>
              </w:rPr>
            </w:pPr>
          </w:p>
          <w:p w:rsidR="001B2EE3" w:rsidRDefault="001B2EE3">
            <w:pPr>
              <w:rPr>
                <w:b/>
              </w:rPr>
            </w:pPr>
          </w:p>
        </w:tc>
      </w:tr>
    </w:tbl>
    <w:p w:rsidR="001B2EE3" w:rsidRDefault="001B2EE3">
      <w:pPr>
        <w:rPr>
          <w:b/>
        </w:rPr>
      </w:pPr>
    </w:p>
    <w:sectPr w:rsidR="001B2EE3" w:rsidSect="00DB5360">
      <w:headerReference w:type="default" r:id="rId11"/>
      <w:footerReference w:type="default" r:id="rId12"/>
      <w:pgSz w:w="11906" w:h="16838"/>
      <w:pgMar w:top="1417" w:right="1417" w:bottom="1134"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8BC" w:rsidRDefault="00F338BC">
      <w:r>
        <w:separator/>
      </w:r>
    </w:p>
  </w:endnote>
  <w:endnote w:type="continuationSeparator" w:id="0">
    <w:p w:rsidR="00F338BC" w:rsidRDefault="00F3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mpo Esperanto">
    <w:altName w:val="Courier New"/>
    <w:charset w:val="00"/>
    <w:family w:val="roman"/>
    <w:pitch w:val="default"/>
    <w:sig w:usb0="00000000"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360" w:rsidRDefault="00DB5360">
    <w:pPr>
      <w:pStyle w:val="Pta"/>
      <w:jc w:val="center"/>
    </w:pPr>
  </w:p>
  <w:sdt>
    <w:sdtPr>
      <w:id w:val="-1789277224"/>
      <w:docPartObj>
        <w:docPartGallery w:val="AutoText"/>
      </w:docPartObj>
    </w:sdtPr>
    <w:sdtEndPr/>
    <w:sdtContent>
      <w:p w:rsidR="001B2EE3" w:rsidRDefault="00882DF5">
        <w:pPr>
          <w:pStyle w:val="Pta"/>
          <w:jc w:val="center"/>
        </w:pPr>
        <w:r>
          <w:fldChar w:fldCharType="begin"/>
        </w:r>
        <w:r>
          <w:instrText>PAGE   \* MERGEFORMAT</w:instrText>
        </w:r>
        <w:r>
          <w:fldChar w:fldCharType="separate"/>
        </w:r>
        <w:r w:rsidR="00DB5360">
          <w:rPr>
            <w:noProof/>
          </w:rPr>
          <w:t>7</w:t>
        </w:r>
        <w:r>
          <w:fldChar w:fldCharType="end"/>
        </w:r>
      </w:p>
    </w:sdtContent>
  </w:sdt>
  <w:p w:rsidR="001B2EE3" w:rsidRDefault="001B2E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8BC" w:rsidRDefault="00F338BC">
      <w:r>
        <w:separator/>
      </w:r>
    </w:p>
  </w:footnote>
  <w:footnote w:type="continuationSeparator" w:id="0">
    <w:p w:rsidR="00F338BC" w:rsidRDefault="00F3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EE3" w:rsidRDefault="001B2EE3">
    <w:pPr>
      <w:pStyle w:val="Hlavika"/>
      <w:jc w:val="right"/>
      <w:rPr>
        <w:sz w:val="24"/>
        <w:szCs w:val="24"/>
      </w:rPr>
    </w:pPr>
  </w:p>
  <w:p w:rsidR="001B2EE3" w:rsidRDefault="001B2EE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15:restartNumberingAfterBreak="0">
    <w:nsid w:val="7BDE54EF"/>
    <w:multiLevelType w:val="multilevel"/>
    <w:tmpl w:val="7BDE54EF"/>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5A86"/>
    <w:rsid w:val="00011F65"/>
    <w:rsid w:val="00015EDC"/>
    <w:rsid w:val="00020ACD"/>
    <w:rsid w:val="00032CC2"/>
    <w:rsid w:val="00044F76"/>
    <w:rsid w:val="00045064"/>
    <w:rsid w:val="0004581F"/>
    <w:rsid w:val="00054667"/>
    <w:rsid w:val="00066B3D"/>
    <w:rsid w:val="0007758D"/>
    <w:rsid w:val="00077E7C"/>
    <w:rsid w:val="000A3430"/>
    <w:rsid w:val="000A545B"/>
    <w:rsid w:val="000B10AA"/>
    <w:rsid w:val="000C3080"/>
    <w:rsid w:val="000E13AD"/>
    <w:rsid w:val="000E65BD"/>
    <w:rsid w:val="00100AAB"/>
    <w:rsid w:val="00106633"/>
    <w:rsid w:val="00112D9E"/>
    <w:rsid w:val="00120E15"/>
    <w:rsid w:val="00122F4C"/>
    <w:rsid w:val="00146BFC"/>
    <w:rsid w:val="001509CE"/>
    <w:rsid w:val="00175FD8"/>
    <w:rsid w:val="001832C4"/>
    <w:rsid w:val="00183FA5"/>
    <w:rsid w:val="001A42BA"/>
    <w:rsid w:val="001B2EE3"/>
    <w:rsid w:val="001B3590"/>
    <w:rsid w:val="001C1A12"/>
    <w:rsid w:val="001C7033"/>
    <w:rsid w:val="001D5571"/>
    <w:rsid w:val="001D6085"/>
    <w:rsid w:val="001E25CC"/>
    <w:rsid w:val="001E4433"/>
    <w:rsid w:val="00202E34"/>
    <w:rsid w:val="00205474"/>
    <w:rsid w:val="00214CA8"/>
    <w:rsid w:val="002200C6"/>
    <w:rsid w:val="00227262"/>
    <w:rsid w:val="00231DBC"/>
    <w:rsid w:val="00232C05"/>
    <w:rsid w:val="002437DB"/>
    <w:rsid w:val="002459DF"/>
    <w:rsid w:val="00263ACE"/>
    <w:rsid w:val="00281902"/>
    <w:rsid w:val="00284DA3"/>
    <w:rsid w:val="002A5786"/>
    <w:rsid w:val="002A72B7"/>
    <w:rsid w:val="002B2E28"/>
    <w:rsid w:val="002B61A3"/>
    <w:rsid w:val="002D74B4"/>
    <w:rsid w:val="002E10D5"/>
    <w:rsid w:val="00302266"/>
    <w:rsid w:val="00302B73"/>
    <w:rsid w:val="00305626"/>
    <w:rsid w:val="00327EBA"/>
    <w:rsid w:val="00342D96"/>
    <w:rsid w:val="00345E8B"/>
    <w:rsid w:val="003501A1"/>
    <w:rsid w:val="0036676A"/>
    <w:rsid w:val="00387D37"/>
    <w:rsid w:val="00391982"/>
    <w:rsid w:val="00392253"/>
    <w:rsid w:val="00395098"/>
    <w:rsid w:val="003A6299"/>
    <w:rsid w:val="003A6333"/>
    <w:rsid w:val="003B28B5"/>
    <w:rsid w:val="003B40AE"/>
    <w:rsid w:val="003D1680"/>
    <w:rsid w:val="003E2F70"/>
    <w:rsid w:val="003F0067"/>
    <w:rsid w:val="003F2FE8"/>
    <w:rsid w:val="004012D5"/>
    <w:rsid w:val="00406657"/>
    <w:rsid w:val="004116BC"/>
    <w:rsid w:val="00416B1B"/>
    <w:rsid w:val="004212E7"/>
    <w:rsid w:val="00422228"/>
    <w:rsid w:val="00423B8A"/>
    <w:rsid w:val="00451F10"/>
    <w:rsid w:val="004521A9"/>
    <w:rsid w:val="0045598D"/>
    <w:rsid w:val="0046459F"/>
    <w:rsid w:val="0046494A"/>
    <w:rsid w:val="0047200C"/>
    <w:rsid w:val="00473AA2"/>
    <w:rsid w:val="0048455D"/>
    <w:rsid w:val="004B6FD2"/>
    <w:rsid w:val="004B7F93"/>
    <w:rsid w:val="004C4630"/>
    <w:rsid w:val="004C60B8"/>
    <w:rsid w:val="004C794A"/>
    <w:rsid w:val="004D7DC9"/>
    <w:rsid w:val="004E1DA6"/>
    <w:rsid w:val="004F6F1F"/>
    <w:rsid w:val="004F7620"/>
    <w:rsid w:val="00523AB8"/>
    <w:rsid w:val="00553523"/>
    <w:rsid w:val="00592364"/>
    <w:rsid w:val="005B7A8D"/>
    <w:rsid w:val="005C7F35"/>
    <w:rsid w:val="005E20AC"/>
    <w:rsid w:val="005F195C"/>
    <w:rsid w:val="005F2B9B"/>
    <w:rsid w:val="005F42B0"/>
    <w:rsid w:val="00627736"/>
    <w:rsid w:val="0064012C"/>
    <w:rsid w:val="00642A57"/>
    <w:rsid w:val="00643115"/>
    <w:rsid w:val="00650714"/>
    <w:rsid w:val="00652EAF"/>
    <w:rsid w:val="006548A6"/>
    <w:rsid w:val="006563CC"/>
    <w:rsid w:val="00672580"/>
    <w:rsid w:val="00675375"/>
    <w:rsid w:val="00680939"/>
    <w:rsid w:val="006845FC"/>
    <w:rsid w:val="0069465A"/>
    <w:rsid w:val="006A4913"/>
    <w:rsid w:val="006C3B7D"/>
    <w:rsid w:val="00707693"/>
    <w:rsid w:val="00710C91"/>
    <w:rsid w:val="00715E9F"/>
    <w:rsid w:val="007323BA"/>
    <w:rsid w:val="00753C1A"/>
    <w:rsid w:val="00754784"/>
    <w:rsid w:val="00762A44"/>
    <w:rsid w:val="00762DE8"/>
    <w:rsid w:val="0076465C"/>
    <w:rsid w:val="007655EA"/>
    <w:rsid w:val="00783F9B"/>
    <w:rsid w:val="00792D69"/>
    <w:rsid w:val="007A122D"/>
    <w:rsid w:val="007B46E7"/>
    <w:rsid w:val="007C034A"/>
    <w:rsid w:val="007C046F"/>
    <w:rsid w:val="007C6248"/>
    <w:rsid w:val="007D557E"/>
    <w:rsid w:val="007E4713"/>
    <w:rsid w:val="007E49DB"/>
    <w:rsid w:val="00801A7E"/>
    <w:rsid w:val="00805A53"/>
    <w:rsid w:val="00806E3A"/>
    <w:rsid w:val="0081086C"/>
    <w:rsid w:val="008157B0"/>
    <w:rsid w:val="00822293"/>
    <w:rsid w:val="008243BE"/>
    <w:rsid w:val="00832027"/>
    <w:rsid w:val="0084193C"/>
    <w:rsid w:val="00866807"/>
    <w:rsid w:val="00867C1A"/>
    <w:rsid w:val="00873801"/>
    <w:rsid w:val="00876E68"/>
    <w:rsid w:val="00882DF5"/>
    <w:rsid w:val="00885E46"/>
    <w:rsid w:val="008C4532"/>
    <w:rsid w:val="008D4250"/>
    <w:rsid w:val="008D74C7"/>
    <w:rsid w:val="008F1A14"/>
    <w:rsid w:val="008F665E"/>
    <w:rsid w:val="0090614A"/>
    <w:rsid w:val="009255B6"/>
    <w:rsid w:val="00926DD4"/>
    <w:rsid w:val="00931E38"/>
    <w:rsid w:val="00944F97"/>
    <w:rsid w:val="00953157"/>
    <w:rsid w:val="00954E8F"/>
    <w:rsid w:val="009566B4"/>
    <w:rsid w:val="009571B4"/>
    <w:rsid w:val="009608E6"/>
    <w:rsid w:val="009856C2"/>
    <w:rsid w:val="009876A2"/>
    <w:rsid w:val="00993C93"/>
    <w:rsid w:val="009A6481"/>
    <w:rsid w:val="009C3259"/>
    <w:rsid w:val="009D186E"/>
    <w:rsid w:val="009E3821"/>
    <w:rsid w:val="009E4940"/>
    <w:rsid w:val="009F388C"/>
    <w:rsid w:val="00A0014F"/>
    <w:rsid w:val="00A11CAC"/>
    <w:rsid w:val="00A2098A"/>
    <w:rsid w:val="00A24989"/>
    <w:rsid w:val="00A2660F"/>
    <w:rsid w:val="00A30B5B"/>
    <w:rsid w:val="00A35D5D"/>
    <w:rsid w:val="00A37713"/>
    <w:rsid w:val="00A57253"/>
    <w:rsid w:val="00A66D1D"/>
    <w:rsid w:val="00A674F0"/>
    <w:rsid w:val="00A76C6F"/>
    <w:rsid w:val="00A92E05"/>
    <w:rsid w:val="00AA2379"/>
    <w:rsid w:val="00AA5E63"/>
    <w:rsid w:val="00AC11DC"/>
    <w:rsid w:val="00AD1CC5"/>
    <w:rsid w:val="00AE4AF9"/>
    <w:rsid w:val="00AF5226"/>
    <w:rsid w:val="00AF5F25"/>
    <w:rsid w:val="00B07BDD"/>
    <w:rsid w:val="00B16E0F"/>
    <w:rsid w:val="00B47926"/>
    <w:rsid w:val="00B6491E"/>
    <w:rsid w:val="00B65A86"/>
    <w:rsid w:val="00B675D8"/>
    <w:rsid w:val="00B94906"/>
    <w:rsid w:val="00B97699"/>
    <w:rsid w:val="00BC08D4"/>
    <w:rsid w:val="00BC2698"/>
    <w:rsid w:val="00BF46E2"/>
    <w:rsid w:val="00C02132"/>
    <w:rsid w:val="00C03B44"/>
    <w:rsid w:val="00C123FD"/>
    <w:rsid w:val="00C140E9"/>
    <w:rsid w:val="00C32642"/>
    <w:rsid w:val="00C41DB1"/>
    <w:rsid w:val="00C64761"/>
    <w:rsid w:val="00C82E8A"/>
    <w:rsid w:val="00C93827"/>
    <w:rsid w:val="00C94764"/>
    <w:rsid w:val="00CA1247"/>
    <w:rsid w:val="00CA2485"/>
    <w:rsid w:val="00CB3623"/>
    <w:rsid w:val="00CB57C5"/>
    <w:rsid w:val="00CC1E3F"/>
    <w:rsid w:val="00CF3DFA"/>
    <w:rsid w:val="00D13B6F"/>
    <w:rsid w:val="00D13C2D"/>
    <w:rsid w:val="00D23D5E"/>
    <w:rsid w:val="00D30382"/>
    <w:rsid w:val="00D45CA2"/>
    <w:rsid w:val="00D65D17"/>
    <w:rsid w:val="00D75D35"/>
    <w:rsid w:val="00D94EB7"/>
    <w:rsid w:val="00DA376D"/>
    <w:rsid w:val="00DB1489"/>
    <w:rsid w:val="00DB5360"/>
    <w:rsid w:val="00DB609C"/>
    <w:rsid w:val="00DC42E4"/>
    <w:rsid w:val="00DC52FA"/>
    <w:rsid w:val="00DE2A12"/>
    <w:rsid w:val="00DF0A7E"/>
    <w:rsid w:val="00DF6430"/>
    <w:rsid w:val="00E1720C"/>
    <w:rsid w:val="00E35990"/>
    <w:rsid w:val="00E36682"/>
    <w:rsid w:val="00E50D14"/>
    <w:rsid w:val="00E53B1C"/>
    <w:rsid w:val="00E700F3"/>
    <w:rsid w:val="00E72AE5"/>
    <w:rsid w:val="00EB59E3"/>
    <w:rsid w:val="00EB64CD"/>
    <w:rsid w:val="00EC30C0"/>
    <w:rsid w:val="00EF5798"/>
    <w:rsid w:val="00F02621"/>
    <w:rsid w:val="00F030BE"/>
    <w:rsid w:val="00F075D0"/>
    <w:rsid w:val="00F22831"/>
    <w:rsid w:val="00F338BC"/>
    <w:rsid w:val="00F43974"/>
    <w:rsid w:val="00F54941"/>
    <w:rsid w:val="00F61113"/>
    <w:rsid w:val="00F62771"/>
    <w:rsid w:val="00F656D5"/>
    <w:rsid w:val="00F73F26"/>
    <w:rsid w:val="00FB406E"/>
    <w:rsid w:val="00FD1F1C"/>
    <w:rsid w:val="00FF16B3"/>
    <w:rsid w:val="64E861F6"/>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0CD0"/>
  <w15:docId w15:val="{713F388A-7D4F-4373-A549-A11A58F1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eastAsia="Times New Roman"/>
    </w:rPr>
  </w:style>
  <w:style w:type="paragraph" w:styleId="Nadpis2">
    <w:name w:val="heading 2"/>
    <w:basedOn w:val="Normlny"/>
    <w:next w:val="Normlny"/>
    <w:link w:val="Nadpis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y"/>
    <w:next w:val="Normlny"/>
    <w:link w:val="Nadpis4Ch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rPr>
      <w:rFonts w:ascii="Tahoma" w:hAnsi="Tahoma" w:cs="Tahoma"/>
      <w:sz w:val="16"/>
      <w:szCs w:val="16"/>
    </w:rPr>
  </w:style>
  <w:style w:type="paragraph" w:styleId="Zkladntext">
    <w:name w:val="Body Text"/>
    <w:basedOn w:val="Normlny"/>
    <w:link w:val="ZkladntextChar"/>
    <w:qFormat/>
    <w:pPr>
      <w:suppressAutoHyphens/>
      <w:spacing w:after="120" w:line="100" w:lineRule="atLeast"/>
    </w:pPr>
    <w:rPr>
      <w:lang w:val="cs-CZ" w:eastAsia="ar-SA"/>
    </w:rPr>
  </w:style>
  <w:style w:type="paragraph" w:styleId="Textkomentra">
    <w:name w:val="annotation text"/>
    <w:basedOn w:val="Normlny"/>
    <w:link w:val="TextkomentraChar"/>
    <w:uiPriority w:val="99"/>
    <w:semiHidden/>
    <w:unhideWhenUsed/>
  </w:style>
  <w:style w:type="paragraph" w:styleId="Predmetkomentra">
    <w:name w:val="annotation subject"/>
    <w:basedOn w:val="Textkomentra"/>
    <w:next w:val="Textkomentra"/>
    <w:link w:val="PredmetkomentraChar"/>
    <w:uiPriority w:val="99"/>
    <w:semiHidden/>
    <w:unhideWhenUsed/>
    <w:qFormat/>
    <w:rPr>
      <w:b/>
      <w:bCs/>
    </w:rPr>
  </w:style>
  <w:style w:type="paragraph" w:styleId="Pta">
    <w:name w:val="footer"/>
    <w:basedOn w:val="Normlny"/>
    <w:link w:val="PtaChar"/>
    <w:uiPriority w:val="99"/>
    <w:unhideWhenUsed/>
    <w:qFormat/>
    <w:pPr>
      <w:tabs>
        <w:tab w:val="center" w:pos="4536"/>
        <w:tab w:val="right" w:pos="9072"/>
      </w:tabs>
    </w:pPr>
  </w:style>
  <w:style w:type="paragraph" w:styleId="Textpoznmkypodiarou">
    <w:name w:val="footnote text"/>
    <w:basedOn w:val="Normlny"/>
    <w:link w:val="TextpoznmkypodiarouChar"/>
    <w:uiPriority w:val="99"/>
    <w:semiHidden/>
    <w:unhideWhenUsed/>
    <w:qFormat/>
  </w:style>
  <w:style w:type="paragraph" w:styleId="Hlavika">
    <w:name w:val="header"/>
    <w:basedOn w:val="Normlny"/>
    <w:link w:val="HlavikaChar"/>
    <w:uiPriority w:val="99"/>
    <w:unhideWhenUsed/>
    <w:pPr>
      <w:tabs>
        <w:tab w:val="center" w:pos="4536"/>
        <w:tab w:val="right" w:pos="9072"/>
      </w:tabs>
    </w:pPr>
  </w:style>
  <w:style w:type="paragraph" w:styleId="Normlnywebov">
    <w:name w:val="Normal (Web)"/>
    <w:basedOn w:val="Normlny"/>
    <w:uiPriority w:val="99"/>
    <w:unhideWhenUsed/>
    <w:qFormat/>
    <w:pPr>
      <w:spacing w:before="100" w:beforeAutospacing="1" w:after="100" w:afterAutospacing="1"/>
    </w:pPr>
    <w:rPr>
      <w:rFonts w:ascii="Tempo Esperanto" w:hAnsi="Tempo Esperanto" w:cs="Tempo Esperanto"/>
      <w:sz w:val="24"/>
      <w:szCs w:val="24"/>
    </w:rPr>
  </w:style>
  <w:style w:type="character" w:styleId="Odkaznakomentr">
    <w:name w:val="annotation reference"/>
    <w:basedOn w:val="Predvolenpsmoodseku"/>
    <w:uiPriority w:val="99"/>
    <w:semiHidden/>
    <w:unhideWhenUsed/>
    <w:qFormat/>
    <w:rPr>
      <w:sz w:val="16"/>
      <w:szCs w:val="16"/>
    </w:rPr>
  </w:style>
  <w:style w:type="character" w:styleId="Odkaznapoznmkupodiarou">
    <w:name w:val="footnote reference"/>
    <w:basedOn w:val="Predvolenpsmoodseku"/>
    <w:uiPriority w:val="99"/>
    <w:semiHidden/>
    <w:unhideWhenUsed/>
    <w:qFormat/>
    <w:rPr>
      <w:vertAlign w:val="superscript"/>
    </w:rPr>
  </w:style>
  <w:style w:type="character" w:styleId="Hypertextovprepojenie">
    <w:name w:val="Hyperlink"/>
    <w:basedOn w:val="Predvolenpsmoodseku"/>
    <w:uiPriority w:val="99"/>
    <w:unhideWhenUsed/>
    <w:qFormat/>
    <w:rPr>
      <w:color w:val="0000FF" w:themeColor="hyperlink"/>
      <w:u w:val="single"/>
    </w:rPr>
  </w:style>
  <w:style w:type="table" w:styleId="Mriekatabuky">
    <w:name w:val="Table Grid"/>
    <w:basedOn w:val="Normlnatabuka"/>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extbublinyChar">
    <w:name w:val="Text bubliny Char"/>
    <w:basedOn w:val="Predvolenpsmoodseku"/>
    <w:link w:val="Textbubliny"/>
    <w:uiPriority w:val="99"/>
    <w:semiHidden/>
    <w:qFormat/>
    <w:rPr>
      <w:rFonts w:ascii="Tahoma" w:eastAsia="Times New Roman" w:hAnsi="Tahoma" w:cs="Tahoma"/>
      <w:sz w:val="16"/>
      <w:szCs w:val="16"/>
      <w:lang w:eastAsia="sk-SK"/>
    </w:rPr>
  </w:style>
  <w:style w:type="character" w:customStyle="1" w:styleId="HlavikaChar">
    <w:name w:val="Hlavička Char"/>
    <w:basedOn w:val="Predvolenpsmoodseku"/>
    <w:link w:val="Hlavika"/>
    <w:uiPriority w:val="99"/>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qFormat/>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qFormat/>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qFormat/>
    <w:rPr>
      <w:rFonts w:ascii="Times New Roman" w:eastAsia="Times New Roman" w:hAnsi="Times New Roman" w:cs="Times New Roman"/>
      <w:sz w:val="20"/>
      <w:szCs w:val="20"/>
      <w:lang w:eastAsia="sk-SK"/>
    </w:rPr>
  </w:style>
  <w:style w:type="character" w:customStyle="1" w:styleId="PredmetkomentraChar">
    <w:name w:val="Predmet komentára Char"/>
    <w:basedOn w:val="TextkomentraChar"/>
    <w:link w:val="Predmetkomentra"/>
    <w:uiPriority w:val="99"/>
    <w:semiHidden/>
    <w:qFormat/>
    <w:rPr>
      <w:rFonts w:ascii="Times New Roman" w:eastAsia="Times New Roman" w:hAnsi="Times New Roman" w:cs="Times New Roman"/>
      <w:b/>
      <w:bCs/>
      <w:sz w:val="20"/>
      <w:szCs w:val="20"/>
      <w:lang w:eastAsia="sk-SK"/>
    </w:rPr>
  </w:style>
  <w:style w:type="character" w:customStyle="1" w:styleId="Nadpis2Char">
    <w:name w:val="Nadpis 2 Char"/>
    <w:basedOn w:val="Predvolenpsmoodseku"/>
    <w:link w:val="Nadpis2"/>
    <w:uiPriority w:val="9"/>
    <w:semiHidden/>
    <w:qFormat/>
    <w:rPr>
      <w:rFonts w:asciiTheme="majorHAnsi" w:eastAsiaTheme="majorEastAsia" w:hAnsiTheme="majorHAnsi" w:cstheme="majorBidi"/>
      <w:b/>
      <w:bCs/>
      <w:color w:val="4F81BD" w:themeColor="accent1"/>
      <w:sz w:val="26"/>
      <w:szCs w:val="26"/>
      <w:lang w:eastAsia="sk-SK"/>
    </w:rPr>
  </w:style>
  <w:style w:type="character" w:styleId="Zstupntext">
    <w:name w:val="Placeholder Text"/>
    <w:uiPriority w:val="99"/>
    <w:semiHidden/>
    <w:rPr>
      <w:color w:val="80808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rPr>
  </w:style>
  <w:style w:type="character" w:customStyle="1" w:styleId="Nadpis4Char">
    <w:name w:val="Nadpis 4 Char"/>
    <w:basedOn w:val="Predvolenpsmoodseku"/>
    <w:link w:val="Nadpis4"/>
    <w:uiPriority w:val="9"/>
    <w:qFormat/>
    <w:rPr>
      <w:rFonts w:asciiTheme="majorHAnsi" w:eastAsiaTheme="majorEastAsia" w:hAnsiTheme="majorHAnsi" w:cstheme="majorBidi"/>
      <w:b/>
      <w:bCs/>
      <w:i/>
      <w:iCs/>
      <w:color w:val="4F81BD" w:themeColor="accent1"/>
      <w:sz w:val="20"/>
      <w:szCs w:val="20"/>
      <w:lang w:eastAsia="sk-SK"/>
    </w:rPr>
  </w:style>
  <w:style w:type="character" w:customStyle="1" w:styleId="norm00e1lnychar1">
    <w:name w:val="norm_00e1lny__char1"/>
    <w:rPr>
      <w:rFonts w:ascii="Times New Roman" w:hAnsi="Times New Roman" w:cs="Times New Roman"/>
      <w:sz w:val="20"/>
      <w:szCs w:val="20"/>
      <w:u w:val="none"/>
    </w:rPr>
  </w:style>
  <w:style w:type="character" w:customStyle="1" w:styleId="z00e1kladn00fd0020textchar1">
    <w:name w:val="z_00e1kladn_00fd_0020text__char1"/>
    <w:qFormat/>
    <w:rPr>
      <w:rFonts w:ascii="Times New Roman" w:hAnsi="Times New Roman" w:cs="Times New Roman"/>
      <w:sz w:val="20"/>
      <w:szCs w:val="20"/>
      <w:u w:val="none"/>
    </w:rPr>
  </w:style>
  <w:style w:type="character" w:customStyle="1" w:styleId="ZkladntextChar">
    <w:name w:val="Základný text Char"/>
    <w:basedOn w:val="Predvolenpsmoodseku"/>
    <w:link w:val="Zkladntext"/>
    <w:qFormat/>
    <w:rPr>
      <w:rFonts w:ascii="Times New Roman" w:eastAsia="Times New Roman" w:hAnsi="Times New Roman" w:cs="Times New Roman"/>
      <w:sz w:val="20"/>
      <w:szCs w:val="20"/>
      <w:lang w:val="cs-CZ" w:eastAsia="ar-SA"/>
    </w:rPr>
  </w:style>
  <w:style w:type="paragraph" w:customStyle="1" w:styleId="norm00e1lny">
    <w:name w:val="norm_00e1lny"/>
    <w:basedOn w:val="Normlny"/>
    <w:pPr>
      <w:spacing w:line="200" w:lineRule="atLeast"/>
    </w:pPr>
  </w:style>
  <w:style w:type="paragraph" w:customStyle="1" w:styleId="z00e1kladn00fd0020text">
    <w:name w:val="z_00e1kladn_00fd_0020text"/>
    <w:basedOn w:val="Normlny"/>
    <w:pPr>
      <w:spacing w:after="120" w:line="2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zuzana.gergelova@land.gov.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ref="">
    <f:field ref="objname" par="" edit="true" text="Doložka-vybraných-vplyvov"/>
    <f:field ref="objsubject" par="" edit="true" text=""/>
    <f:field ref="objcreatedby" par="" text="Kozlíková, Barbora, Mgr."/>
    <f:field ref="objcreatedat" par="" text="18.1.2021 13:53:53"/>
    <f:field ref="objchangedby" par="" text="Administrator, System"/>
    <f:field ref="objmodifiedat" par="" text="18.1.2021 13:53:5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60CF604-6860-45FF-8099-3F677AC1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2202</Words>
  <Characters>12552</Characters>
  <Application>Microsoft Office Word</Application>
  <DocSecurity>0</DocSecurity>
  <Lines>104</Lines>
  <Paragraphs>29</Paragraphs>
  <ScaleCrop>false</ScaleCrop>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Kozlíková Barbora</cp:lastModifiedBy>
  <cp:revision>21</cp:revision>
  <cp:lastPrinted>2019-05-23T09:11:00Z</cp:lastPrinted>
  <dcterms:created xsi:type="dcterms:W3CDTF">2021-02-24T18:21:00Z</dcterms:created>
  <dcterms:modified xsi:type="dcterms:W3CDTF">2021-03-16T11:12:00Z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Barbora Kozlíková</vt:lpwstr>
  </property>
  <property fmtid="{D5CDD505-2E9C-101B-9397-08002B2CF9AE}" pid="12" name="FSC#SKEDITIONSLOVLEX@103.510:zodppredkladatel">
    <vt:lpwstr>Ing. Ján Mičovský</vt:lpwstr>
  </property>
  <property fmtid="{D5CDD505-2E9C-101B-9397-08002B2CF9AE}" pid="13" name="FSC#SKEDITIONSLOVLEX@103.510:dalsipredkladatel">
    <vt:lpwstr/>
  </property>
  <property fmtid="{D5CDD505-2E9C-101B-9397-08002B2CF9AE}" pid="14" name="FSC#SKEDITIONSLOVLEX@103.510:nazovpredpis">
    <vt:lpwstr>,ktorým sa mení a dopĺňa nariadenie vlády Slovenskej republiky č. 75/2015 Z. z., ktorým sa ustanovujú pravidlá poskytovania podpory v súvislosti s opatreniami programu rozvoja vidieka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republiky,ktorým sa mení a dopĺňa nariadenie vlády Slovenskej republiky č. 75/2015 Z. z., ktorým sa ustanovujú pravidlá poskytovania podpory v súvislosti s opatreniami programu rozvoja vidieka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6756/2021-410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LP/2021/13</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Slovenskej republiky</vt:lpwstr>
  </property>
  <property fmtid="{D5CDD505-2E9C-101B-9397-08002B2CF9AE}" pid="142" name="FSC#SKEDITIONSLOVLEX@103.510:funkciaZodpPredAkuzativ">
    <vt:lpwstr>ministra pôdohospodárstva Slovenskej republiky</vt:lpwstr>
  </property>
  <property fmtid="{D5CDD505-2E9C-101B-9397-08002B2CF9AE}" pid="143" name="FSC#SKEDITIONSLOVLEX@103.510:funkciaZodpPredDativ">
    <vt:lpwstr>ministrovi pôdohospodárstva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Ján Mičovský_x000d_
minister pôdohospodárstva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align="center"&gt;&lt;strong&gt;Predkladacia správa&lt;/strong&gt;&lt;/p&gt;&lt;p style="text-align: justify;"&gt;Ministerstvo pôdohospodárstva a&amp;nbsp;rozvoja vidieka Slovenskej republiky predkladá návrh nariadenia vlády Slovenskej republiky, ktorým sa mení a dopĺňa nariadenie v</vt:lpwstr>
  </property>
  <property fmtid="{D5CDD505-2E9C-101B-9397-08002B2CF9AE}" pid="150" name="FSC#SKEDITIONSLOVLEX@103.510:vytvorenedna">
    <vt:lpwstr>18. 1. 2021</vt:lpwstr>
  </property>
  <property fmtid="{D5CDD505-2E9C-101B-9397-08002B2CF9AE}" pid="151" name="FSC#COOSYSTEM@1.1:Container">
    <vt:lpwstr>COO.2145.1000.3.4212984</vt:lpwstr>
  </property>
  <property fmtid="{D5CDD505-2E9C-101B-9397-08002B2CF9AE}" pid="152" name="FSC#FSCFOLIO@1.1001:docpropproject">
    <vt:lpwstr/>
  </property>
  <property fmtid="{D5CDD505-2E9C-101B-9397-08002B2CF9AE}" pid="153" name="KSOProductBuildVer">
    <vt:lpwstr>1033-10.2.0.7636</vt:lpwstr>
  </property>
</Properties>
</file>