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49789D" w:rsidRDefault="00B326AA">
      <w:pPr>
        <w:jc w:val="center"/>
        <w:rPr>
          <w:b/>
          <w:caps/>
          <w:spacing w:val="30"/>
        </w:rPr>
      </w:pPr>
      <w:bookmarkStart w:id="0" w:name="_GoBack"/>
      <w:bookmarkEnd w:id="0"/>
      <w:r w:rsidRPr="0049789D">
        <w:rPr>
          <w:b/>
          <w:caps/>
          <w:spacing w:val="30"/>
        </w:rPr>
        <w:t>Doložka zlučiteľnosti</w:t>
      </w:r>
    </w:p>
    <w:p w14:paraId="2C297D24" w14:textId="08F0B9C5" w:rsidR="001F0AA3" w:rsidRPr="0049789D" w:rsidRDefault="00C12975" w:rsidP="00DC377E">
      <w:pPr>
        <w:jc w:val="center"/>
        <w:rPr>
          <w:b/>
        </w:rPr>
      </w:pPr>
      <w:r w:rsidRPr="0049789D">
        <w:rPr>
          <w:b/>
        </w:rPr>
        <w:t xml:space="preserve">návrhu </w:t>
      </w:r>
      <w:r w:rsidR="00B326AA" w:rsidRPr="0049789D">
        <w:rPr>
          <w:b/>
        </w:rPr>
        <w:t>právneho p</w:t>
      </w:r>
      <w:r w:rsidR="00DC377E" w:rsidRPr="0049789D">
        <w:rPr>
          <w:b/>
        </w:rPr>
        <w:t>redpisu s právom Európskej únie</w:t>
      </w:r>
    </w:p>
    <w:p w14:paraId="2B3DB268" w14:textId="77777777" w:rsidR="00DC377E" w:rsidRPr="0049789D" w:rsidRDefault="00DC377E" w:rsidP="00DC377E">
      <w:pPr>
        <w:jc w:val="center"/>
        <w:rPr>
          <w:b/>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49789D" w14:paraId="7D08EBC2" w14:textId="77777777" w:rsidTr="006F3E6F">
        <w:tc>
          <w:tcPr>
            <w:tcW w:w="404" w:type="dxa"/>
          </w:tcPr>
          <w:p w14:paraId="0EA9DA60" w14:textId="7E364101" w:rsidR="001F0AA3" w:rsidRPr="0049789D" w:rsidRDefault="001F0AA3" w:rsidP="001F0AA3">
            <w:pPr>
              <w:tabs>
                <w:tab w:val="left" w:pos="360"/>
              </w:tabs>
              <w:rPr>
                <w:b/>
              </w:rPr>
            </w:pPr>
            <w:r w:rsidRPr="0049789D">
              <w:rPr>
                <w:b/>
              </w:rPr>
              <w:t>1.</w:t>
            </w:r>
          </w:p>
        </w:tc>
        <w:tc>
          <w:tcPr>
            <w:tcW w:w="9627" w:type="dxa"/>
          </w:tcPr>
          <w:p w14:paraId="09EDA613" w14:textId="046E36C8" w:rsidR="001F0AA3" w:rsidRPr="0049789D" w:rsidRDefault="001F0AA3" w:rsidP="001F0AA3">
            <w:pPr>
              <w:tabs>
                <w:tab w:val="left" w:pos="360"/>
              </w:tabs>
            </w:pPr>
            <w:r w:rsidRPr="0049789D">
              <w:rPr>
                <w:b/>
              </w:rPr>
              <w:t xml:space="preserve">Predkladateľ </w:t>
            </w:r>
            <w:r w:rsidR="00C12975" w:rsidRPr="0049789D">
              <w:rPr>
                <w:b/>
              </w:rPr>
              <w:t xml:space="preserve">návrhu </w:t>
            </w:r>
            <w:r w:rsidRPr="0049789D">
              <w:rPr>
                <w:b/>
              </w:rPr>
              <w:t>právneho predpisu:</w:t>
            </w:r>
            <w:r w:rsidR="00632C56" w:rsidRPr="0049789D">
              <w:t xml:space="preserve"> </w:t>
            </w:r>
            <w:r w:rsidR="00A616A0">
              <w:fldChar w:fldCharType="begin"/>
            </w:r>
            <w:r w:rsidR="00A616A0">
              <w:instrText xml:space="preserve"> DOCPROPERTY  FSC#SKEDITIONSLOVLEX@103.510:zodpinstitucia  \* MERGEFORMAT </w:instrText>
            </w:r>
            <w:r w:rsidR="00A616A0">
              <w:fldChar w:fldCharType="separate"/>
            </w:r>
            <w:r w:rsidR="001F1A65" w:rsidRPr="0049789D">
              <w:t>Ministerstvo kultúry Slovenskej republiky</w:t>
            </w:r>
            <w:r w:rsidR="00A616A0">
              <w:fldChar w:fldCharType="end"/>
            </w:r>
          </w:p>
        </w:tc>
      </w:tr>
      <w:tr w:rsidR="001F0AA3" w:rsidRPr="0049789D" w14:paraId="375BA047" w14:textId="77777777" w:rsidTr="006F3E6F">
        <w:tc>
          <w:tcPr>
            <w:tcW w:w="404" w:type="dxa"/>
          </w:tcPr>
          <w:p w14:paraId="5A496EE8" w14:textId="77777777" w:rsidR="001F0AA3" w:rsidRPr="0049789D" w:rsidRDefault="001F0AA3" w:rsidP="001F0AA3">
            <w:pPr>
              <w:tabs>
                <w:tab w:val="left" w:pos="360"/>
              </w:tabs>
            </w:pPr>
          </w:p>
        </w:tc>
        <w:tc>
          <w:tcPr>
            <w:tcW w:w="9627" w:type="dxa"/>
          </w:tcPr>
          <w:p w14:paraId="3916B647" w14:textId="04E81E64" w:rsidR="006E1D9C" w:rsidRPr="0049789D" w:rsidRDefault="006E1D9C" w:rsidP="00632C56">
            <w:pPr>
              <w:tabs>
                <w:tab w:val="left" w:pos="360"/>
              </w:tabs>
            </w:pPr>
          </w:p>
        </w:tc>
      </w:tr>
      <w:tr w:rsidR="001F0AA3" w:rsidRPr="0049789D" w14:paraId="3DF0B4FC" w14:textId="77777777" w:rsidTr="006F3E6F">
        <w:tc>
          <w:tcPr>
            <w:tcW w:w="404" w:type="dxa"/>
          </w:tcPr>
          <w:p w14:paraId="51209F81" w14:textId="0D91764A" w:rsidR="001F0AA3" w:rsidRPr="0049789D" w:rsidRDefault="001F0AA3" w:rsidP="001F0AA3">
            <w:pPr>
              <w:tabs>
                <w:tab w:val="left" w:pos="360"/>
              </w:tabs>
              <w:rPr>
                <w:b/>
              </w:rPr>
            </w:pPr>
            <w:r w:rsidRPr="0049789D">
              <w:rPr>
                <w:b/>
              </w:rPr>
              <w:t>2.</w:t>
            </w:r>
          </w:p>
        </w:tc>
        <w:tc>
          <w:tcPr>
            <w:tcW w:w="9627" w:type="dxa"/>
          </w:tcPr>
          <w:p w14:paraId="278F4256" w14:textId="24565391" w:rsidR="001F0AA3" w:rsidRPr="0049789D" w:rsidRDefault="001F0AA3" w:rsidP="00D059DD">
            <w:pPr>
              <w:jc w:val="both"/>
            </w:pPr>
            <w:r w:rsidRPr="0049789D">
              <w:rPr>
                <w:b/>
              </w:rPr>
              <w:t>Názov návrhu právneho predpisu:</w:t>
            </w:r>
            <w:r w:rsidR="00140861" w:rsidRPr="0049789D">
              <w:rPr>
                <w:b/>
              </w:rPr>
              <w:t xml:space="preserve"> </w:t>
            </w:r>
            <w:r w:rsidR="00390495" w:rsidRPr="00390495">
              <w:t xml:space="preserve">Návrh </w:t>
            </w:r>
            <w:r w:rsidR="00390495">
              <w:t>zákona</w:t>
            </w:r>
            <w:r w:rsidR="00390495" w:rsidRPr="00390495">
              <w:t>, ktorým sa mení a dopĺňa zákon č. 207/2009 Z. z. o podmienkach vývozu a dovozu predmetu kultúrnej hodnoty a o doplnení zákona č. 652/2004 Z. z. o orgánoch štátnej správy v colníctve a o zmene a doplnení niektorých zákonov v znení neskorších predpisov v znení neskorších predpisov a ktorým sa dopĺňa zákon č. 199/2004 Z. z. Colný zákon a o zmene a doplnení niektorých zákonov v znení neskorších predpisov</w:t>
            </w:r>
            <w:r w:rsidR="00DB3DB1" w:rsidRPr="0049789D">
              <w:fldChar w:fldCharType="begin"/>
            </w:r>
            <w:r w:rsidR="00DB3DB1" w:rsidRPr="0049789D">
              <w:instrText xml:space="preserve"> DOCPROPERTY  FSC#SKEDITIONSLOVLEX@103.510:plnynazovpredpis1  \* MERGEFORMAT </w:instrText>
            </w:r>
            <w:r w:rsidR="00DB3DB1" w:rsidRPr="0049789D">
              <w:fldChar w:fldCharType="end"/>
            </w:r>
            <w:r w:rsidR="00DB3DB1" w:rsidRPr="0049789D">
              <w:fldChar w:fldCharType="begin"/>
            </w:r>
            <w:r w:rsidR="00DB3DB1" w:rsidRPr="0049789D">
              <w:instrText xml:space="preserve"> DOCPROPERTY  FSC#SKEDITIONSLOVLEX@103.510:plnynazovpredpis2  \* MERGEFORMAT </w:instrText>
            </w:r>
            <w:r w:rsidR="00DB3DB1" w:rsidRPr="0049789D">
              <w:fldChar w:fldCharType="end"/>
            </w:r>
            <w:r w:rsidR="00DB3DB1" w:rsidRPr="0049789D">
              <w:fldChar w:fldCharType="begin"/>
            </w:r>
            <w:r w:rsidR="00DB3DB1" w:rsidRPr="0049789D">
              <w:instrText xml:space="preserve"> DOCPROPERTY  FSC#SKEDITIONSLOVLEX@103.510:plnynazovpredpis3  \* MERGEFORMAT </w:instrText>
            </w:r>
            <w:r w:rsidR="00DB3DB1" w:rsidRPr="0049789D">
              <w:fldChar w:fldCharType="end"/>
            </w:r>
          </w:p>
        </w:tc>
      </w:tr>
      <w:tr w:rsidR="001F0AA3" w:rsidRPr="0049789D" w14:paraId="370BAB83" w14:textId="77777777" w:rsidTr="006F3E6F">
        <w:tc>
          <w:tcPr>
            <w:tcW w:w="404" w:type="dxa"/>
          </w:tcPr>
          <w:p w14:paraId="565BF5EC" w14:textId="77777777" w:rsidR="001F0AA3" w:rsidRPr="0049789D" w:rsidRDefault="001F0AA3" w:rsidP="001F0AA3">
            <w:pPr>
              <w:tabs>
                <w:tab w:val="left" w:pos="360"/>
              </w:tabs>
            </w:pPr>
          </w:p>
        </w:tc>
        <w:tc>
          <w:tcPr>
            <w:tcW w:w="9627" w:type="dxa"/>
          </w:tcPr>
          <w:p w14:paraId="20DF7156" w14:textId="3173AA6D" w:rsidR="006E1D9C" w:rsidRPr="0049789D" w:rsidRDefault="006E1D9C" w:rsidP="001F0AA3">
            <w:pPr>
              <w:tabs>
                <w:tab w:val="left" w:pos="360"/>
              </w:tabs>
            </w:pPr>
          </w:p>
        </w:tc>
      </w:tr>
      <w:tr w:rsidR="001F0AA3" w:rsidRPr="0049789D" w14:paraId="040B7E4C" w14:textId="77777777" w:rsidTr="006F3E6F">
        <w:tc>
          <w:tcPr>
            <w:tcW w:w="404" w:type="dxa"/>
          </w:tcPr>
          <w:p w14:paraId="55BF8E11" w14:textId="2073A5BB" w:rsidR="001F0AA3" w:rsidRPr="0049789D" w:rsidRDefault="001F0AA3" w:rsidP="001F0AA3">
            <w:pPr>
              <w:tabs>
                <w:tab w:val="left" w:pos="360"/>
              </w:tabs>
              <w:rPr>
                <w:b/>
              </w:rPr>
            </w:pPr>
            <w:r w:rsidRPr="0049789D">
              <w:rPr>
                <w:b/>
              </w:rPr>
              <w:t>3.</w:t>
            </w:r>
          </w:p>
        </w:tc>
        <w:tc>
          <w:tcPr>
            <w:tcW w:w="9627" w:type="dxa"/>
          </w:tcPr>
          <w:p w14:paraId="68F7C348" w14:textId="5EF282EE" w:rsidR="003841E0" w:rsidRPr="0049789D" w:rsidRDefault="001F0AA3" w:rsidP="00E63849">
            <w:pPr>
              <w:tabs>
                <w:tab w:val="left" w:pos="360"/>
              </w:tabs>
            </w:pPr>
            <w:r w:rsidRPr="0049789D">
              <w:rPr>
                <w:b/>
              </w:rPr>
              <w:t>Pr</w:t>
            </w:r>
            <w:r w:rsidR="00E63849" w:rsidRPr="0049789D">
              <w:rPr>
                <w:b/>
              </w:rPr>
              <w:t>edmet</w:t>
            </w:r>
            <w:r w:rsidRPr="0049789D">
              <w:rPr>
                <w:b/>
              </w:rPr>
              <w:t xml:space="preserve"> návrhu právneho predpisu</w:t>
            </w:r>
            <w:r w:rsidR="00E63849" w:rsidRPr="0049789D">
              <w:rPr>
                <w:b/>
              </w:rPr>
              <w:t xml:space="preserve"> je upravený v práve Európskej únie:</w:t>
            </w:r>
          </w:p>
        </w:tc>
      </w:tr>
      <w:tr w:rsidR="001F0AA3" w:rsidRPr="0049789D" w14:paraId="7735561D" w14:textId="77777777" w:rsidTr="006F3E6F">
        <w:tc>
          <w:tcPr>
            <w:tcW w:w="404" w:type="dxa"/>
          </w:tcPr>
          <w:p w14:paraId="47F8D49E" w14:textId="77777777" w:rsidR="001F0AA3" w:rsidRPr="0049789D" w:rsidRDefault="001F0AA3" w:rsidP="001F0AA3">
            <w:pPr>
              <w:tabs>
                <w:tab w:val="left" w:pos="360"/>
              </w:tabs>
            </w:pPr>
          </w:p>
        </w:tc>
        <w:tc>
          <w:tcPr>
            <w:tcW w:w="9627" w:type="dxa"/>
          </w:tcPr>
          <w:p w14:paraId="73485847" w14:textId="6AAEDB4B" w:rsidR="008570D4" w:rsidRPr="0049789D" w:rsidRDefault="00E922FE" w:rsidP="00E63849">
            <w:pPr>
              <w:tabs>
                <w:tab w:val="left" w:pos="360"/>
              </w:tabs>
            </w:pPr>
            <w:r w:rsidRPr="0049789D">
              <w:t>je upravený v práve Európskej únie</w:t>
            </w:r>
          </w:p>
          <w:p w14:paraId="5814C54D" w14:textId="0BCFF3AF" w:rsidR="00E63849" w:rsidRPr="0049789D" w:rsidRDefault="00E922FE" w:rsidP="00E63849">
            <w:pPr>
              <w:divId w:val="1949118055"/>
            </w:pPr>
            <w:r w:rsidRPr="0049789D">
              <w:br/>
            </w:r>
            <w:r w:rsidR="00E63849" w:rsidRPr="0049789D">
              <w:rPr>
                <w:i/>
                <w:iCs/>
              </w:rPr>
              <w:t>a) v</w:t>
            </w:r>
            <w:r w:rsidRPr="0049789D">
              <w:rPr>
                <w:i/>
                <w:iCs/>
              </w:rPr>
              <w:t xml:space="preserve"> primárnom </w:t>
            </w:r>
            <w:r w:rsidR="00E63849" w:rsidRPr="0049789D">
              <w:rPr>
                <w:i/>
                <w:iCs/>
              </w:rPr>
              <w:t>práve</w:t>
            </w:r>
            <w:r w:rsidR="00C011BC" w:rsidRPr="0049789D">
              <w:rPr>
                <w:i/>
                <w:iCs/>
              </w:rPr>
              <w:t>:</w:t>
            </w:r>
          </w:p>
          <w:p w14:paraId="394454C0" w14:textId="04F6C623" w:rsidR="00054456" w:rsidRPr="0049789D" w:rsidRDefault="00E63849" w:rsidP="00E63849">
            <w:r w:rsidRPr="0049789D">
              <w:t xml:space="preserve"> Čl. 36 Zmluvy o fungovaní Európskej únie (konsolidované znenie) (Ú. v. EÚ C 326, 26. 10. 2012)</w:t>
            </w:r>
            <w:r w:rsidR="002A4678" w:rsidRPr="0049789D">
              <w:br/>
            </w:r>
          </w:p>
          <w:p w14:paraId="0B751FB1" w14:textId="43C44A14" w:rsidR="000E37ED" w:rsidRPr="0049789D" w:rsidRDefault="00E63849">
            <w:pPr>
              <w:spacing w:after="250"/>
              <w:divId w:val="1322386284"/>
              <w:rPr>
                <w:i/>
                <w:iCs/>
              </w:rPr>
            </w:pPr>
            <w:r w:rsidRPr="0049789D">
              <w:rPr>
                <w:i/>
                <w:iCs/>
              </w:rPr>
              <w:t xml:space="preserve">b) v </w:t>
            </w:r>
            <w:r w:rsidR="00E922FE" w:rsidRPr="0049789D">
              <w:rPr>
                <w:i/>
                <w:iCs/>
              </w:rPr>
              <w:t xml:space="preserve">sekundárnom </w:t>
            </w:r>
            <w:r w:rsidRPr="0049789D">
              <w:rPr>
                <w:i/>
                <w:iCs/>
              </w:rPr>
              <w:t>pr</w:t>
            </w:r>
            <w:r w:rsidR="00C011BC" w:rsidRPr="0049789D">
              <w:rPr>
                <w:i/>
                <w:iCs/>
              </w:rPr>
              <w:t>á</w:t>
            </w:r>
            <w:r w:rsidRPr="0049789D">
              <w:rPr>
                <w:i/>
                <w:iCs/>
              </w:rPr>
              <w:t>ve</w:t>
            </w:r>
            <w:r w:rsidR="00C011BC" w:rsidRPr="0049789D">
              <w:rPr>
                <w:i/>
                <w:iCs/>
              </w:rPr>
              <w:t>:</w:t>
            </w:r>
          </w:p>
          <w:p w14:paraId="18C6071A" w14:textId="78690DA2" w:rsidR="00140861" w:rsidRPr="0049789D" w:rsidRDefault="00140861" w:rsidP="00C51C5D">
            <w:pPr>
              <w:pStyle w:val="Default"/>
              <w:jc w:val="both"/>
              <w:divId w:val="1322386284"/>
            </w:pPr>
            <w:r w:rsidRPr="0049789D">
              <w:t>Nariadenie E</w:t>
            </w:r>
            <w:r w:rsidR="00390495">
              <w:t xml:space="preserve">urópskeho parlamentu a Rady (EÚ) </w:t>
            </w:r>
            <w:r w:rsidRPr="0049789D">
              <w:t>2019</w:t>
            </w:r>
            <w:r w:rsidR="00390495">
              <w:t>/880</w:t>
            </w:r>
            <w:r w:rsidR="000E37ED" w:rsidRPr="0049789D">
              <w:t xml:space="preserve"> </w:t>
            </w:r>
            <w:r w:rsidR="000E37ED" w:rsidRPr="0049789D">
              <w:rPr>
                <w:bCs/>
              </w:rPr>
              <w:t xml:space="preserve">zo 17. apríla 2019 o vstupe a dovoze tovaru kultúrnej hodnoty </w:t>
            </w:r>
            <w:r w:rsidR="00390495">
              <w:t xml:space="preserve"> (Ú. v. EÚ L 151</w:t>
            </w:r>
            <w:r w:rsidR="00E63849" w:rsidRPr="0049789D">
              <w:t>, 7.6. 2019)</w:t>
            </w:r>
          </w:p>
          <w:p w14:paraId="3EFE7D26" w14:textId="141BC9A3" w:rsidR="00E63849" w:rsidRPr="0049789D" w:rsidRDefault="00E63849" w:rsidP="00C51C5D">
            <w:pPr>
              <w:pStyle w:val="Default"/>
              <w:jc w:val="both"/>
              <w:divId w:val="1322386284"/>
            </w:pPr>
            <w:r w:rsidRPr="0049789D">
              <w:t>Gestor: MK SR, MV SR</w:t>
            </w:r>
          </w:p>
          <w:p w14:paraId="662DBE39" w14:textId="77777777" w:rsidR="00E63849" w:rsidRPr="0049789D" w:rsidRDefault="00E63849" w:rsidP="00C51C5D">
            <w:pPr>
              <w:pStyle w:val="Default"/>
              <w:jc w:val="both"/>
            </w:pPr>
          </w:p>
          <w:p w14:paraId="03E7805B" w14:textId="54AEEEFA" w:rsidR="00E63849" w:rsidRPr="0049789D" w:rsidRDefault="00E63849" w:rsidP="00C51C5D">
            <w:pPr>
              <w:pStyle w:val="Default"/>
              <w:jc w:val="both"/>
            </w:pPr>
            <w:r w:rsidRPr="0049789D">
              <w:t xml:space="preserve">Smernica Európskeho parlamentu a Rady 2014/60/EU z 15. mája 2014 o navrátení predmetov kultúrnej hodnoty nezákonne vyvezených z územia členského štátu a o zmene nariadenia (EÚ) č. 1024/2012 (prepracované znenie) (Ú. v. EÚ L 159, 28.5. 2014) </w:t>
            </w:r>
          </w:p>
          <w:p w14:paraId="407CB33F" w14:textId="6333C8E5" w:rsidR="00E63849" w:rsidRPr="0049789D" w:rsidRDefault="00E63849" w:rsidP="00C51C5D">
            <w:pPr>
              <w:tabs>
                <w:tab w:val="left" w:pos="360"/>
              </w:tabs>
              <w:jc w:val="both"/>
            </w:pPr>
            <w:r w:rsidRPr="0049789D">
              <w:t>Gestor: MK SR, MV SR</w:t>
            </w:r>
          </w:p>
          <w:p w14:paraId="5612DB57" w14:textId="77777777" w:rsidR="00E63849" w:rsidRPr="0049789D" w:rsidRDefault="00E63849" w:rsidP="00C51C5D">
            <w:pPr>
              <w:tabs>
                <w:tab w:val="left" w:pos="360"/>
              </w:tabs>
              <w:jc w:val="both"/>
            </w:pPr>
          </w:p>
          <w:p w14:paraId="2C756F60" w14:textId="693DE961" w:rsidR="00E63849" w:rsidRPr="0049789D" w:rsidRDefault="00E63849" w:rsidP="00C51C5D">
            <w:pPr>
              <w:tabs>
                <w:tab w:val="left" w:pos="360"/>
              </w:tabs>
              <w:jc w:val="both"/>
              <w:rPr>
                <w:i/>
                <w:iCs/>
              </w:rPr>
            </w:pPr>
            <w:r w:rsidRPr="0049789D">
              <w:t>Vykonávacie nariadenie Komisie (EÚ) č. 1081/2012 z 9. novembra 2012 k nariadeniu Rady (ES) č. 116/2009 o vývoze tovaru kultúrneho charakteru (kodifikované znenie) (Ú. v. EÚ L 324, 22.11. 2012)</w:t>
            </w:r>
          </w:p>
          <w:p w14:paraId="33610CE9" w14:textId="76FBD50B" w:rsidR="00E63849" w:rsidRPr="0049789D" w:rsidRDefault="00E63849" w:rsidP="00C51C5D">
            <w:pPr>
              <w:tabs>
                <w:tab w:val="left" w:pos="360"/>
              </w:tabs>
              <w:jc w:val="both"/>
              <w:rPr>
                <w:i/>
                <w:iCs/>
              </w:rPr>
            </w:pPr>
            <w:r w:rsidRPr="0049789D">
              <w:t>Gestor: MK SR, MV SR</w:t>
            </w:r>
          </w:p>
          <w:p w14:paraId="37D0342E" w14:textId="77777777" w:rsidR="00E63849" w:rsidRPr="0049789D" w:rsidRDefault="00E63849" w:rsidP="00C51C5D">
            <w:pPr>
              <w:pStyle w:val="Default"/>
              <w:jc w:val="both"/>
            </w:pPr>
          </w:p>
          <w:p w14:paraId="1AA9028B" w14:textId="103EC270" w:rsidR="00E63849" w:rsidRPr="0049789D" w:rsidRDefault="00E63849" w:rsidP="00C51C5D">
            <w:pPr>
              <w:pStyle w:val="Default"/>
              <w:jc w:val="both"/>
            </w:pPr>
            <w:r w:rsidRPr="0049789D">
              <w:t>Nariadenie Európskeho parlamentu a Rady (EÚ) č. 1024/2012 z 25. októbra 2012 o administratívnej spolupráci prostredníctvom informačného systému o vnútornom trhu a o zrušení rozhodnutia Komisie 2008/49/ES ( „nariadenie o IMI“ ) (Ú. v. EÚ L 316, 14.11.2012)</w:t>
            </w:r>
            <w:r w:rsidR="00390495">
              <w:t xml:space="preserve"> v platnom znení</w:t>
            </w:r>
            <w:r w:rsidRPr="0049789D">
              <w:t xml:space="preserve"> </w:t>
            </w:r>
          </w:p>
          <w:p w14:paraId="3628F405" w14:textId="60D34797" w:rsidR="00E63849" w:rsidRPr="0049789D" w:rsidRDefault="00E63849" w:rsidP="00C51C5D">
            <w:pPr>
              <w:tabs>
                <w:tab w:val="left" w:pos="360"/>
              </w:tabs>
              <w:jc w:val="both"/>
            </w:pPr>
            <w:r w:rsidRPr="0049789D">
              <w:t>Gestor: MH SR, MŠVVŠ SR, MZ SR, MV SR, ÚV SR</w:t>
            </w:r>
          </w:p>
          <w:p w14:paraId="496E8CAC" w14:textId="77777777" w:rsidR="00E63849" w:rsidRPr="0049789D" w:rsidRDefault="00E63849" w:rsidP="00C51C5D">
            <w:pPr>
              <w:tabs>
                <w:tab w:val="left" w:pos="360"/>
              </w:tabs>
              <w:jc w:val="both"/>
            </w:pPr>
          </w:p>
          <w:p w14:paraId="27494AEA" w14:textId="06937BED" w:rsidR="00E63849" w:rsidRPr="0049789D" w:rsidRDefault="00E63849" w:rsidP="00C51C5D">
            <w:pPr>
              <w:pStyle w:val="Default"/>
              <w:jc w:val="both"/>
            </w:pPr>
            <w:r w:rsidRPr="0049789D">
              <w:t>Nariadenie Rady (ES) č. 116/2009 z 18. decembra 2008 o vývoze tovaru kultúrneho charakteru (kodi</w:t>
            </w:r>
            <w:r w:rsidR="00390495">
              <w:t>fikované znenie) (Ú. v. EÚ L 39, 10. 2</w:t>
            </w:r>
            <w:r w:rsidRPr="0049789D">
              <w:t xml:space="preserve">. 2009) </w:t>
            </w:r>
          </w:p>
          <w:p w14:paraId="311772A9" w14:textId="41CBC86D" w:rsidR="00E63849" w:rsidRPr="0049789D" w:rsidRDefault="00E63849" w:rsidP="00C51C5D">
            <w:pPr>
              <w:tabs>
                <w:tab w:val="left" w:pos="360"/>
              </w:tabs>
              <w:jc w:val="both"/>
            </w:pPr>
            <w:r w:rsidRPr="0049789D">
              <w:t>Gestor: MK SR, MV SR</w:t>
            </w:r>
          </w:p>
          <w:p w14:paraId="1DC130B5" w14:textId="77777777" w:rsidR="00E63849" w:rsidRPr="0049789D" w:rsidRDefault="00E63849" w:rsidP="00E63849">
            <w:pPr>
              <w:tabs>
                <w:tab w:val="left" w:pos="360"/>
              </w:tabs>
              <w:rPr>
                <w:i/>
                <w:iCs/>
              </w:rPr>
            </w:pPr>
          </w:p>
          <w:p w14:paraId="20F46682" w14:textId="68BFCB85" w:rsidR="0023485C" w:rsidRPr="0049789D" w:rsidRDefault="00E922FE" w:rsidP="000E37ED">
            <w:pPr>
              <w:tabs>
                <w:tab w:val="left" w:pos="360"/>
              </w:tabs>
              <w:rPr>
                <w:i/>
                <w:iCs/>
              </w:rPr>
            </w:pPr>
            <w:r w:rsidRPr="0049789D">
              <w:rPr>
                <w:i/>
                <w:iCs/>
              </w:rPr>
              <w:t>- v judikatúre Súdneho dvora Európskej únie</w:t>
            </w:r>
          </w:p>
          <w:p w14:paraId="48F1143D" w14:textId="77777777" w:rsidR="00C51C5D" w:rsidRPr="0049789D" w:rsidRDefault="00C51C5D" w:rsidP="000E37ED">
            <w:pPr>
              <w:tabs>
                <w:tab w:val="left" w:pos="360"/>
              </w:tabs>
              <w:rPr>
                <w:i/>
                <w:iCs/>
              </w:rPr>
            </w:pPr>
          </w:p>
          <w:p w14:paraId="47C8A381" w14:textId="1F020AD3" w:rsidR="0023485C" w:rsidRPr="0049789D" w:rsidRDefault="00580A30" w:rsidP="00C51C5D">
            <w:pPr>
              <w:jc w:val="both"/>
            </w:pPr>
            <w:r w:rsidRPr="0049789D">
              <w:t xml:space="preserve">V zmysle vymedzenia Súdnym dvorom vo svojom rozsudku vo veci 252/84: „Zberateľské </w:t>
            </w:r>
            <w:r w:rsidRPr="0049789D">
              <w:lastRenderedPageBreak/>
              <w:t>predmety v zmysle položky č. 9705 Spoločného colného sadzobníka sú predmety, ktoré majú požadované vlastnosti na zaradenie do zbierky, to znamená predmety, ktoré sú pomerne vzácne, obvykle sa nepoužívajú na svoj pôvodný účel, sú predmetom osobitných transakcií mimo bežného trhu s podobnými úžitkovými predmetmi a majú vysokú hodnotu.“</w:t>
            </w:r>
          </w:p>
        </w:tc>
      </w:tr>
      <w:tr w:rsidR="001F0AA3" w:rsidRPr="0049789D" w14:paraId="343951D4" w14:textId="77777777" w:rsidTr="006F3E6F">
        <w:tc>
          <w:tcPr>
            <w:tcW w:w="404" w:type="dxa"/>
          </w:tcPr>
          <w:p w14:paraId="7289BFF9" w14:textId="77777777" w:rsidR="001F0AA3" w:rsidRPr="0049789D" w:rsidRDefault="001F0AA3" w:rsidP="001F0AA3">
            <w:pPr>
              <w:tabs>
                <w:tab w:val="left" w:pos="360"/>
              </w:tabs>
            </w:pPr>
          </w:p>
        </w:tc>
        <w:tc>
          <w:tcPr>
            <w:tcW w:w="9627" w:type="dxa"/>
          </w:tcPr>
          <w:p w14:paraId="10E820A7" w14:textId="4FDD2FE5" w:rsidR="000E37ED" w:rsidRPr="0049789D" w:rsidRDefault="000E37ED" w:rsidP="000E37ED">
            <w:pPr>
              <w:tabs>
                <w:tab w:val="left" w:pos="360"/>
              </w:tabs>
            </w:pPr>
          </w:p>
        </w:tc>
      </w:tr>
      <w:tr w:rsidR="001F0AA3" w:rsidRPr="0049789D" w14:paraId="45CE67F2" w14:textId="77777777" w:rsidTr="006F3E6F">
        <w:tc>
          <w:tcPr>
            <w:tcW w:w="404" w:type="dxa"/>
          </w:tcPr>
          <w:p w14:paraId="1604FD79" w14:textId="23987BD1" w:rsidR="001F0AA3" w:rsidRPr="0049789D" w:rsidRDefault="001F0AA3" w:rsidP="001F0AA3">
            <w:pPr>
              <w:tabs>
                <w:tab w:val="left" w:pos="360"/>
              </w:tabs>
              <w:rPr>
                <w:b/>
              </w:rPr>
            </w:pPr>
          </w:p>
        </w:tc>
        <w:tc>
          <w:tcPr>
            <w:tcW w:w="9627" w:type="dxa"/>
          </w:tcPr>
          <w:p w14:paraId="44211FD1" w14:textId="66E0524F" w:rsidR="006E1D9C" w:rsidRPr="0049789D" w:rsidRDefault="006E1D9C" w:rsidP="0023485C">
            <w:pPr>
              <w:tabs>
                <w:tab w:val="left" w:pos="360"/>
              </w:tabs>
            </w:pPr>
          </w:p>
        </w:tc>
      </w:tr>
    </w:tbl>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E922FE" w:rsidRPr="0049789D" w14:paraId="512E80FA" w14:textId="77777777">
        <w:trPr>
          <w:divId w:val="749884584"/>
          <w:jc w:val="center"/>
        </w:trPr>
        <w:tc>
          <w:tcPr>
            <w:tcW w:w="250" w:type="pct"/>
            <w:tcBorders>
              <w:top w:val="nil"/>
              <w:left w:val="nil"/>
              <w:bottom w:val="nil"/>
              <w:right w:val="nil"/>
            </w:tcBorders>
            <w:hideMark/>
          </w:tcPr>
          <w:p w14:paraId="234C9AED" w14:textId="77777777" w:rsidR="00E922FE" w:rsidRPr="0049789D" w:rsidRDefault="00E922FE">
            <w:pPr>
              <w:rPr>
                <w:b/>
                <w:bCs/>
              </w:rPr>
            </w:pPr>
            <w:r w:rsidRPr="0049789D">
              <w:rPr>
                <w:b/>
                <w:bCs/>
              </w:rPr>
              <w:t>4.</w:t>
            </w:r>
          </w:p>
        </w:tc>
        <w:tc>
          <w:tcPr>
            <w:tcW w:w="4750" w:type="pct"/>
            <w:gridSpan w:val="2"/>
            <w:tcBorders>
              <w:top w:val="nil"/>
              <w:left w:val="nil"/>
              <w:bottom w:val="nil"/>
              <w:right w:val="nil"/>
            </w:tcBorders>
            <w:vAlign w:val="center"/>
            <w:hideMark/>
          </w:tcPr>
          <w:p w14:paraId="4CE03A6F" w14:textId="77777777" w:rsidR="00E922FE" w:rsidRPr="0049789D" w:rsidRDefault="00E922FE" w:rsidP="00C011BC">
            <w:pPr>
              <w:spacing w:after="250"/>
              <w:jc w:val="both"/>
              <w:rPr>
                <w:b/>
                <w:bCs/>
              </w:rPr>
            </w:pPr>
            <w:r w:rsidRPr="0049789D">
              <w:rPr>
                <w:b/>
                <w:bCs/>
              </w:rPr>
              <w:t>Záväzky Slovenskej republiky vo vzťahu k Európskej únii:</w:t>
            </w:r>
          </w:p>
        </w:tc>
      </w:tr>
      <w:tr w:rsidR="00E922FE" w:rsidRPr="0049789D" w14:paraId="5E3541B3" w14:textId="77777777" w:rsidTr="00C01938">
        <w:trPr>
          <w:divId w:val="749884584"/>
          <w:jc w:val="center"/>
        </w:trPr>
        <w:tc>
          <w:tcPr>
            <w:tcW w:w="0" w:type="auto"/>
            <w:tcBorders>
              <w:top w:val="nil"/>
              <w:left w:val="nil"/>
              <w:bottom w:val="nil"/>
              <w:right w:val="nil"/>
            </w:tcBorders>
            <w:hideMark/>
          </w:tcPr>
          <w:p w14:paraId="0016C9B2" w14:textId="77777777" w:rsidR="00E922FE" w:rsidRPr="0049789D" w:rsidRDefault="00E922FE">
            <w:pPr>
              <w:spacing w:after="250"/>
              <w:rPr>
                <w:b/>
                <w:bCs/>
              </w:rPr>
            </w:pPr>
          </w:p>
        </w:tc>
        <w:tc>
          <w:tcPr>
            <w:tcW w:w="150" w:type="pct"/>
            <w:tcBorders>
              <w:top w:val="nil"/>
              <w:left w:val="nil"/>
              <w:bottom w:val="nil"/>
              <w:right w:val="nil"/>
            </w:tcBorders>
            <w:hideMark/>
          </w:tcPr>
          <w:p w14:paraId="05446119" w14:textId="77777777" w:rsidR="00E922FE" w:rsidRPr="0049789D" w:rsidRDefault="00E922FE">
            <w:r w:rsidRPr="0049789D">
              <w:t>a)</w:t>
            </w:r>
          </w:p>
        </w:tc>
        <w:tc>
          <w:tcPr>
            <w:tcW w:w="4600" w:type="pct"/>
            <w:tcBorders>
              <w:top w:val="nil"/>
              <w:left w:val="nil"/>
              <w:bottom w:val="nil"/>
              <w:right w:val="nil"/>
            </w:tcBorders>
            <w:vAlign w:val="center"/>
            <w:hideMark/>
          </w:tcPr>
          <w:p w14:paraId="1DA9278F" w14:textId="77777777" w:rsidR="00E922FE" w:rsidRPr="0049789D" w:rsidRDefault="00E922FE" w:rsidP="00C011BC">
            <w:pPr>
              <w:spacing w:after="250"/>
              <w:jc w:val="both"/>
              <w:rPr>
                <w:b/>
              </w:rPr>
            </w:pPr>
            <w:r w:rsidRPr="0049789D">
              <w:rPr>
                <w:b/>
              </w:rPr>
              <w:t>lehota na prebratie smernice alebo lehota na implementáciu nariadenia alebo rozhodnutia</w:t>
            </w:r>
            <w:r w:rsidR="00704A64" w:rsidRPr="0049789D">
              <w:rPr>
                <w:b/>
              </w:rPr>
              <w:t xml:space="preserve"> </w:t>
            </w:r>
          </w:p>
          <w:p w14:paraId="2B4DAEBD" w14:textId="4A5324DE" w:rsidR="009C1801" w:rsidRPr="0049789D" w:rsidRDefault="004B24E6" w:rsidP="00C011BC">
            <w:pPr>
              <w:spacing w:after="250"/>
              <w:jc w:val="both"/>
            </w:pPr>
            <w:r w:rsidRPr="004B24E6">
              <w:rPr>
                <w:color w:val="000000"/>
              </w:rPr>
              <w:t>Podľa čl. 16 sa nariadenie (EÚ) 2019/880 uplatňuje od: - 27.6.2019ꓼ - čl. 3 ods. 1 sa uplatňuje od 28.12.2020ꓼ - článok 3 ods. 2 až 5, 7 a 8, článok 4 ods. 1 až 10, článok 5 ods. 1 a 2 a článok 8 ods. 1 sa uplatňuje od dátumu začatia prevádzky elektronického systému uvedeného v článku 8 alebo najneskôr od 28. júna 2025. Implementáciu predmetných článkov nariadenia (EÚ) do slovenského právneho poriadku je potrebné zabezpe</w:t>
            </w:r>
            <w:r>
              <w:rPr>
                <w:color w:val="000000"/>
              </w:rPr>
              <w:t>čiť v zmysle uvedených dátumov.</w:t>
            </w:r>
          </w:p>
        </w:tc>
      </w:tr>
      <w:tr w:rsidR="00E922FE" w:rsidRPr="0049789D" w14:paraId="5E2FDF5E" w14:textId="77777777" w:rsidTr="00C01938">
        <w:trPr>
          <w:divId w:val="749884584"/>
          <w:jc w:val="center"/>
        </w:trPr>
        <w:tc>
          <w:tcPr>
            <w:tcW w:w="0" w:type="auto"/>
            <w:tcBorders>
              <w:top w:val="nil"/>
              <w:left w:val="nil"/>
              <w:bottom w:val="nil"/>
              <w:right w:val="nil"/>
            </w:tcBorders>
            <w:hideMark/>
          </w:tcPr>
          <w:p w14:paraId="3C264AC4" w14:textId="77777777" w:rsidR="00E922FE" w:rsidRPr="0049789D" w:rsidRDefault="00E922FE">
            <w:pPr>
              <w:spacing w:after="250"/>
            </w:pPr>
          </w:p>
        </w:tc>
        <w:tc>
          <w:tcPr>
            <w:tcW w:w="150" w:type="pct"/>
            <w:tcBorders>
              <w:top w:val="nil"/>
              <w:left w:val="nil"/>
              <w:bottom w:val="nil"/>
              <w:right w:val="nil"/>
            </w:tcBorders>
            <w:hideMark/>
          </w:tcPr>
          <w:p w14:paraId="240F19C5" w14:textId="77777777" w:rsidR="00E922FE" w:rsidRPr="0049789D" w:rsidRDefault="00E922FE"/>
        </w:tc>
        <w:tc>
          <w:tcPr>
            <w:tcW w:w="4600" w:type="pct"/>
            <w:tcBorders>
              <w:top w:val="nil"/>
              <w:left w:val="nil"/>
              <w:bottom w:val="nil"/>
              <w:right w:val="nil"/>
            </w:tcBorders>
            <w:vAlign w:val="center"/>
            <w:hideMark/>
          </w:tcPr>
          <w:p w14:paraId="725C68DD" w14:textId="6AA9C657" w:rsidR="00E922FE" w:rsidRPr="0049789D" w:rsidRDefault="00E922FE" w:rsidP="00C011BC">
            <w:pPr>
              <w:spacing w:after="250"/>
              <w:jc w:val="both"/>
            </w:pPr>
          </w:p>
        </w:tc>
      </w:tr>
      <w:tr w:rsidR="00E922FE" w:rsidRPr="0049789D" w14:paraId="1BA19970" w14:textId="77777777" w:rsidTr="00C01938">
        <w:trPr>
          <w:divId w:val="749884584"/>
          <w:jc w:val="center"/>
        </w:trPr>
        <w:tc>
          <w:tcPr>
            <w:tcW w:w="0" w:type="auto"/>
            <w:tcBorders>
              <w:top w:val="nil"/>
              <w:left w:val="nil"/>
              <w:bottom w:val="nil"/>
              <w:right w:val="nil"/>
            </w:tcBorders>
            <w:hideMark/>
          </w:tcPr>
          <w:p w14:paraId="6D99075E" w14:textId="77777777" w:rsidR="00E922FE" w:rsidRPr="0049789D" w:rsidRDefault="00E922FE">
            <w:pPr>
              <w:spacing w:after="250"/>
            </w:pPr>
          </w:p>
        </w:tc>
        <w:tc>
          <w:tcPr>
            <w:tcW w:w="150" w:type="pct"/>
            <w:tcBorders>
              <w:top w:val="nil"/>
              <w:left w:val="nil"/>
              <w:bottom w:val="nil"/>
              <w:right w:val="nil"/>
            </w:tcBorders>
            <w:hideMark/>
          </w:tcPr>
          <w:p w14:paraId="22BC8268" w14:textId="77777777" w:rsidR="00E922FE" w:rsidRPr="0049789D" w:rsidRDefault="00E922FE">
            <w:r w:rsidRPr="0049789D">
              <w:t>b)</w:t>
            </w:r>
          </w:p>
        </w:tc>
        <w:tc>
          <w:tcPr>
            <w:tcW w:w="4600" w:type="pct"/>
            <w:tcBorders>
              <w:top w:val="nil"/>
              <w:left w:val="nil"/>
              <w:bottom w:val="nil"/>
              <w:right w:val="nil"/>
            </w:tcBorders>
            <w:vAlign w:val="center"/>
            <w:hideMark/>
          </w:tcPr>
          <w:p w14:paraId="169F4F28" w14:textId="7FC1DBCE" w:rsidR="009C1801" w:rsidRPr="0049789D" w:rsidRDefault="00E922FE" w:rsidP="00C011BC">
            <w:pPr>
              <w:spacing w:after="250"/>
              <w:jc w:val="both"/>
            </w:pPr>
            <w:r w:rsidRPr="0049789D">
              <w:rPr>
                <w:b/>
              </w:rPr>
              <w:t>informácia o</w:t>
            </w:r>
            <w:r w:rsidR="009C1801" w:rsidRPr="0049789D">
              <w:rPr>
                <w:b/>
              </w:rPr>
              <w:t> konaní začatom proti Slovenskej republike podľa čl. 258 a 260 Zmluvy o fungovaní Európskej únie v platnom znení</w:t>
            </w:r>
            <w:r w:rsidR="00C51C5D" w:rsidRPr="0049789D">
              <w:t>:</w:t>
            </w:r>
          </w:p>
          <w:p w14:paraId="34E3A0EE" w14:textId="3D5EC28E" w:rsidR="00E922FE" w:rsidRPr="0049789D" w:rsidRDefault="009C1801" w:rsidP="00C011BC">
            <w:pPr>
              <w:spacing w:after="250"/>
              <w:jc w:val="both"/>
            </w:pPr>
            <w:r w:rsidRPr="0049789D">
              <w:t xml:space="preserve">V danej oblasti nebolo začaté konanie proti Slovenskej republike o porušení Zmluvy o fungovaní Európskej únie podľa </w:t>
            </w:r>
            <w:r w:rsidR="00E922FE" w:rsidRPr="0049789D">
              <w:t>čl. 258 a 260 Zmluvy o fungovaní Európskej únie</w:t>
            </w:r>
            <w:r w:rsidRPr="0049789D">
              <w:t>.</w:t>
            </w:r>
            <w:r w:rsidR="00C01938" w:rsidRPr="0049789D">
              <w:t xml:space="preserve"> </w:t>
            </w:r>
          </w:p>
        </w:tc>
      </w:tr>
      <w:tr w:rsidR="00E922FE" w:rsidRPr="0049789D" w14:paraId="5F6C7021" w14:textId="77777777" w:rsidTr="00C01938">
        <w:trPr>
          <w:divId w:val="749884584"/>
          <w:jc w:val="center"/>
        </w:trPr>
        <w:tc>
          <w:tcPr>
            <w:tcW w:w="0" w:type="auto"/>
            <w:tcBorders>
              <w:top w:val="nil"/>
              <w:left w:val="nil"/>
              <w:bottom w:val="nil"/>
              <w:right w:val="nil"/>
            </w:tcBorders>
            <w:hideMark/>
          </w:tcPr>
          <w:p w14:paraId="21882266" w14:textId="50814DD0" w:rsidR="00E922FE" w:rsidRPr="0049789D" w:rsidRDefault="00E922FE">
            <w:pPr>
              <w:spacing w:after="250"/>
            </w:pPr>
          </w:p>
        </w:tc>
        <w:tc>
          <w:tcPr>
            <w:tcW w:w="150" w:type="pct"/>
            <w:tcBorders>
              <w:top w:val="nil"/>
              <w:left w:val="nil"/>
              <w:bottom w:val="nil"/>
              <w:right w:val="nil"/>
            </w:tcBorders>
            <w:hideMark/>
          </w:tcPr>
          <w:p w14:paraId="7E9C6C2E" w14:textId="77777777" w:rsidR="00E922FE" w:rsidRPr="0049789D" w:rsidRDefault="00E922FE"/>
        </w:tc>
        <w:tc>
          <w:tcPr>
            <w:tcW w:w="4600" w:type="pct"/>
            <w:tcBorders>
              <w:top w:val="nil"/>
              <w:left w:val="nil"/>
              <w:bottom w:val="nil"/>
              <w:right w:val="nil"/>
            </w:tcBorders>
            <w:vAlign w:val="center"/>
            <w:hideMark/>
          </w:tcPr>
          <w:p w14:paraId="51EF2BB4" w14:textId="5E8A119E" w:rsidR="00E922FE" w:rsidRPr="0049789D" w:rsidRDefault="00E922FE" w:rsidP="00C011BC">
            <w:pPr>
              <w:spacing w:after="250"/>
              <w:jc w:val="both"/>
            </w:pPr>
          </w:p>
        </w:tc>
      </w:tr>
      <w:tr w:rsidR="00E922FE" w:rsidRPr="0049789D" w14:paraId="5D1BBF88" w14:textId="77777777" w:rsidTr="00C01938">
        <w:trPr>
          <w:divId w:val="749884584"/>
          <w:jc w:val="center"/>
        </w:trPr>
        <w:tc>
          <w:tcPr>
            <w:tcW w:w="0" w:type="auto"/>
            <w:tcBorders>
              <w:top w:val="nil"/>
              <w:left w:val="nil"/>
              <w:bottom w:val="nil"/>
              <w:right w:val="nil"/>
            </w:tcBorders>
            <w:hideMark/>
          </w:tcPr>
          <w:p w14:paraId="5E1696BA" w14:textId="77777777" w:rsidR="00E922FE" w:rsidRPr="0049789D" w:rsidRDefault="00E922FE">
            <w:pPr>
              <w:spacing w:after="250"/>
            </w:pPr>
          </w:p>
        </w:tc>
        <w:tc>
          <w:tcPr>
            <w:tcW w:w="150" w:type="pct"/>
            <w:tcBorders>
              <w:top w:val="nil"/>
              <w:left w:val="nil"/>
              <w:bottom w:val="nil"/>
              <w:right w:val="nil"/>
            </w:tcBorders>
            <w:hideMark/>
          </w:tcPr>
          <w:p w14:paraId="23A13743" w14:textId="77777777" w:rsidR="00E922FE" w:rsidRPr="0049789D" w:rsidRDefault="00E922FE">
            <w:r w:rsidRPr="0049789D">
              <w:t>c)</w:t>
            </w:r>
          </w:p>
        </w:tc>
        <w:tc>
          <w:tcPr>
            <w:tcW w:w="4600" w:type="pct"/>
            <w:tcBorders>
              <w:top w:val="nil"/>
              <w:left w:val="nil"/>
              <w:bottom w:val="nil"/>
              <w:right w:val="nil"/>
            </w:tcBorders>
            <w:vAlign w:val="center"/>
            <w:hideMark/>
          </w:tcPr>
          <w:p w14:paraId="317DFA9C" w14:textId="77777777" w:rsidR="00C51C5D" w:rsidRPr="0049789D" w:rsidRDefault="00E922FE" w:rsidP="00C51C5D">
            <w:pPr>
              <w:spacing w:after="250"/>
              <w:jc w:val="both"/>
              <w:rPr>
                <w:b/>
              </w:rPr>
            </w:pPr>
            <w:r w:rsidRPr="0049789D">
              <w:rPr>
                <w:b/>
              </w:rPr>
              <w:t>informácia o právnych predpisoch, v ktorých sú preberané smernice už prebraté spolu s uvedením rozsahu tohto prebratia</w:t>
            </w:r>
            <w:r w:rsidR="00C01938" w:rsidRPr="0049789D">
              <w:rPr>
                <w:b/>
              </w:rPr>
              <w:t>:</w:t>
            </w:r>
          </w:p>
          <w:p w14:paraId="566705CD" w14:textId="40E8CE40" w:rsidR="00C51C5D" w:rsidRPr="0049789D" w:rsidRDefault="00C51C5D" w:rsidP="00C51C5D">
            <w:pPr>
              <w:spacing w:after="250"/>
              <w:jc w:val="both"/>
            </w:pPr>
            <w:r w:rsidRPr="0049789D">
              <w:t>-</w:t>
            </w:r>
            <w:r w:rsidR="00D059DD" w:rsidRPr="0049789D">
              <w:t xml:space="preserve"> </w:t>
            </w:r>
            <w:r w:rsidRPr="0049789D">
              <w:t>zákon č. 207/2009 Z. z. o podmienkach vývozu a dovozu predmetu kultúrnej hodnoty a o doplnení zákona č. 652/2004 Z. z. o orgánoch štátnej správy v colníctve a o zmene a doplnení niektorých zákonov v znení neskorších predpisov a ktorým sa menia a dopĺňajú niektoré zákony</w:t>
            </w:r>
          </w:p>
          <w:p w14:paraId="7C935971" w14:textId="49566FC0" w:rsidR="00C01938" w:rsidRPr="0049789D" w:rsidRDefault="00C01938" w:rsidP="00C51C5D">
            <w:pPr>
              <w:spacing w:after="250"/>
              <w:jc w:val="both"/>
            </w:pPr>
            <w:r w:rsidRPr="0049789D">
              <w:t>-  zákon č. 395/2002 Z. z. o archívoch a registratúrach a o doplnení  niektorých zákonov v znení neskorších predpisov</w:t>
            </w:r>
          </w:p>
          <w:p w14:paraId="3BDB33C5" w14:textId="4154488B" w:rsidR="00C01938" w:rsidRPr="0049789D" w:rsidRDefault="00C01938" w:rsidP="00C011BC">
            <w:pPr>
              <w:jc w:val="both"/>
            </w:pPr>
            <w:r w:rsidRPr="0049789D">
              <w:t>-  zákon č.  416/2002 Z. z. o navrátení nezákonne vyvezených kultúrnych predmetov v znení neskorších predpisov</w:t>
            </w:r>
          </w:p>
          <w:p w14:paraId="3E3D3CAD" w14:textId="77777777" w:rsidR="00D059DD" w:rsidRPr="0049789D" w:rsidRDefault="00D059DD" w:rsidP="00C011BC">
            <w:pPr>
              <w:jc w:val="both"/>
            </w:pPr>
          </w:p>
          <w:p w14:paraId="635DDFCF" w14:textId="219CFC11" w:rsidR="00C01938" w:rsidRPr="0049789D" w:rsidRDefault="00C01938" w:rsidP="00C011BC">
            <w:pPr>
              <w:jc w:val="both"/>
            </w:pPr>
            <w:r w:rsidRPr="0049789D">
              <w:t>Tieto zákony prebrali zrušenú smernicu Rady č. 93/7/EHS z 15. marca 1993 v  znení smernice Európskeho parlamentu a Rady č. 96/100/ES a smernice Európskeho parlamentu a Rady č. 2001/38/ES. Obsah tejto smernice preberá v prepracovanom znení platná smernica  Európskeho parlamentu a Rady 2014/60/EÚ z 15. mája 2014.</w:t>
            </w:r>
          </w:p>
          <w:p w14:paraId="7AD1C912" w14:textId="77777777" w:rsidR="00C01938" w:rsidRPr="0049789D" w:rsidRDefault="00C01938" w:rsidP="00C011BC">
            <w:pPr>
              <w:spacing w:after="250"/>
              <w:jc w:val="both"/>
            </w:pPr>
          </w:p>
        </w:tc>
      </w:tr>
      <w:tr w:rsidR="00E922FE" w:rsidRPr="0049789D" w14:paraId="26469165" w14:textId="77777777" w:rsidTr="00C01938">
        <w:trPr>
          <w:divId w:val="749884584"/>
          <w:jc w:val="center"/>
        </w:trPr>
        <w:tc>
          <w:tcPr>
            <w:tcW w:w="0" w:type="auto"/>
            <w:tcBorders>
              <w:top w:val="nil"/>
              <w:left w:val="nil"/>
              <w:bottom w:val="nil"/>
              <w:right w:val="nil"/>
            </w:tcBorders>
            <w:hideMark/>
          </w:tcPr>
          <w:p w14:paraId="0C8FB853" w14:textId="77C285C9" w:rsidR="00E922FE" w:rsidRPr="0049789D" w:rsidRDefault="00E922FE">
            <w:pPr>
              <w:spacing w:after="250"/>
            </w:pPr>
          </w:p>
        </w:tc>
        <w:tc>
          <w:tcPr>
            <w:tcW w:w="150" w:type="pct"/>
            <w:tcBorders>
              <w:top w:val="nil"/>
              <w:left w:val="nil"/>
              <w:bottom w:val="nil"/>
              <w:right w:val="nil"/>
            </w:tcBorders>
            <w:hideMark/>
          </w:tcPr>
          <w:p w14:paraId="009EFB8F" w14:textId="77777777" w:rsidR="00E922FE" w:rsidRPr="0049789D" w:rsidRDefault="00E922FE"/>
        </w:tc>
        <w:tc>
          <w:tcPr>
            <w:tcW w:w="4600" w:type="pct"/>
            <w:tcBorders>
              <w:top w:val="nil"/>
              <w:left w:val="nil"/>
              <w:bottom w:val="nil"/>
              <w:right w:val="nil"/>
            </w:tcBorders>
            <w:vAlign w:val="center"/>
            <w:hideMark/>
          </w:tcPr>
          <w:p w14:paraId="6E254149" w14:textId="07BD0E49" w:rsidR="00E922FE" w:rsidRPr="0049789D" w:rsidRDefault="00E922FE">
            <w:pPr>
              <w:spacing w:after="250"/>
            </w:pPr>
          </w:p>
        </w:tc>
      </w:tr>
      <w:tr w:rsidR="00E922FE" w:rsidRPr="0049789D" w14:paraId="27B89550" w14:textId="77777777">
        <w:trPr>
          <w:divId w:val="749884584"/>
          <w:jc w:val="center"/>
        </w:trPr>
        <w:tc>
          <w:tcPr>
            <w:tcW w:w="0" w:type="auto"/>
            <w:tcBorders>
              <w:top w:val="nil"/>
              <w:left w:val="nil"/>
              <w:bottom w:val="nil"/>
              <w:right w:val="nil"/>
            </w:tcBorders>
            <w:hideMark/>
          </w:tcPr>
          <w:p w14:paraId="7C44A914" w14:textId="77777777" w:rsidR="00E922FE" w:rsidRPr="0049789D" w:rsidRDefault="00E922FE">
            <w:pPr>
              <w:rPr>
                <w:b/>
                <w:bCs/>
              </w:rPr>
            </w:pPr>
            <w:r w:rsidRPr="0049789D">
              <w:rPr>
                <w:b/>
                <w:bCs/>
              </w:rPr>
              <w:t>5.</w:t>
            </w:r>
          </w:p>
        </w:tc>
        <w:tc>
          <w:tcPr>
            <w:tcW w:w="0" w:type="auto"/>
            <w:gridSpan w:val="2"/>
            <w:tcBorders>
              <w:top w:val="nil"/>
              <w:left w:val="nil"/>
              <w:bottom w:val="nil"/>
              <w:right w:val="nil"/>
            </w:tcBorders>
            <w:hideMark/>
          </w:tcPr>
          <w:p w14:paraId="711758DA" w14:textId="77777777" w:rsidR="00E922FE" w:rsidRPr="0049789D" w:rsidRDefault="00E922FE">
            <w:pPr>
              <w:spacing w:after="250"/>
              <w:rPr>
                <w:b/>
                <w:bCs/>
              </w:rPr>
            </w:pPr>
            <w:r w:rsidRPr="0049789D">
              <w:rPr>
                <w:b/>
                <w:bCs/>
              </w:rPr>
              <w:t>Stupeň zlučiteľnosti návrhu právneho predpisu s právom Európskej únie:</w:t>
            </w:r>
          </w:p>
        </w:tc>
      </w:tr>
    </w:tbl>
    <w:p w14:paraId="0FF88273" w14:textId="3047170B" w:rsidR="003D0DA4" w:rsidRPr="00FE53CE" w:rsidRDefault="00D059DD" w:rsidP="00D059DD">
      <w:pPr>
        <w:tabs>
          <w:tab w:val="left" w:pos="360"/>
        </w:tabs>
        <w:jc w:val="both"/>
      </w:pPr>
      <w:r w:rsidRPr="0049789D">
        <w:tab/>
      </w:r>
      <w:r w:rsidRPr="0049789D">
        <w:tab/>
        <w:t>Úplný</w:t>
      </w:r>
    </w:p>
    <w:sectPr w:rsidR="003D0DA4" w:rsidRPr="00FE53C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C03E4"/>
    <w:rsid w:val="000C5887"/>
    <w:rsid w:val="000E37ED"/>
    <w:rsid w:val="00117A7E"/>
    <w:rsid w:val="00140861"/>
    <w:rsid w:val="001D60ED"/>
    <w:rsid w:val="001F0AA3"/>
    <w:rsid w:val="001F1A65"/>
    <w:rsid w:val="0020025E"/>
    <w:rsid w:val="0023485C"/>
    <w:rsid w:val="002A4678"/>
    <w:rsid w:val="002B14DD"/>
    <w:rsid w:val="002E6AC0"/>
    <w:rsid w:val="003841E0"/>
    <w:rsid w:val="00390495"/>
    <w:rsid w:val="003D0DA4"/>
    <w:rsid w:val="00482868"/>
    <w:rsid w:val="0049789D"/>
    <w:rsid w:val="004A3CCB"/>
    <w:rsid w:val="004B1E6E"/>
    <w:rsid w:val="004B24E6"/>
    <w:rsid w:val="004E7F23"/>
    <w:rsid w:val="00525A2E"/>
    <w:rsid w:val="00580A30"/>
    <w:rsid w:val="00596545"/>
    <w:rsid w:val="00632C56"/>
    <w:rsid w:val="006C0FA0"/>
    <w:rsid w:val="006E1D9C"/>
    <w:rsid w:val="006F3E6F"/>
    <w:rsid w:val="00704A64"/>
    <w:rsid w:val="00785F65"/>
    <w:rsid w:val="007F5B72"/>
    <w:rsid w:val="00814DF5"/>
    <w:rsid w:val="00824CCF"/>
    <w:rsid w:val="00847169"/>
    <w:rsid w:val="008570D4"/>
    <w:rsid w:val="008655C8"/>
    <w:rsid w:val="008A6C3D"/>
    <w:rsid w:val="008E2891"/>
    <w:rsid w:val="00970F68"/>
    <w:rsid w:val="009747EE"/>
    <w:rsid w:val="009C1801"/>
    <w:rsid w:val="009C63EB"/>
    <w:rsid w:val="00A616A0"/>
    <w:rsid w:val="00B128CD"/>
    <w:rsid w:val="00B326AA"/>
    <w:rsid w:val="00C011BC"/>
    <w:rsid w:val="00C01938"/>
    <w:rsid w:val="00C12975"/>
    <w:rsid w:val="00C51C5D"/>
    <w:rsid w:val="00C90146"/>
    <w:rsid w:val="00CA5D08"/>
    <w:rsid w:val="00D059DD"/>
    <w:rsid w:val="00D14B99"/>
    <w:rsid w:val="00D465F6"/>
    <w:rsid w:val="00D5344B"/>
    <w:rsid w:val="00D7275F"/>
    <w:rsid w:val="00D75FDD"/>
    <w:rsid w:val="00DB3DB1"/>
    <w:rsid w:val="00DC377E"/>
    <w:rsid w:val="00DC3BFE"/>
    <w:rsid w:val="00E31429"/>
    <w:rsid w:val="00E63849"/>
    <w:rsid w:val="00E85F6B"/>
    <w:rsid w:val="00E922FE"/>
    <w:rsid w:val="00EC5BF8"/>
    <w:rsid w:val="00FA32F7"/>
    <w:rsid w:val="00FD64BC"/>
    <w:rsid w:val="00FE53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020F10C9-DE2B-4575-ADC5-2C8746E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84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7148">
      <w:bodyDiv w:val="1"/>
      <w:marLeft w:val="0"/>
      <w:marRight w:val="0"/>
      <w:marTop w:val="0"/>
      <w:marBottom w:val="0"/>
      <w:divBdr>
        <w:top w:val="none" w:sz="0" w:space="0" w:color="auto"/>
        <w:left w:val="none" w:sz="0" w:space="0" w:color="auto"/>
        <w:bottom w:val="none" w:sz="0" w:space="0" w:color="auto"/>
        <w:right w:val="none" w:sz="0" w:space="0" w:color="auto"/>
      </w:divBdr>
      <w:divsChild>
        <w:div w:id="1641375061">
          <w:marLeft w:val="0"/>
          <w:marRight w:val="0"/>
          <w:marTop w:val="0"/>
          <w:marBottom w:val="0"/>
          <w:divBdr>
            <w:top w:val="none" w:sz="0" w:space="0" w:color="auto"/>
            <w:left w:val="none" w:sz="0" w:space="0" w:color="auto"/>
            <w:bottom w:val="none" w:sz="0" w:space="0" w:color="auto"/>
            <w:right w:val="none" w:sz="0" w:space="0" w:color="auto"/>
          </w:divBdr>
        </w:div>
      </w:divsChild>
    </w:div>
    <w:div w:id="749884584">
      <w:bodyDiv w:val="1"/>
      <w:marLeft w:val="0"/>
      <w:marRight w:val="0"/>
      <w:marTop w:val="0"/>
      <w:marBottom w:val="0"/>
      <w:divBdr>
        <w:top w:val="none" w:sz="0" w:space="0" w:color="auto"/>
        <w:left w:val="none" w:sz="0" w:space="0" w:color="auto"/>
        <w:bottom w:val="none" w:sz="0" w:space="0" w:color="auto"/>
        <w:right w:val="none" w:sz="0" w:space="0" w:color="auto"/>
      </w:divBdr>
    </w:div>
    <w:div w:id="852839256">
      <w:bodyDiv w:val="1"/>
      <w:marLeft w:val="0"/>
      <w:marRight w:val="0"/>
      <w:marTop w:val="0"/>
      <w:marBottom w:val="0"/>
      <w:divBdr>
        <w:top w:val="none" w:sz="0" w:space="0" w:color="auto"/>
        <w:left w:val="none" w:sz="0" w:space="0" w:color="auto"/>
        <w:bottom w:val="none" w:sz="0" w:space="0" w:color="auto"/>
        <w:right w:val="none" w:sz="0" w:space="0" w:color="auto"/>
      </w:divBdr>
      <w:divsChild>
        <w:div w:id="1257446400">
          <w:marLeft w:val="0"/>
          <w:marRight w:val="0"/>
          <w:marTop w:val="0"/>
          <w:marBottom w:val="0"/>
          <w:divBdr>
            <w:top w:val="none" w:sz="0" w:space="0" w:color="auto"/>
            <w:left w:val="none" w:sz="0" w:space="0" w:color="auto"/>
            <w:bottom w:val="none" w:sz="0" w:space="0" w:color="auto"/>
            <w:right w:val="none" w:sz="0" w:space="0" w:color="auto"/>
          </w:divBdr>
        </w:div>
      </w:divsChild>
    </w:div>
    <w:div w:id="967470492">
      <w:bodyDiv w:val="1"/>
      <w:marLeft w:val="0"/>
      <w:marRight w:val="0"/>
      <w:marTop w:val="0"/>
      <w:marBottom w:val="0"/>
      <w:divBdr>
        <w:top w:val="none" w:sz="0" w:space="0" w:color="auto"/>
        <w:left w:val="none" w:sz="0" w:space="0" w:color="auto"/>
        <w:bottom w:val="none" w:sz="0" w:space="0" w:color="auto"/>
        <w:right w:val="none" w:sz="0" w:space="0" w:color="auto"/>
      </w:divBdr>
      <w:divsChild>
        <w:div w:id="1949118055">
          <w:marLeft w:val="0"/>
          <w:marRight w:val="0"/>
          <w:marTop w:val="0"/>
          <w:marBottom w:val="0"/>
          <w:divBdr>
            <w:top w:val="none" w:sz="0" w:space="0" w:color="auto"/>
            <w:left w:val="none" w:sz="0" w:space="0" w:color="auto"/>
            <w:bottom w:val="none" w:sz="0" w:space="0" w:color="auto"/>
            <w:right w:val="none" w:sz="0" w:space="0" w:color="auto"/>
          </w:divBdr>
        </w:div>
      </w:divsChild>
    </w:div>
    <w:div w:id="1054548927">
      <w:bodyDiv w:val="1"/>
      <w:marLeft w:val="0"/>
      <w:marRight w:val="0"/>
      <w:marTop w:val="0"/>
      <w:marBottom w:val="0"/>
      <w:divBdr>
        <w:top w:val="none" w:sz="0" w:space="0" w:color="auto"/>
        <w:left w:val="none" w:sz="0" w:space="0" w:color="auto"/>
        <w:bottom w:val="none" w:sz="0" w:space="0" w:color="auto"/>
        <w:right w:val="none" w:sz="0" w:space="0" w:color="auto"/>
      </w:divBdr>
      <w:divsChild>
        <w:div w:id="132238628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944461263">
      <w:bodyDiv w:val="1"/>
      <w:marLeft w:val="0"/>
      <w:marRight w:val="0"/>
      <w:marTop w:val="0"/>
      <w:marBottom w:val="0"/>
      <w:divBdr>
        <w:top w:val="none" w:sz="0" w:space="0" w:color="auto"/>
        <w:left w:val="none" w:sz="0" w:space="0" w:color="auto"/>
        <w:bottom w:val="none" w:sz="0" w:space="0" w:color="auto"/>
        <w:right w:val="none" w:sz="0" w:space="0" w:color="auto"/>
      </w:divBdr>
      <w:divsChild>
        <w:div w:id="154803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21-MKSR-NOVELA207-Dolozka-zlucitelnosti-EU"/>
    <f:field ref="objsubject" par="" edit="true" text=""/>
    <f:field ref="objcreatedby" par="" text="Nádaždyová, Katarína, JUDr."/>
    <f:field ref="objcreatedat" par="" text="15.1.2021 11:18:54"/>
    <f:field ref="objchangedby" par="" text="Administrator, System"/>
    <f:field ref="objmodifiedat" par="" text="15.1.2021 11:18: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A539AA-5AF1-4D11-9A6C-0281C59E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Radovanovič Bojan</cp:lastModifiedBy>
  <cp:revision>2</cp:revision>
  <cp:lastPrinted>2020-11-05T19:29:00Z</cp:lastPrinted>
  <dcterms:created xsi:type="dcterms:W3CDTF">2021-02-15T10:36:00Z</dcterms:created>
  <dcterms:modified xsi:type="dcterms:W3CDTF">2021-02-15T10:36:00Z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COO.2145.1000.3.4210770</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nazovpredpis">
    <vt:lpwstr>, ktorým sa mení a dopĺňa zákon č. 207/2009 Z. z. o podmienkach vývozu a dovozu predmetu kultúrnej hodnoty a o doplnení zákona č. 652/2004 Z. z. o orgánoch štátnej správy v colníctve a o zmene a doplnení niektorých zákonov v znení neskorších predpisov v </vt:lpwstr>
  </property>
  <property fmtid="{D5CDD505-2E9C-101B-9397-08002B2CF9AE}" pid="13" name="FSC#SKEDITIONSLOVLEX@103.510:cislopredpis">
    <vt:lpwstr/>
  </property>
  <property fmtid="{D5CDD505-2E9C-101B-9397-08002B2CF9AE}" pid="14" name="FSC#SKEDITIONSLOVLEX@103.510:zodpinstitucia">
    <vt:lpwstr>Ministerstvo kultúry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Implementácia Nariadenia Európskeho parlamentu a Rady (EÚ) 2019/880 zo 17. apríla 2019 o vstupe a dovoze tovaru kultúrnej hodnoty </vt:lpwstr>
  </property>
  <property fmtid="{D5CDD505-2E9C-101B-9397-08002B2CF9AE}" pid="18" name="FSC#SKEDITIONSLOVLEX@103.510:plnynazovpredpis">
    <vt:lpwstr> Zákon, ktorým sa mení a dopĺňa zákon č. 207/2009 Z. z. o podmienkach vývozu a dovozu predmetu kultúrnej hodnoty a o doplnení zákona č. 652/2004 Z. z. o orgánoch štátnej správy v colníctve a o zmene a doplnení niektorých zákonov v znení neskorších predpis</vt:lpwstr>
  </property>
  <property fmtid="{D5CDD505-2E9C-101B-9397-08002B2CF9AE}" pid="19" name="FSC#SKEDITIONSLOVLEX@103.510:rezortcislopredpis">
    <vt:lpwstr>MK-743/2021-242/519</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LP/2021/11</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ministerka kultúry Slovenskej republiky</vt:lpwstr>
  </property>
  <property fmtid="{D5CDD505-2E9C-101B-9397-08002B2CF9AE}" pid="129" name="FSC#SKEDITIONSLOVLEX@103.510:AttrStrListDocPropUznesenieNaVedomie">
    <vt:lpwstr>predseda Národnej rady Slovenskej republiky_x000d_
minister financií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&lt;p&gt;Ministerstvo kultúry Slovenskej republiky (ďalej len „ministerstvo kultúry“) predkladá do legislatívneho procesu návrh zákona, ktorým sa mení a dopĺňa zákon č. 207/2009 Z. z. o podmienkach vývozu a dovozu predmetu kultúrnej hodnoty a o doplnení zákona </vt:lpwstr>
  </property>
  <property fmtid="{D5CDD505-2E9C-101B-9397-08002B2CF9AE}" pid="132" name="FSC#SKEDITIONSLOVLEX@103.510:dalsipredkladatel">
    <vt:lpwstr/>
  </property>
  <property fmtid="{D5CDD505-2E9C-101B-9397-08002B2CF9AE}" pid="133" name="FSC#SKEDITIONSLOVLEX@103.510:spravaucastverej">
    <vt:lpwstr>&lt;table border="0" cellpadding="0" cellspacing="0" style="width:598px;" width="598"&gt;	&lt;tbody&gt;		&lt;tr&gt;			&lt;td colspan="3" style="width:527px;height:44px;"&gt;			&lt;p&gt;&lt;strong&gt;Správa o účasti verejnosti na tvorbe právneho predpisu &lt;/strong&gt;&lt;strong&gt;Scenár 1: Verejnosť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ministerka</vt:lpwstr>
  </property>
  <property fmtid="{D5CDD505-2E9C-101B-9397-08002B2CF9AE}" pid="138" name="FSC#SKEDITIONSLOVLEX@103.510:funkciaZodpPredAkuzativ">
    <vt:lpwstr>ministerku</vt:lpwstr>
  </property>
  <property fmtid="{D5CDD505-2E9C-101B-9397-08002B2CF9AE}" pid="139" name="FSC#SKEDITIONSLOVLEX@103.510:funkciaZodpPredDativ">
    <vt:lpwstr>ministerke</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Mgr. Natália Milanová_x000d_
ministerka</vt:lpwstr>
  </property>
  <property fmtid="{D5CDD505-2E9C-101B-9397-08002B2CF9AE}" pid="144" name="FSC#SKEDITIONSLOVLEX@103.510:cisloparlamenttlac">
    <vt:lpwstr/>
  </property>
  <property fmtid="{D5CDD505-2E9C-101B-9397-08002B2CF9AE}" pid="145" name="FSC#SKEDITIONSLOVLEX@103.510:nazovpredpis1">
    <vt:lpwstr>znení neskorších predpisov a ktorým sa dopĺňa zákon č. 199/2004 Z. z. Colný zákon a o zmene a doplnení niektorých zákonov v znení neskorších predpisov</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ov v znení neskorších predpisov a ktorým sa dopĺňa zákon č. 199/2004 Z. z. Colný zákon a o zmene a doplnení niektorých zákonov v znení neskorších predpisov</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2021</vt:lpwstr>
  </property>
  <property fmtid="{D5CDD505-2E9C-101B-9397-08002B2CF9AE}" pid="152" name="FSC#SKEDITIONSLOVLEX@103.510:vytvorenedna">
    <vt:lpwstr>15. 1. 2021</vt:lpwstr>
  </property>
</Properties>
</file>